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7.xml" ContentType="application/vnd.openxmlformats-officedocument.wordprocessingml.footer+xml"/>
  <Override PartName="/word/charts/chart15.xml" ContentType="application/vnd.openxmlformats-officedocument.drawingml.chart+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6D05AC" w14:textId="77777777" w:rsidR="00F062BA" w:rsidRPr="00C05F73" w:rsidRDefault="00F062BA" w:rsidP="000E21BF">
      <w:pPr>
        <w:pStyle w:val="SpaceAbove"/>
        <w:rPr>
          <w:lang w:val="en-US"/>
        </w:rPr>
      </w:pPr>
      <w:bookmarkStart w:id="0" w:name="CursorPositionBM"/>
      <w:bookmarkEnd w:id="0"/>
    </w:p>
    <w:sdt>
      <w:sdtPr>
        <w:rPr>
          <w:rFonts w:ascii="Times New Roman" w:eastAsiaTheme="minorEastAsia" w:hAnsi="Times New Roman" w:cstheme="minorBidi"/>
          <w:sz w:val="22"/>
          <w:szCs w:val="22"/>
        </w:rPr>
        <w:id w:val="-1713338945"/>
        <w:docPartObj>
          <w:docPartGallery w:val="Cover Pages"/>
          <w:docPartUnique/>
        </w:docPartObj>
      </w:sdtPr>
      <w:sdtEndPr>
        <w:rPr>
          <w:rFonts w:asciiTheme="minorHAnsi" w:eastAsia="Times New Roman" w:hAnsiTheme="minorHAnsi" w:cs="Times New Roman"/>
          <w:sz w:val="24"/>
          <w:szCs w:val="24"/>
        </w:rPr>
      </w:sdtEndPr>
      <w:sdtContent>
        <w:tbl>
          <w:tblPr>
            <w:tblStyle w:val="TableGrid"/>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itle page"/>
            <w:tblDescription w:val="Title page"/>
          </w:tblPr>
          <w:tblGrid>
            <w:gridCol w:w="3828"/>
            <w:gridCol w:w="5954"/>
          </w:tblGrid>
          <w:tr w:rsidR="00F062BA" w14:paraId="0AD6F6DC" w14:textId="77777777" w:rsidTr="008075DB">
            <w:trPr>
              <w:trHeight w:hRule="exact" w:val="454"/>
              <w:tblHeader/>
            </w:trPr>
            <w:tc>
              <w:tcPr>
                <w:tcW w:w="3828" w:type="dxa"/>
                <w:shd w:val="clear" w:color="auto" w:fill="000000" w:themeFill="text1"/>
                <w:vAlign w:val="center"/>
              </w:tcPr>
              <w:p w14:paraId="2A7F56BA" w14:textId="77777777" w:rsidR="00F062BA" w:rsidRDefault="00F062BA" w:rsidP="000E21BF"/>
            </w:tc>
            <w:tc>
              <w:tcPr>
                <w:tcW w:w="5954" w:type="dxa"/>
                <w:shd w:val="clear" w:color="auto" w:fill="000000" w:themeFill="text1"/>
                <w:vAlign w:val="center"/>
              </w:tcPr>
              <w:p w14:paraId="722EDCBB" w14:textId="77777777" w:rsidR="00F062BA" w:rsidRPr="005E798E" w:rsidRDefault="00F062BA" w:rsidP="005609B3">
                <w:pPr>
                  <w:pStyle w:val="TextBrandingPurple"/>
                </w:pPr>
                <w:r w:rsidRPr="005E798E">
                  <w:t xml:space="preserve">Acil allen </w:t>
                </w:r>
                <w:r w:rsidRPr="005E798E">
                  <w:rPr>
                    <w:rStyle w:val="ACILAllenYellow"/>
                  </w:rPr>
                  <w:t>Consulting</w:t>
                </w:r>
              </w:p>
            </w:tc>
          </w:tr>
          <w:tr w:rsidR="00F062BA" w14:paraId="5CB8DEFD" w14:textId="77777777" w:rsidTr="008075DB">
            <w:trPr>
              <w:trHeight w:hRule="exact" w:val="794"/>
            </w:trPr>
            <w:tc>
              <w:tcPr>
                <w:tcW w:w="3828" w:type="dxa"/>
              </w:tcPr>
              <w:p w14:paraId="73C91263" w14:textId="77777777" w:rsidR="00F062BA" w:rsidRDefault="00F062BA"/>
            </w:tc>
            <w:tc>
              <w:tcPr>
                <w:tcW w:w="5954" w:type="dxa"/>
                <w:vAlign w:val="bottom"/>
              </w:tcPr>
              <w:p w14:paraId="03D35036" w14:textId="77777777" w:rsidR="00F062BA" w:rsidRPr="00323B84" w:rsidRDefault="00F062BA" w:rsidP="000E21BF">
                <w:pPr>
                  <w:pStyle w:val="ReportTo"/>
                </w:pPr>
                <w:r>
                  <w:t>Report to</w:t>
                </w:r>
              </w:p>
            </w:tc>
          </w:tr>
          <w:tr w:rsidR="00F062BA" w14:paraId="3B11947B" w14:textId="77777777" w:rsidTr="008075DB">
            <w:trPr>
              <w:trHeight w:val="737"/>
            </w:trPr>
            <w:tc>
              <w:tcPr>
                <w:tcW w:w="3828" w:type="dxa"/>
              </w:tcPr>
              <w:p w14:paraId="3B4F72AB" w14:textId="77777777" w:rsidR="00F062BA" w:rsidRPr="00323B84" w:rsidRDefault="00F062BA" w:rsidP="000E21BF">
                <w:pPr>
                  <w:rPr>
                    <w:rFonts w:ascii="Novecento Book" w:hAnsi="Novecento Book"/>
                    <w:sz w:val="22"/>
                  </w:rPr>
                </w:pPr>
              </w:p>
            </w:tc>
            <w:tc>
              <w:tcPr>
                <w:tcW w:w="5954" w:type="dxa"/>
                <w:tcBorders>
                  <w:bottom w:val="single" w:sz="4" w:space="0" w:color="auto"/>
                </w:tcBorders>
              </w:tcPr>
              <w:p w14:paraId="71EECD08" w14:textId="77777777" w:rsidR="00F062BA" w:rsidRDefault="00F062BA" w:rsidP="000E21BF">
                <w:pPr>
                  <w:pStyle w:val="PreparedFor0"/>
                </w:pPr>
                <w:r>
                  <w:t>Department of Industry</w:t>
                </w:r>
                <w:r w:rsidR="00780F54">
                  <w:t xml:space="preserve"> and science</w:t>
                </w:r>
              </w:p>
              <w:p w14:paraId="713C8D9C" w14:textId="77777777" w:rsidR="00F062BA" w:rsidRPr="00323B84" w:rsidRDefault="00F062BA" w:rsidP="000E21BF">
                <w:pPr>
                  <w:pStyle w:val="PreparedFor0"/>
                </w:pPr>
              </w:p>
            </w:tc>
          </w:tr>
          <w:tr w:rsidR="00F062BA" w14:paraId="122C1845" w14:textId="77777777" w:rsidTr="008075DB">
            <w:trPr>
              <w:trHeight w:hRule="exact" w:val="567"/>
            </w:trPr>
            <w:tc>
              <w:tcPr>
                <w:tcW w:w="3828" w:type="dxa"/>
              </w:tcPr>
              <w:p w14:paraId="2C7A016F" w14:textId="77777777" w:rsidR="00F062BA" w:rsidRDefault="00F062BA" w:rsidP="000E21BF"/>
            </w:tc>
            <w:tc>
              <w:tcPr>
                <w:tcW w:w="5954" w:type="dxa"/>
                <w:tcBorders>
                  <w:top w:val="single" w:sz="4" w:space="0" w:color="auto"/>
                </w:tcBorders>
              </w:tcPr>
              <w:p w14:paraId="5F95D57D" w14:textId="77777777" w:rsidR="00F062BA" w:rsidRPr="004E6210" w:rsidRDefault="0079004F" w:rsidP="00F062BA">
                <w:pPr>
                  <w:pStyle w:val="Date"/>
                </w:pPr>
                <w:r>
                  <w:t xml:space="preserve">March </w:t>
                </w:r>
                <w:r w:rsidR="00AF5BAB">
                  <w:t>2015</w:t>
                </w:r>
              </w:p>
            </w:tc>
          </w:tr>
          <w:tr w:rsidR="00F062BA" w14:paraId="598146E8" w14:textId="77777777" w:rsidTr="008075DB">
            <w:trPr>
              <w:trHeight w:hRule="exact" w:val="2461"/>
            </w:trPr>
            <w:tc>
              <w:tcPr>
                <w:tcW w:w="3828" w:type="dxa"/>
                <w:tcBorders>
                  <w:bottom w:val="single" w:sz="4" w:space="0" w:color="auto"/>
                </w:tcBorders>
              </w:tcPr>
              <w:p w14:paraId="40ABCC35" w14:textId="77777777" w:rsidR="00F062BA" w:rsidRDefault="00F062BA"/>
            </w:tc>
            <w:tc>
              <w:tcPr>
                <w:tcW w:w="5954" w:type="dxa"/>
                <w:tcBorders>
                  <w:bottom w:val="single" w:sz="4" w:space="0" w:color="auto"/>
                </w:tcBorders>
              </w:tcPr>
              <w:p w14:paraId="19C5EF7D" w14:textId="77777777" w:rsidR="00F062BA" w:rsidRPr="000E21BF" w:rsidRDefault="00F062BA" w:rsidP="000E21BF">
                <w:pPr>
                  <w:pStyle w:val="TitleShort"/>
                </w:pPr>
                <w:r>
                  <w:t xml:space="preserve">Commercial building Disclosure </w:t>
                </w:r>
              </w:p>
            </w:tc>
          </w:tr>
          <w:tr w:rsidR="00F062BA" w14:paraId="603EDA9E" w14:textId="77777777" w:rsidTr="008075DB">
            <w:trPr>
              <w:trHeight w:hRule="exact" w:val="386"/>
            </w:trPr>
            <w:tc>
              <w:tcPr>
                <w:tcW w:w="3828" w:type="dxa"/>
                <w:tcBorders>
                  <w:top w:val="single" w:sz="4" w:space="0" w:color="auto"/>
                </w:tcBorders>
              </w:tcPr>
              <w:p w14:paraId="4F8A0A79" w14:textId="77777777" w:rsidR="00F062BA" w:rsidRPr="00D64897" w:rsidRDefault="00F062BA" w:rsidP="000E21BF">
                <w:pPr>
                  <w:pStyle w:val="CoverPageDeltas"/>
                </w:pPr>
                <w:r>
                  <w:rPr>
                    <w:noProof/>
                    <w:lang w:eastAsia="en-AU"/>
                  </w:rPr>
                  <w:drawing>
                    <wp:inline distT="0" distB="0" distL="0" distR="0" wp14:anchorId="4CFF210D" wp14:editId="32ED1408">
                      <wp:extent cx="699715" cy="342555"/>
                      <wp:effectExtent l="0" t="0" r="5715" b="635"/>
                      <wp:docPr id="32" name="Picture 32"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5319" cy="345299"/>
                              </a:xfrm>
                              <a:prstGeom prst="rect">
                                <a:avLst/>
                              </a:prstGeom>
                            </pic:spPr>
                          </pic:pic>
                        </a:graphicData>
                      </a:graphic>
                    </wp:inline>
                  </w:drawing>
                </w:r>
              </w:p>
            </w:tc>
            <w:tc>
              <w:tcPr>
                <w:tcW w:w="5954" w:type="dxa"/>
                <w:tcBorders>
                  <w:top w:val="single" w:sz="4" w:space="0" w:color="auto"/>
                </w:tcBorders>
              </w:tcPr>
              <w:p w14:paraId="7DC095C6" w14:textId="77777777" w:rsidR="00F062BA" w:rsidRPr="00A9191A" w:rsidRDefault="00F062BA" w:rsidP="000E21BF">
                <w:pPr>
                  <w:pStyle w:val="CoverPageDeltas"/>
                </w:pPr>
              </w:p>
            </w:tc>
          </w:tr>
          <w:tr w:rsidR="00F062BA" w14:paraId="329E9BA7" w14:textId="77777777" w:rsidTr="008075DB">
            <w:trPr>
              <w:trHeight w:hRule="exact" w:val="1134"/>
            </w:trPr>
            <w:tc>
              <w:tcPr>
                <w:tcW w:w="3828" w:type="dxa"/>
              </w:tcPr>
              <w:p w14:paraId="6655CBD1" w14:textId="77777777" w:rsidR="00F062BA" w:rsidRDefault="00F062BA" w:rsidP="000E21BF">
                <w:pPr>
                  <w:jc w:val="right"/>
                </w:pPr>
              </w:p>
            </w:tc>
            <w:tc>
              <w:tcPr>
                <w:tcW w:w="5954" w:type="dxa"/>
                <w:vAlign w:val="center"/>
              </w:tcPr>
              <w:p w14:paraId="04790AC3" w14:textId="77777777" w:rsidR="00F062BA" w:rsidRPr="003D3E12" w:rsidRDefault="00F062BA">
                <w:pPr>
                  <w:pStyle w:val="Title"/>
                </w:pPr>
                <w:r>
                  <w:t>Program review</w:t>
                </w:r>
              </w:p>
            </w:tc>
          </w:tr>
          <w:tr w:rsidR="00F062BA" w14:paraId="16480F47" w14:textId="77777777" w:rsidTr="008075DB">
            <w:trPr>
              <w:trHeight w:hRule="exact" w:val="794"/>
            </w:trPr>
            <w:tc>
              <w:tcPr>
                <w:tcW w:w="3828" w:type="dxa"/>
                <w:vAlign w:val="bottom"/>
              </w:tcPr>
              <w:p w14:paraId="09C63415" w14:textId="77777777" w:rsidR="00F062BA" w:rsidRDefault="00F062BA" w:rsidP="000E21BF"/>
            </w:tc>
            <w:tc>
              <w:tcPr>
                <w:tcW w:w="5954" w:type="dxa"/>
                <w:vAlign w:val="center"/>
              </w:tcPr>
              <w:p w14:paraId="13C8B803" w14:textId="77777777" w:rsidR="00F062BA" w:rsidRPr="003D3E12" w:rsidRDefault="009133DF">
                <w:pPr>
                  <w:pStyle w:val="Subtitle0"/>
                </w:pPr>
                <w:r>
                  <w:t>Final</w:t>
                </w:r>
                <w:r w:rsidR="00F062BA">
                  <w:t xml:space="preserve"> report</w:t>
                </w:r>
                <w:r w:rsidR="00F062BA" w:rsidRPr="003D3E12">
                  <w:t xml:space="preserve"> </w:t>
                </w:r>
              </w:p>
            </w:tc>
          </w:tr>
          <w:tr w:rsidR="00F062BA" w14:paraId="4DD1B757" w14:textId="77777777" w:rsidTr="008075DB">
            <w:trPr>
              <w:trHeight w:hRule="exact" w:val="6803"/>
            </w:trPr>
            <w:tc>
              <w:tcPr>
                <w:tcW w:w="9782" w:type="dxa"/>
                <w:gridSpan w:val="2"/>
                <w:vAlign w:val="bottom"/>
              </w:tcPr>
              <w:p w14:paraId="657ED582" w14:textId="77777777" w:rsidR="00F062BA" w:rsidRDefault="00F062BA" w:rsidP="000E21BF">
                <w:pPr>
                  <w:pStyle w:val="Image"/>
                </w:pPr>
                <w:r>
                  <w:drawing>
                    <wp:inline distT="0" distB="0" distL="0" distR="0" wp14:anchorId="0E64A2EA" wp14:editId="2D17A797">
                      <wp:extent cx="5939790" cy="4275455"/>
                      <wp:effectExtent l="0" t="0" r="3810" b="0"/>
                      <wp:docPr id="35" name="Picture 35"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urpl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4275455"/>
                              </a:xfrm>
                              <a:prstGeom prst="rect">
                                <a:avLst/>
                              </a:prstGeom>
                            </pic:spPr>
                          </pic:pic>
                        </a:graphicData>
                      </a:graphic>
                    </wp:inline>
                  </w:drawing>
                </w:r>
              </w:p>
            </w:tc>
          </w:tr>
        </w:tbl>
        <w:p w14:paraId="017359A7" w14:textId="77777777" w:rsidR="00F062BA" w:rsidRDefault="00F062BA">
          <w:pPr>
            <w:spacing w:before="180" w:line="300" w:lineRule="exact"/>
          </w:pPr>
          <w:r>
            <w:br w:type="page"/>
          </w:r>
        </w:p>
        <w:tbl>
          <w:tblPr>
            <w:tblStyle w:val="TableGrid"/>
            <w:tblW w:w="0" w:type="auto"/>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IL Allen contact details"/>
            <w:tblDescription w:val="ACIL Allen contact details"/>
          </w:tblPr>
          <w:tblGrid>
            <w:gridCol w:w="5622"/>
            <w:gridCol w:w="2717"/>
          </w:tblGrid>
          <w:tr w:rsidR="00F062BA" w14:paraId="5C192250" w14:textId="77777777" w:rsidTr="00CF4527">
            <w:trPr>
              <w:trHeight w:hRule="exact" w:val="778"/>
              <w:tblHeader/>
            </w:trPr>
            <w:tc>
              <w:tcPr>
                <w:tcW w:w="5622" w:type="dxa"/>
                <w:tcBorders>
                  <w:bottom w:val="single" w:sz="8" w:space="0" w:color="A6A6A6" w:themeColor="background1" w:themeShade="A6"/>
                </w:tcBorders>
              </w:tcPr>
              <w:p w14:paraId="4143155D" w14:textId="77777777" w:rsidR="00F062BA" w:rsidRDefault="00F062BA" w:rsidP="000E21BF">
                <w:pPr>
                  <w:pStyle w:val="ContactPageDeltas"/>
                </w:pPr>
              </w:p>
            </w:tc>
            <w:tc>
              <w:tcPr>
                <w:tcW w:w="2717" w:type="dxa"/>
                <w:tcBorders>
                  <w:bottom w:val="single" w:sz="8" w:space="0" w:color="A6A6A6" w:themeColor="background1" w:themeShade="A6"/>
                </w:tcBorders>
              </w:tcPr>
              <w:p w14:paraId="45976561" w14:textId="77777777" w:rsidR="00F062BA" w:rsidRDefault="00F062BA" w:rsidP="000E21BF">
                <w:pPr>
                  <w:pStyle w:val="ContactPageDeltas"/>
                </w:pPr>
                <w:r>
                  <w:rPr>
                    <w:noProof/>
                    <w:lang w:eastAsia="en-AU"/>
                  </w:rPr>
                  <w:drawing>
                    <wp:inline distT="0" distB="0" distL="0" distR="0" wp14:anchorId="086595C6" wp14:editId="07712BC7">
                      <wp:extent cx="882595" cy="441297"/>
                      <wp:effectExtent l="0" t="0" r="0" b="0"/>
                      <wp:docPr id="37" name="Picture 37"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2184" cy="441092"/>
                              </a:xfrm>
                              <a:prstGeom prst="rect">
                                <a:avLst/>
                              </a:prstGeom>
                            </pic:spPr>
                          </pic:pic>
                        </a:graphicData>
                      </a:graphic>
                    </wp:inline>
                  </w:drawing>
                </w:r>
              </w:p>
            </w:tc>
          </w:tr>
          <w:tr w:rsidR="00F062BA" w:rsidRPr="008614D0" w14:paraId="08FE90FC" w14:textId="77777777" w:rsidTr="00CF4527">
            <w:trPr>
              <w:trHeight w:hRule="exact" w:val="8347"/>
            </w:trPr>
            <w:tc>
              <w:tcPr>
                <w:tcW w:w="5622" w:type="dxa"/>
                <w:tcBorders>
                  <w:top w:val="single" w:sz="8" w:space="0" w:color="A6A6A6" w:themeColor="background1" w:themeShade="A6"/>
                </w:tcBorders>
                <w:vAlign w:val="bottom"/>
              </w:tcPr>
              <w:p w14:paraId="4B463C5D" w14:textId="77777777" w:rsidR="00F062BA" w:rsidRPr="008614D0" w:rsidRDefault="00F062BA" w:rsidP="005609B3">
                <w:pPr>
                  <w:pStyle w:val="CoverInfo"/>
                  <w:ind w:left="1068" w:hanging="1068"/>
                  <w:rPr>
                    <w:lang w:val="en-AU"/>
                  </w:rPr>
                </w:pPr>
              </w:p>
            </w:tc>
            <w:tc>
              <w:tcPr>
                <w:tcW w:w="2717" w:type="dxa"/>
                <w:tcBorders>
                  <w:top w:val="single" w:sz="8" w:space="0" w:color="A6A6A6" w:themeColor="background1" w:themeShade="A6"/>
                </w:tcBorders>
              </w:tcPr>
              <w:p w14:paraId="6086ABCD" w14:textId="77777777" w:rsidR="00F062BA" w:rsidRPr="008614D0" w:rsidRDefault="00F062BA" w:rsidP="005609B3">
                <w:pPr>
                  <w:pStyle w:val="Contact"/>
                </w:pPr>
                <w:r w:rsidRPr="008614D0">
                  <w:t>ACIL ALLEN CONSULTING PTY LTD</w:t>
                </w:r>
                <w:r w:rsidRPr="008614D0">
                  <w:br/>
                  <w:t>ABN 68 102 652 148</w:t>
                </w:r>
              </w:p>
              <w:p w14:paraId="2979C685" w14:textId="77777777" w:rsidR="00F062BA" w:rsidRPr="008614D0" w:rsidRDefault="00F062BA" w:rsidP="005609B3">
                <w:pPr>
                  <w:pStyle w:val="Contact"/>
                </w:pPr>
                <w:r w:rsidRPr="008614D0">
                  <w:t>Level FIFTEEN</w:t>
                </w:r>
                <w:r w:rsidRPr="008614D0">
                  <w:br/>
                  <w:t>127 Creek Street</w:t>
                </w:r>
                <w:r w:rsidRPr="008614D0">
                  <w:br/>
                  <w:t>Brisbane QLD 4000</w:t>
                </w:r>
                <w:r w:rsidRPr="008614D0">
                  <w:br/>
                  <w:t>Australia</w:t>
                </w:r>
                <w:r w:rsidRPr="008614D0">
                  <w:br/>
                  <w:t>T+61 7 3009 8700</w:t>
                </w:r>
                <w:r w:rsidRPr="008614D0">
                  <w:br/>
                  <w:t>F+61 7 3009 8799</w:t>
                </w:r>
              </w:p>
              <w:p w14:paraId="3FC19723" w14:textId="77777777" w:rsidR="00F062BA" w:rsidRPr="008614D0" w:rsidRDefault="00F062BA" w:rsidP="005609B3">
                <w:pPr>
                  <w:pStyle w:val="Contact"/>
                </w:pPr>
                <w:r w:rsidRPr="008614D0">
                  <w:t>Level TWO</w:t>
                </w:r>
                <w:r w:rsidRPr="008614D0">
                  <w:br/>
                  <w:t>33 Ainslie Place</w:t>
                </w:r>
                <w:r w:rsidRPr="008614D0">
                  <w:br/>
                  <w:t>CANBERRA ACT 2600</w:t>
                </w:r>
                <w:r w:rsidRPr="008614D0">
                  <w:br/>
                  <w:t>AUSTRALIA</w:t>
                </w:r>
                <w:r w:rsidRPr="008614D0">
                  <w:br/>
                  <w:t>T+61 2 6103 8200</w:t>
                </w:r>
                <w:r w:rsidRPr="008614D0">
                  <w:br/>
                  <w:t>F+61 2 6103 8233</w:t>
                </w:r>
              </w:p>
              <w:p w14:paraId="00CFE3C0" w14:textId="77777777" w:rsidR="00F062BA" w:rsidRPr="008614D0" w:rsidRDefault="00F062BA" w:rsidP="005609B3">
                <w:pPr>
                  <w:pStyle w:val="Contact"/>
                </w:pPr>
                <w:r w:rsidRPr="008614D0">
                  <w:t>Level NINE</w:t>
                </w:r>
                <w:r w:rsidRPr="008614D0">
                  <w:br/>
                  <w:t>60 Collins Street</w:t>
                </w:r>
                <w:r w:rsidRPr="008614D0">
                  <w:br/>
                  <w:t>MELBOURNE VIC 3000</w:t>
                </w:r>
                <w:r w:rsidRPr="008614D0">
                  <w:br/>
                  <w:t>AUSTRALIA</w:t>
                </w:r>
                <w:r w:rsidRPr="008614D0">
                  <w:br/>
                  <w:t>T+61 3 8650 6000</w:t>
                </w:r>
                <w:r w:rsidRPr="008614D0">
                  <w:br/>
                  <w:t>F+61 3 9654 6363</w:t>
                </w:r>
              </w:p>
              <w:p w14:paraId="4260DB8C" w14:textId="77777777" w:rsidR="00F062BA" w:rsidRPr="008614D0" w:rsidRDefault="00F062BA" w:rsidP="005609B3">
                <w:pPr>
                  <w:pStyle w:val="Contact"/>
                </w:pPr>
                <w:r w:rsidRPr="008614D0">
                  <w:t>Level one</w:t>
                </w:r>
                <w:r w:rsidRPr="008614D0">
                  <w:br/>
                  <w:t>50 Pitt Street</w:t>
                </w:r>
                <w:r w:rsidRPr="008614D0">
                  <w:br/>
                  <w:t>SYDNEY NSW 2000</w:t>
                </w:r>
                <w:r w:rsidRPr="008614D0">
                  <w:br/>
                  <w:t>AUSTRALIA</w:t>
                </w:r>
                <w:r w:rsidRPr="008614D0">
                  <w:br/>
                  <w:t>T+61 2 8272 5100</w:t>
                </w:r>
                <w:r w:rsidRPr="008614D0">
                  <w:br/>
                  <w:t>F+61 2 9247 2455</w:t>
                </w:r>
              </w:p>
              <w:p w14:paraId="18D35671" w14:textId="77777777" w:rsidR="00F062BA" w:rsidRPr="008614D0" w:rsidRDefault="00F062BA" w:rsidP="005609B3">
                <w:pPr>
                  <w:pStyle w:val="Contact"/>
                </w:pPr>
                <w:r w:rsidRPr="008614D0">
                  <w:t>Suite C2 Centa Building</w:t>
                </w:r>
                <w:r w:rsidRPr="008614D0">
                  <w:br/>
                  <w:t>118 Railway Street</w:t>
                </w:r>
                <w:r w:rsidRPr="008614D0">
                  <w:br/>
                  <w:t>WEST PERTH WA 6005</w:t>
                </w:r>
                <w:r w:rsidRPr="008614D0">
                  <w:br/>
                  <w:t>AUSTRALIA</w:t>
                </w:r>
                <w:r w:rsidRPr="008614D0">
                  <w:br/>
                  <w:t>T+61 8 9449 9600</w:t>
                </w:r>
                <w:r w:rsidRPr="008614D0">
                  <w:br/>
                  <w:t>F+61 8 9322 3955</w:t>
                </w:r>
              </w:p>
              <w:p w14:paraId="7EA7DE0D" w14:textId="77777777" w:rsidR="00F062BA" w:rsidRPr="008614D0" w:rsidRDefault="00F062BA" w:rsidP="005609B3">
                <w:pPr>
                  <w:pStyle w:val="Contact"/>
                </w:pPr>
                <w:r w:rsidRPr="008614D0">
                  <w:t>Acilallen.com.au</w:t>
                </w:r>
              </w:p>
            </w:tc>
          </w:tr>
          <w:tr w:rsidR="00F062BA" w:rsidRPr="008614D0" w14:paraId="53BF9792" w14:textId="77777777" w:rsidTr="00CF4527">
            <w:trPr>
              <w:trHeight w:hRule="exact" w:val="2903"/>
            </w:trPr>
            <w:tc>
              <w:tcPr>
                <w:tcW w:w="8339" w:type="dxa"/>
                <w:gridSpan w:val="2"/>
              </w:tcPr>
              <w:p w14:paraId="7889A659" w14:textId="77777777" w:rsidR="00F062BA" w:rsidRPr="00DF595B" w:rsidRDefault="00F062BA" w:rsidP="000E21BF">
                <w:pPr>
                  <w:spacing w:after="40"/>
                  <w:rPr>
                    <w:rFonts w:asciiTheme="majorHAnsi" w:hAnsiTheme="majorHAnsi" w:cstheme="majorHAnsi"/>
                    <w:caps/>
                  </w:rPr>
                </w:pPr>
              </w:p>
            </w:tc>
          </w:tr>
        </w:tbl>
        <w:p w14:paraId="7826A3F6" w14:textId="77777777" w:rsidR="00F062BA" w:rsidRDefault="00366ADF" w:rsidP="000E21BF">
          <w:pPr>
            <w:sectPr w:rsidR="00F062BA">
              <w:headerReference w:type="default" r:id="rId12"/>
              <w:pgSz w:w="11906" w:h="16838" w:code="9"/>
              <w:pgMar w:top="1134" w:right="851" w:bottom="907" w:left="1134" w:header="709" w:footer="567" w:gutter="567"/>
              <w:pgNumType w:start="0"/>
              <w:cols w:space="708"/>
              <w:titlePg/>
              <w:docGrid w:linePitch="360"/>
            </w:sectPr>
          </w:pPr>
        </w:p>
      </w:sdtContent>
    </w:sdt>
    <w:p w14:paraId="7D6D1218" w14:textId="77777777" w:rsidR="00F062BA" w:rsidRPr="00B4627C" w:rsidRDefault="00F062BA" w:rsidP="00B4627C">
      <w:pPr>
        <w:pStyle w:val="BodyText"/>
      </w:pPr>
    </w:p>
    <w:p w14:paraId="5C5C1B21" w14:textId="77777777" w:rsidR="00F062BA" w:rsidRDefault="00F062BA" w:rsidP="005609B3">
      <w:pPr>
        <w:pStyle w:val="SpaceAbove"/>
      </w:pPr>
    </w:p>
    <w:p w14:paraId="548996EE" w14:textId="77777777" w:rsidR="00F062BA" w:rsidRPr="00A33AF3" w:rsidRDefault="00F062BA" w:rsidP="005609B3">
      <w:pPr>
        <w:pStyle w:val="Contents"/>
      </w:pPr>
      <w:r w:rsidRPr="00A33AF3">
        <w:t>Contents</w:t>
      </w:r>
    </w:p>
    <w:p w14:paraId="27A20E63" w14:textId="77777777" w:rsidR="006214F8" w:rsidRDefault="00492194">
      <w:pPr>
        <w:pStyle w:val="TOC6"/>
        <w:rPr>
          <w:rFonts w:asciiTheme="minorHAnsi" w:eastAsiaTheme="minorEastAsia" w:hAnsiTheme="minorHAnsi" w:cstheme="minorBidi"/>
          <w:noProof/>
          <w:szCs w:val="22"/>
          <w:lang w:eastAsia="en-AU"/>
        </w:rPr>
      </w:pPr>
      <w:r w:rsidRPr="00A33AF3">
        <w:fldChar w:fldCharType="begin"/>
      </w:r>
      <w:r w:rsidR="00F062BA" w:rsidRPr="00A33AF3">
        <w:instrText xml:space="preserve"> TOC \h \z \t "</w:instrText>
      </w:r>
      <w:r w:rsidR="00F062BA">
        <w:instrText>Exec Summary Heading</w:instrText>
      </w:r>
      <w:r w:rsidR="00F062BA" w:rsidRPr="00A33AF3">
        <w:instrText xml:space="preserve">,6" </w:instrText>
      </w:r>
      <w:r w:rsidRPr="00A33AF3">
        <w:fldChar w:fldCharType="separate"/>
      </w:r>
      <w:hyperlink w:anchor="_Toc414888681" w:history="1">
        <w:r w:rsidR="006214F8" w:rsidRPr="000960DE">
          <w:rPr>
            <w:rStyle w:val="Hyperlink"/>
            <w:noProof/>
          </w:rPr>
          <w:t>Executive summary</w:t>
        </w:r>
        <w:r w:rsidR="006214F8">
          <w:rPr>
            <w:noProof/>
            <w:webHidden/>
          </w:rPr>
          <w:tab/>
        </w:r>
        <w:r w:rsidR="006214F8">
          <w:rPr>
            <w:noProof/>
            <w:webHidden/>
          </w:rPr>
          <w:fldChar w:fldCharType="begin"/>
        </w:r>
        <w:r w:rsidR="006214F8">
          <w:rPr>
            <w:noProof/>
            <w:webHidden/>
          </w:rPr>
          <w:instrText xml:space="preserve"> PAGEREF _Toc414888681 \h </w:instrText>
        </w:r>
        <w:r w:rsidR="006214F8">
          <w:rPr>
            <w:noProof/>
            <w:webHidden/>
          </w:rPr>
        </w:r>
        <w:r w:rsidR="006214F8">
          <w:rPr>
            <w:noProof/>
            <w:webHidden/>
          </w:rPr>
          <w:fldChar w:fldCharType="separate"/>
        </w:r>
        <w:r w:rsidR="006A273E">
          <w:rPr>
            <w:noProof/>
            <w:webHidden/>
          </w:rPr>
          <w:t>i</w:t>
        </w:r>
        <w:r w:rsidR="006214F8">
          <w:rPr>
            <w:noProof/>
            <w:webHidden/>
          </w:rPr>
          <w:fldChar w:fldCharType="end"/>
        </w:r>
      </w:hyperlink>
    </w:p>
    <w:p w14:paraId="0F0C1F04" w14:textId="77777777" w:rsidR="00F062BA" w:rsidRDefault="00492194" w:rsidP="005609B3">
      <w:pPr>
        <w:pStyle w:val="TOC6"/>
      </w:pPr>
      <w:r w:rsidRPr="00A33AF3">
        <w:fldChar w:fldCharType="end"/>
      </w:r>
    </w:p>
    <w:sdt>
      <w:sdtPr>
        <w:rPr>
          <w:rFonts w:ascii="Times New Roman" w:hAnsi="Times New Roman"/>
          <w:b w:val="0"/>
          <w:smallCaps/>
          <w:noProof w:val="0"/>
          <w:color w:val="auto"/>
          <w:sz w:val="3276"/>
          <w:szCs w:val="20"/>
          <w:lang w:eastAsia="en-US"/>
        </w:rPr>
        <w:id w:val="-2124218312"/>
        <w:docPartObj>
          <w:docPartGallery w:val="Table of Contents"/>
          <w:docPartUnique/>
        </w:docPartObj>
      </w:sdtPr>
      <w:sdtEndPr>
        <w:rPr>
          <w:rFonts w:asciiTheme="minorHAnsi" w:hAnsiTheme="minorHAnsi"/>
          <w:smallCaps w:val="0"/>
          <w:sz w:val="24"/>
          <w:szCs w:val="24"/>
        </w:rPr>
      </w:sdtEndPr>
      <w:sdtContent>
        <w:p w14:paraId="7AE92F46" w14:textId="77777777" w:rsidR="004D060B" w:rsidRDefault="00492194">
          <w:pPr>
            <w:pStyle w:val="TOC1"/>
            <w:rPr>
              <w:rFonts w:asciiTheme="minorHAnsi" w:eastAsiaTheme="minorEastAsia" w:hAnsiTheme="minorHAnsi" w:cstheme="minorBidi"/>
              <w:b w:val="0"/>
              <w:color w:val="auto"/>
            </w:rPr>
          </w:pPr>
          <w:r>
            <w:rPr>
              <w:smallCaps/>
              <w:color w:val="9757A6" w:themeColor="text2"/>
              <w:szCs w:val="24"/>
              <w:lang w:eastAsia="en-US"/>
            </w:rPr>
            <w:fldChar w:fldCharType="begin"/>
          </w:r>
          <w:r w:rsidR="00F062BA">
            <w:instrText xml:space="preserve"> TOC \h \z \t "Heading 1,1,Heading 2,2,Heading 3,3,</w:instrText>
          </w:r>
          <w:r w:rsidR="00F062BA" w:rsidRPr="005E7B6E">
            <w:instrText xml:space="preserve"> </w:instrText>
          </w:r>
          <w:r w:rsidR="00F062BA">
            <w:instrText xml:space="preserve">Part,5," </w:instrText>
          </w:r>
          <w:r>
            <w:rPr>
              <w:smallCaps/>
              <w:color w:val="9757A6" w:themeColor="text2"/>
              <w:szCs w:val="24"/>
              <w:lang w:eastAsia="en-US"/>
            </w:rPr>
            <w:fldChar w:fldCharType="separate"/>
          </w:r>
          <w:hyperlink w:anchor="_Toc415660819" w:history="1">
            <w:r w:rsidR="004D060B" w:rsidRPr="00510B41">
              <w:rPr>
                <w:rStyle w:val="Hyperlink"/>
              </w:rPr>
              <w:t>1</w:t>
            </w:r>
            <w:r w:rsidR="004D060B">
              <w:rPr>
                <w:rFonts w:asciiTheme="minorHAnsi" w:eastAsiaTheme="minorEastAsia" w:hAnsiTheme="minorHAnsi" w:cstheme="minorBidi"/>
                <w:b w:val="0"/>
                <w:color w:val="auto"/>
              </w:rPr>
              <w:tab/>
            </w:r>
            <w:r w:rsidR="004D060B" w:rsidRPr="00510B41">
              <w:rPr>
                <w:rStyle w:val="Hyperlink"/>
              </w:rPr>
              <w:t>Introduction</w:t>
            </w:r>
            <w:r w:rsidR="004D060B">
              <w:rPr>
                <w:webHidden/>
              </w:rPr>
              <w:tab/>
            </w:r>
            <w:r w:rsidR="004D060B">
              <w:rPr>
                <w:webHidden/>
              </w:rPr>
              <w:fldChar w:fldCharType="begin"/>
            </w:r>
            <w:r w:rsidR="004D060B">
              <w:rPr>
                <w:webHidden/>
              </w:rPr>
              <w:instrText xml:space="preserve"> PAGEREF _Toc415660819 \h </w:instrText>
            </w:r>
            <w:r w:rsidR="004D060B">
              <w:rPr>
                <w:webHidden/>
              </w:rPr>
            </w:r>
            <w:r w:rsidR="004D060B">
              <w:rPr>
                <w:webHidden/>
              </w:rPr>
              <w:fldChar w:fldCharType="separate"/>
            </w:r>
            <w:r w:rsidR="004D060B">
              <w:rPr>
                <w:webHidden/>
              </w:rPr>
              <w:t>1</w:t>
            </w:r>
            <w:r w:rsidR="004D060B">
              <w:rPr>
                <w:webHidden/>
              </w:rPr>
              <w:fldChar w:fldCharType="end"/>
            </w:r>
          </w:hyperlink>
        </w:p>
        <w:p w14:paraId="5EC78252" w14:textId="77777777" w:rsidR="004D060B" w:rsidRDefault="00366ADF">
          <w:pPr>
            <w:pStyle w:val="TOC2"/>
            <w:rPr>
              <w:rFonts w:asciiTheme="minorHAnsi" w:eastAsiaTheme="minorEastAsia" w:hAnsiTheme="minorHAnsi" w:cstheme="minorBidi"/>
              <w:szCs w:val="22"/>
            </w:rPr>
          </w:pPr>
          <w:hyperlink w:anchor="_Toc415660820" w:history="1">
            <w:r w:rsidR="004D060B" w:rsidRPr="00510B41">
              <w:rPr>
                <w:rStyle w:val="Hyperlink"/>
              </w:rPr>
              <w:t>1.1</w:t>
            </w:r>
            <w:r w:rsidR="004D060B">
              <w:rPr>
                <w:rFonts w:asciiTheme="minorHAnsi" w:eastAsiaTheme="minorEastAsia" w:hAnsiTheme="minorHAnsi" w:cstheme="minorBidi"/>
                <w:szCs w:val="22"/>
              </w:rPr>
              <w:tab/>
            </w:r>
            <w:r w:rsidR="004D060B" w:rsidRPr="00510B41">
              <w:rPr>
                <w:rStyle w:val="Hyperlink"/>
              </w:rPr>
              <w:t>Background and context</w:t>
            </w:r>
            <w:r w:rsidR="004D060B">
              <w:rPr>
                <w:webHidden/>
              </w:rPr>
              <w:tab/>
            </w:r>
            <w:r w:rsidR="004D060B">
              <w:rPr>
                <w:webHidden/>
              </w:rPr>
              <w:fldChar w:fldCharType="begin"/>
            </w:r>
            <w:r w:rsidR="004D060B">
              <w:rPr>
                <w:webHidden/>
              </w:rPr>
              <w:instrText xml:space="preserve"> PAGEREF _Toc415660820 \h </w:instrText>
            </w:r>
            <w:r w:rsidR="004D060B">
              <w:rPr>
                <w:webHidden/>
              </w:rPr>
            </w:r>
            <w:r w:rsidR="004D060B">
              <w:rPr>
                <w:webHidden/>
              </w:rPr>
              <w:fldChar w:fldCharType="separate"/>
            </w:r>
            <w:r w:rsidR="004D060B">
              <w:rPr>
                <w:webHidden/>
              </w:rPr>
              <w:t>1</w:t>
            </w:r>
            <w:r w:rsidR="004D060B">
              <w:rPr>
                <w:webHidden/>
              </w:rPr>
              <w:fldChar w:fldCharType="end"/>
            </w:r>
          </w:hyperlink>
        </w:p>
        <w:p w14:paraId="26DF613A" w14:textId="77777777" w:rsidR="004D060B" w:rsidRDefault="00366ADF">
          <w:pPr>
            <w:pStyle w:val="TOC2"/>
            <w:rPr>
              <w:rFonts w:asciiTheme="minorHAnsi" w:eastAsiaTheme="minorEastAsia" w:hAnsiTheme="minorHAnsi" w:cstheme="minorBidi"/>
              <w:szCs w:val="22"/>
            </w:rPr>
          </w:pPr>
          <w:hyperlink w:anchor="_Toc415660821" w:history="1">
            <w:r w:rsidR="004D060B" w:rsidRPr="00510B41">
              <w:rPr>
                <w:rStyle w:val="Hyperlink"/>
              </w:rPr>
              <w:t>1.2</w:t>
            </w:r>
            <w:r w:rsidR="004D060B">
              <w:rPr>
                <w:rFonts w:asciiTheme="minorHAnsi" w:eastAsiaTheme="minorEastAsia" w:hAnsiTheme="minorHAnsi" w:cstheme="minorBidi"/>
                <w:szCs w:val="22"/>
              </w:rPr>
              <w:tab/>
            </w:r>
            <w:r w:rsidR="004D060B" w:rsidRPr="00510B41">
              <w:rPr>
                <w:rStyle w:val="Hyperlink"/>
              </w:rPr>
              <w:t>Objectives and scope of the review</w:t>
            </w:r>
            <w:r w:rsidR="004D060B">
              <w:rPr>
                <w:webHidden/>
              </w:rPr>
              <w:tab/>
            </w:r>
            <w:r w:rsidR="004D060B">
              <w:rPr>
                <w:webHidden/>
              </w:rPr>
              <w:fldChar w:fldCharType="begin"/>
            </w:r>
            <w:r w:rsidR="004D060B">
              <w:rPr>
                <w:webHidden/>
              </w:rPr>
              <w:instrText xml:space="preserve"> PAGEREF _Toc415660821 \h </w:instrText>
            </w:r>
            <w:r w:rsidR="004D060B">
              <w:rPr>
                <w:webHidden/>
              </w:rPr>
            </w:r>
            <w:r w:rsidR="004D060B">
              <w:rPr>
                <w:webHidden/>
              </w:rPr>
              <w:fldChar w:fldCharType="separate"/>
            </w:r>
            <w:r w:rsidR="004D060B">
              <w:rPr>
                <w:webHidden/>
              </w:rPr>
              <w:t>1</w:t>
            </w:r>
            <w:r w:rsidR="004D060B">
              <w:rPr>
                <w:webHidden/>
              </w:rPr>
              <w:fldChar w:fldCharType="end"/>
            </w:r>
          </w:hyperlink>
        </w:p>
        <w:p w14:paraId="62A1B4F3" w14:textId="77777777" w:rsidR="004D060B" w:rsidRDefault="00366ADF">
          <w:pPr>
            <w:pStyle w:val="TOC2"/>
            <w:rPr>
              <w:rFonts w:asciiTheme="minorHAnsi" w:eastAsiaTheme="minorEastAsia" w:hAnsiTheme="minorHAnsi" w:cstheme="minorBidi"/>
              <w:szCs w:val="22"/>
            </w:rPr>
          </w:pPr>
          <w:hyperlink w:anchor="_Toc415660822" w:history="1">
            <w:r w:rsidR="004D060B" w:rsidRPr="00510B41">
              <w:rPr>
                <w:rStyle w:val="Hyperlink"/>
              </w:rPr>
              <w:t>1.3</w:t>
            </w:r>
            <w:r w:rsidR="004D060B">
              <w:rPr>
                <w:rFonts w:asciiTheme="minorHAnsi" w:eastAsiaTheme="minorEastAsia" w:hAnsiTheme="minorHAnsi" w:cstheme="minorBidi"/>
                <w:szCs w:val="22"/>
              </w:rPr>
              <w:tab/>
            </w:r>
            <w:r w:rsidR="004D060B" w:rsidRPr="00510B41">
              <w:rPr>
                <w:rStyle w:val="Hyperlink"/>
              </w:rPr>
              <w:t>Approach to the review</w:t>
            </w:r>
            <w:r w:rsidR="004D060B">
              <w:rPr>
                <w:webHidden/>
              </w:rPr>
              <w:tab/>
            </w:r>
            <w:r w:rsidR="004D060B">
              <w:rPr>
                <w:webHidden/>
              </w:rPr>
              <w:fldChar w:fldCharType="begin"/>
            </w:r>
            <w:r w:rsidR="004D060B">
              <w:rPr>
                <w:webHidden/>
              </w:rPr>
              <w:instrText xml:space="preserve"> PAGEREF _Toc415660822 \h </w:instrText>
            </w:r>
            <w:r w:rsidR="004D060B">
              <w:rPr>
                <w:webHidden/>
              </w:rPr>
            </w:r>
            <w:r w:rsidR="004D060B">
              <w:rPr>
                <w:webHidden/>
              </w:rPr>
              <w:fldChar w:fldCharType="separate"/>
            </w:r>
            <w:r w:rsidR="004D060B">
              <w:rPr>
                <w:webHidden/>
              </w:rPr>
              <w:t>2</w:t>
            </w:r>
            <w:r w:rsidR="004D060B">
              <w:rPr>
                <w:webHidden/>
              </w:rPr>
              <w:fldChar w:fldCharType="end"/>
            </w:r>
          </w:hyperlink>
        </w:p>
        <w:p w14:paraId="70A7C808" w14:textId="77777777" w:rsidR="004D060B" w:rsidRDefault="00366ADF">
          <w:pPr>
            <w:pStyle w:val="TOC3"/>
            <w:rPr>
              <w:rFonts w:asciiTheme="minorHAnsi" w:eastAsiaTheme="minorEastAsia" w:hAnsiTheme="minorHAnsi" w:cstheme="minorBidi"/>
              <w:szCs w:val="22"/>
            </w:rPr>
          </w:pPr>
          <w:hyperlink w:anchor="_Toc415660823" w:history="1">
            <w:r w:rsidR="004D060B" w:rsidRPr="00510B41">
              <w:rPr>
                <w:rStyle w:val="Hyperlink"/>
              </w:rPr>
              <w:t>1.3.1</w:t>
            </w:r>
            <w:r w:rsidR="004D060B">
              <w:rPr>
                <w:rFonts w:asciiTheme="minorHAnsi" w:eastAsiaTheme="minorEastAsia" w:hAnsiTheme="minorHAnsi" w:cstheme="minorBidi"/>
                <w:szCs w:val="22"/>
              </w:rPr>
              <w:tab/>
            </w:r>
            <w:r w:rsidR="004D060B" w:rsidRPr="00510B41">
              <w:rPr>
                <w:rStyle w:val="Hyperlink"/>
              </w:rPr>
              <w:t>Key project steps</w:t>
            </w:r>
            <w:r w:rsidR="004D060B">
              <w:rPr>
                <w:webHidden/>
              </w:rPr>
              <w:tab/>
            </w:r>
            <w:r w:rsidR="004D060B">
              <w:rPr>
                <w:webHidden/>
              </w:rPr>
              <w:fldChar w:fldCharType="begin"/>
            </w:r>
            <w:r w:rsidR="004D060B">
              <w:rPr>
                <w:webHidden/>
              </w:rPr>
              <w:instrText xml:space="preserve"> PAGEREF _Toc415660823 \h </w:instrText>
            </w:r>
            <w:r w:rsidR="004D060B">
              <w:rPr>
                <w:webHidden/>
              </w:rPr>
            </w:r>
            <w:r w:rsidR="004D060B">
              <w:rPr>
                <w:webHidden/>
              </w:rPr>
              <w:fldChar w:fldCharType="separate"/>
            </w:r>
            <w:r w:rsidR="004D060B">
              <w:rPr>
                <w:webHidden/>
              </w:rPr>
              <w:t>2</w:t>
            </w:r>
            <w:r w:rsidR="004D060B">
              <w:rPr>
                <w:webHidden/>
              </w:rPr>
              <w:fldChar w:fldCharType="end"/>
            </w:r>
          </w:hyperlink>
        </w:p>
        <w:p w14:paraId="6FB1E17A" w14:textId="77777777" w:rsidR="004D060B" w:rsidRDefault="00366ADF">
          <w:pPr>
            <w:pStyle w:val="TOC3"/>
            <w:rPr>
              <w:rFonts w:asciiTheme="minorHAnsi" w:eastAsiaTheme="minorEastAsia" w:hAnsiTheme="minorHAnsi" w:cstheme="minorBidi"/>
              <w:szCs w:val="22"/>
            </w:rPr>
          </w:pPr>
          <w:hyperlink w:anchor="_Toc415660824" w:history="1">
            <w:r w:rsidR="004D060B" w:rsidRPr="00510B41">
              <w:rPr>
                <w:rStyle w:val="Hyperlink"/>
              </w:rPr>
              <w:t>1.3.2</w:t>
            </w:r>
            <w:r w:rsidR="004D060B">
              <w:rPr>
                <w:rFonts w:asciiTheme="minorHAnsi" w:eastAsiaTheme="minorEastAsia" w:hAnsiTheme="minorHAnsi" w:cstheme="minorBidi"/>
                <w:szCs w:val="22"/>
              </w:rPr>
              <w:tab/>
            </w:r>
            <w:r w:rsidR="004D060B" w:rsidRPr="00510B41">
              <w:rPr>
                <w:rStyle w:val="Hyperlink"/>
              </w:rPr>
              <w:t>Stakeholder consultations</w:t>
            </w:r>
            <w:r w:rsidR="004D060B">
              <w:rPr>
                <w:webHidden/>
              </w:rPr>
              <w:tab/>
            </w:r>
            <w:r w:rsidR="004D060B">
              <w:rPr>
                <w:webHidden/>
              </w:rPr>
              <w:fldChar w:fldCharType="begin"/>
            </w:r>
            <w:r w:rsidR="004D060B">
              <w:rPr>
                <w:webHidden/>
              </w:rPr>
              <w:instrText xml:space="preserve"> PAGEREF _Toc415660824 \h </w:instrText>
            </w:r>
            <w:r w:rsidR="004D060B">
              <w:rPr>
                <w:webHidden/>
              </w:rPr>
            </w:r>
            <w:r w:rsidR="004D060B">
              <w:rPr>
                <w:webHidden/>
              </w:rPr>
              <w:fldChar w:fldCharType="separate"/>
            </w:r>
            <w:r w:rsidR="004D060B">
              <w:rPr>
                <w:webHidden/>
              </w:rPr>
              <w:t>3</w:t>
            </w:r>
            <w:r w:rsidR="004D060B">
              <w:rPr>
                <w:webHidden/>
              </w:rPr>
              <w:fldChar w:fldCharType="end"/>
            </w:r>
          </w:hyperlink>
        </w:p>
        <w:p w14:paraId="1623E7DB" w14:textId="77777777" w:rsidR="004D060B" w:rsidRDefault="00366ADF">
          <w:pPr>
            <w:pStyle w:val="TOC2"/>
            <w:rPr>
              <w:rFonts w:asciiTheme="minorHAnsi" w:eastAsiaTheme="minorEastAsia" w:hAnsiTheme="minorHAnsi" w:cstheme="minorBidi"/>
              <w:szCs w:val="22"/>
            </w:rPr>
          </w:pPr>
          <w:hyperlink w:anchor="_Toc415660825" w:history="1">
            <w:r w:rsidR="004D060B" w:rsidRPr="00510B41">
              <w:rPr>
                <w:rStyle w:val="Hyperlink"/>
              </w:rPr>
              <w:t>1.4</w:t>
            </w:r>
            <w:r w:rsidR="004D060B">
              <w:rPr>
                <w:rFonts w:asciiTheme="minorHAnsi" w:eastAsiaTheme="minorEastAsia" w:hAnsiTheme="minorHAnsi" w:cstheme="minorBidi"/>
                <w:szCs w:val="22"/>
              </w:rPr>
              <w:tab/>
            </w:r>
            <w:r w:rsidR="004D060B" w:rsidRPr="00510B41">
              <w:rPr>
                <w:rStyle w:val="Hyperlink"/>
              </w:rPr>
              <w:t>Report structure</w:t>
            </w:r>
            <w:r w:rsidR="004D060B">
              <w:rPr>
                <w:webHidden/>
              </w:rPr>
              <w:tab/>
            </w:r>
            <w:r w:rsidR="004D060B">
              <w:rPr>
                <w:webHidden/>
              </w:rPr>
              <w:fldChar w:fldCharType="begin"/>
            </w:r>
            <w:r w:rsidR="004D060B">
              <w:rPr>
                <w:webHidden/>
              </w:rPr>
              <w:instrText xml:space="preserve"> PAGEREF _Toc415660825 \h </w:instrText>
            </w:r>
            <w:r w:rsidR="004D060B">
              <w:rPr>
                <w:webHidden/>
              </w:rPr>
            </w:r>
            <w:r w:rsidR="004D060B">
              <w:rPr>
                <w:webHidden/>
              </w:rPr>
              <w:fldChar w:fldCharType="separate"/>
            </w:r>
            <w:r w:rsidR="004D060B">
              <w:rPr>
                <w:webHidden/>
              </w:rPr>
              <w:t>5</w:t>
            </w:r>
            <w:r w:rsidR="004D060B">
              <w:rPr>
                <w:webHidden/>
              </w:rPr>
              <w:fldChar w:fldCharType="end"/>
            </w:r>
          </w:hyperlink>
        </w:p>
        <w:p w14:paraId="7A826AA3" w14:textId="77777777" w:rsidR="004D060B" w:rsidRDefault="00366ADF">
          <w:pPr>
            <w:pStyle w:val="TOC1"/>
            <w:rPr>
              <w:rFonts w:asciiTheme="minorHAnsi" w:eastAsiaTheme="minorEastAsia" w:hAnsiTheme="minorHAnsi" w:cstheme="minorBidi"/>
              <w:b w:val="0"/>
              <w:color w:val="auto"/>
            </w:rPr>
          </w:pPr>
          <w:hyperlink w:anchor="_Toc415660826" w:history="1">
            <w:r w:rsidR="004D060B" w:rsidRPr="00510B41">
              <w:rPr>
                <w:rStyle w:val="Hyperlink"/>
              </w:rPr>
              <w:t>2</w:t>
            </w:r>
            <w:r w:rsidR="004D060B">
              <w:rPr>
                <w:rFonts w:asciiTheme="minorHAnsi" w:eastAsiaTheme="minorEastAsia" w:hAnsiTheme="minorHAnsi" w:cstheme="minorBidi"/>
                <w:b w:val="0"/>
                <w:color w:val="auto"/>
              </w:rPr>
              <w:tab/>
            </w:r>
            <w:r w:rsidR="004D060B" w:rsidRPr="00510B41">
              <w:rPr>
                <w:rStyle w:val="Hyperlink"/>
              </w:rPr>
              <w:t>Why building energy efficiency matters</w:t>
            </w:r>
            <w:r w:rsidR="004D060B">
              <w:rPr>
                <w:webHidden/>
              </w:rPr>
              <w:tab/>
            </w:r>
            <w:r w:rsidR="004D060B">
              <w:rPr>
                <w:webHidden/>
              </w:rPr>
              <w:fldChar w:fldCharType="begin"/>
            </w:r>
            <w:r w:rsidR="004D060B">
              <w:rPr>
                <w:webHidden/>
              </w:rPr>
              <w:instrText xml:space="preserve"> PAGEREF _Toc415660826 \h </w:instrText>
            </w:r>
            <w:r w:rsidR="004D060B">
              <w:rPr>
                <w:webHidden/>
              </w:rPr>
            </w:r>
            <w:r w:rsidR="004D060B">
              <w:rPr>
                <w:webHidden/>
              </w:rPr>
              <w:fldChar w:fldCharType="separate"/>
            </w:r>
            <w:r w:rsidR="004D060B">
              <w:rPr>
                <w:webHidden/>
              </w:rPr>
              <w:t>6</w:t>
            </w:r>
            <w:r w:rsidR="004D060B">
              <w:rPr>
                <w:webHidden/>
              </w:rPr>
              <w:fldChar w:fldCharType="end"/>
            </w:r>
          </w:hyperlink>
        </w:p>
        <w:p w14:paraId="7841E440" w14:textId="77777777" w:rsidR="004D060B" w:rsidRDefault="00366ADF">
          <w:pPr>
            <w:pStyle w:val="TOC2"/>
            <w:rPr>
              <w:rFonts w:asciiTheme="minorHAnsi" w:eastAsiaTheme="minorEastAsia" w:hAnsiTheme="minorHAnsi" w:cstheme="minorBidi"/>
              <w:szCs w:val="22"/>
            </w:rPr>
          </w:pPr>
          <w:hyperlink w:anchor="_Toc415660827" w:history="1">
            <w:r w:rsidR="004D060B" w:rsidRPr="00510B41">
              <w:rPr>
                <w:rStyle w:val="Hyperlink"/>
              </w:rPr>
              <w:t>2.1</w:t>
            </w:r>
            <w:r w:rsidR="004D060B">
              <w:rPr>
                <w:rFonts w:asciiTheme="minorHAnsi" w:eastAsiaTheme="minorEastAsia" w:hAnsiTheme="minorHAnsi" w:cstheme="minorBidi"/>
                <w:szCs w:val="22"/>
              </w:rPr>
              <w:tab/>
            </w:r>
            <w:r w:rsidR="004D060B" w:rsidRPr="00510B41">
              <w:rPr>
                <w:rStyle w:val="Hyperlink"/>
              </w:rPr>
              <w:t>Impacts of buildings – energy consumption and greenhouse gas emissions</w:t>
            </w:r>
            <w:r w:rsidR="004D060B">
              <w:rPr>
                <w:webHidden/>
              </w:rPr>
              <w:tab/>
            </w:r>
            <w:r w:rsidR="004D060B">
              <w:rPr>
                <w:webHidden/>
              </w:rPr>
              <w:fldChar w:fldCharType="begin"/>
            </w:r>
            <w:r w:rsidR="004D060B">
              <w:rPr>
                <w:webHidden/>
              </w:rPr>
              <w:instrText xml:space="preserve"> PAGEREF _Toc415660827 \h </w:instrText>
            </w:r>
            <w:r w:rsidR="004D060B">
              <w:rPr>
                <w:webHidden/>
              </w:rPr>
            </w:r>
            <w:r w:rsidR="004D060B">
              <w:rPr>
                <w:webHidden/>
              </w:rPr>
              <w:fldChar w:fldCharType="separate"/>
            </w:r>
            <w:r w:rsidR="004D060B">
              <w:rPr>
                <w:webHidden/>
              </w:rPr>
              <w:t>6</w:t>
            </w:r>
            <w:r w:rsidR="004D060B">
              <w:rPr>
                <w:webHidden/>
              </w:rPr>
              <w:fldChar w:fldCharType="end"/>
            </w:r>
          </w:hyperlink>
        </w:p>
        <w:p w14:paraId="12DE60F7" w14:textId="77777777" w:rsidR="004D060B" w:rsidRDefault="00366ADF">
          <w:pPr>
            <w:pStyle w:val="TOC3"/>
            <w:rPr>
              <w:rFonts w:asciiTheme="minorHAnsi" w:eastAsiaTheme="minorEastAsia" w:hAnsiTheme="minorHAnsi" w:cstheme="minorBidi"/>
              <w:szCs w:val="22"/>
            </w:rPr>
          </w:pPr>
          <w:hyperlink w:anchor="_Toc415660828" w:history="1">
            <w:r w:rsidR="004D060B" w:rsidRPr="00510B41">
              <w:rPr>
                <w:rStyle w:val="Hyperlink"/>
              </w:rPr>
              <w:t>2.1.1</w:t>
            </w:r>
            <w:r w:rsidR="004D060B">
              <w:rPr>
                <w:rFonts w:asciiTheme="minorHAnsi" w:eastAsiaTheme="minorEastAsia" w:hAnsiTheme="minorHAnsi" w:cstheme="minorBidi"/>
                <w:szCs w:val="22"/>
              </w:rPr>
              <w:tab/>
            </w:r>
            <w:r w:rsidR="004D060B" w:rsidRPr="00510B41">
              <w:rPr>
                <w:rStyle w:val="Hyperlink"/>
              </w:rPr>
              <w:t>Energy consumption</w:t>
            </w:r>
            <w:r w:rsidR="004D060B">
              <w:rPr>
                <w:webHidden/>
              </w:rPr>
              <w:tab/>
            </w:r>
            <w:r w:rsidR="004D060B">
              <w:rPr>
                <w:webHidden/>
              </w:rPr>
              <w:fldChar w:fldCharType="begin"/>
            </w:r>
            <w:r w:rsidR="004D060B">
              <w:rPr>
                <w:webHidden/>
              </w:rPr>
              <w:instrText xml:space="preserve"> PAGEREF _Toc415660828 \h </w:instrText>
            </w:r>
            <w:r w:rsidR="004D060B">
              <w:rPr>
                <w:webHidden/>
              </w:rPr>
            </w:r>
            <w:r w:rsidR="004D060B">
              <w:rPr>
                <w:webHidden/>
              </w:rPr>
              <w:fldChar w:fldCharType="separate"/>
            </w:r>
            <w:r w:rsidR="004D060B">
              <w:rPr>
                <w:webHidden/>
              </w:rPr>
              <w:t>6</w:t>
            </w:r>
            <w:r w:rsidR="004D060B">
              <w:rPr>
                <w:webHidden/>
              </w:rPr>
              <w:fldChar w:fldCharType="end"/>
            </w:r>
          </w:hyperlink>
        </w:p>
        <w:p w14:paraId="783AA4FD" w14:textId="77777777" w:rsidR="004D060B" w:rsidRDefault="00366ADF">
          <w:pPr>
            <w:pStyle w:val="TOC3"/>
            <w:rPr>
              <w:rFonts w:asciiTheme="minorHAnsi" w:eastAsiaTheme="minorEastAsia" w:hAnsiTheme="minorHAnsi" w:cstheme="minorBidi"/>
              <w:szCs w:val="22"/>
            </w:rPr>
          </w:pPr>
          <w:hyperlink w:anchor="_Toc415660829" w:history="1">
            <w:r w:rsidR="004D060B" w:rsidRPr="00510B41">
              <w:rPr>
                <w:rStyle w:val="Hyperlink"/>
              </w:rPr>
              <w:t>2.1.2</w:t>
            </w:r>
            <w:r w:rsidR="004D060B">
              <w:rPr>
                <w:rFonts w:asciiTheme="minorHAnsi" w:eastAsiaTheme="minorEastAsia" w:hAnsiTheme="minorHAnsi" w:cstheme="minorBidi"/>
                <w:szCs w:val="22"/>
              </w:rPr>
              <w:tab/>
            </w:r>
            <w:r w:rsidR="004D060B" w:rsidRPr="00510B41">
              <w:rPr>
                <w:rStyle w:val="Hyperlink"/>
              </w:rPr>
              <w:t>Greenhouse gas emissions</w:t>
            </w:r>
            <w:r w:rsidR="004D060B">
              <w:rPr>
                <w:webHidden/>
              </w:rPr>
              <w:tab/>
            </w:r>
            <w:r w:rsidR="004D060B">
              <w:rPr>
                <w:webHidden/>
              </w:rPr>
              <w:fldChar w:fldCharType="begin"/>
            </w:r>
            <w:r w:rsidR="004D060B">
              <w:rPr>
                <w:webHidden/>
              </w:rPr>
              <w:instrText xml:space="preserve"> PAGEREF _Toc415660829 \h </w:instrText>
            </w:r>
            <w:r w:rsidR="004D060B">
              <w:rPr>
                <w:webHidden/>
              </w:rPr>
            </w:r>
            <w:r w:rsidR="004D060B">
              <w:rPr>
                <w:webHidden/>
              </w:rPr>
              <w:fldChar w:fldCharType="separate"/>
            </w:r>
            <w:r w:rsidR="004D060B">
              <w:rPr>
                <w:webHidden/>
              </w:rPr>
              <w:t>7</w:t>
            </w:r>
            <w:r w:rsidR="004D060B">
              <w:rPr>
                <w:webHidden/>
              </w:rPr>
              <w:fldChar w:fldCharType="end"/>
            </w:r>
          </w:hyperlink>
        </w:p>
        <w:p w14:paraId="7CD88620" w14:textId="77777777" w:rsidR="004D060B" w:rsidRDefault="00366ADF">
          <w:pPr>
            <w:pStyle w:val="TOC2"/>
            <w:rPr>
              <w:rFonts w:asciiTheme="minorHAnsi" w:eastAsiaTheme="minorEastAsia" w:hAnsiTheme="minorHAnsi" w:cstheme="minorBidi"/>
              <w:szCs w:val="22"/>
            </w:rPr>
          </w:pPr>
          <w:hyperlink w:anchor="_Toc415660830" w:history="1">
            <w:r w:rsidR="004D060B" w:rsidRPr="00510B41">
              <w:rPr>
                <w:rStyle w:val="Hyperlink"/>
              </w:rPr>
              <w:t>2.2</w:t>
            </w:r>
            <w:r w:rsidR="004D060B">
              <w:rPr>
                <w:rFonts w:asciiTheme="minorHAnsi" w:eastAsiaTheme="minorEastAsia" w:hAnsiTheme="minorHAnsi" w:cstheme="minorBidi"/>
                <w:szCs w:val="22"/>
              </w:rPr>
              <w:tab/>
            </w:r>
            <w:r w:rsidR="004D060B" w:rsidRPr="00510B41">
              <w:rPr>
                <w:rStyle w:val="Hyperlink"/>
              </w:rPr>
              <w:t>Profile of office building energy use</w:t>
            </w:r>
            <w:r w:rsidR="004D060B">
              <w:rPr>
                <w:webHidden/>
              </w:rPr>
              <w:tab/>
            </w:r>
            <w:r w:rsidR="004D060B">
              <w:rPr>
                <w:webHidden/>
              </w:rPr>
              <w:fldChar w:fldCharType="begin"/>
            </w:r>
            <w:r w:rsidR="004D060B">
              <w:rPr>
                <w:webHidden/>
              </w:rPr>
              <w:instrText xml:space="preserve"> PAGEREF _Toc415660830 \h </w:instrText>
            </w:r>
            <w:r w:rsidR="004D060B">
              <w:rPr>
                <w:webHidden/>
              </w:rPr>
            </w:r>
            <w:r w:rsidR="004D060B">
              <w:rPr>
                <w:webHidden/>
              </w:rPr>
              <w:fldChar w:fldCharType="separate"/>
            </w:r>
            <w:r w:rsidR="004D060B">
              <w:rPr>
                <w:webHidden/>
              </w:rPr>
              <w:t>7</w:t>
            </w:r>
            <w:r w:rsidR="004D060B">
              <w:rPr>
                <w:webHidden/>
              </w:rPr>
              <w:fldChar w:fldCharType="end"/>
            </w:r>
          </w:hyperlink>
        </w:p>
        <w:p w14:paraId="199E8286" w14:textId="77777777" w:rsidR="004D060B" w:rsidRDefault="00366ADF">
          <w:pPr>
            <w:pStyle w:val="TOC3"/>
            <w:rPr>
              <w:rFonts w:asciiTheme="minorHAnsi" w:eastAsiaTheme="minorEastAsia" w:hAnsiTheme="minorHAnsi" w:cstheme="minorBidi"/>
              <w:szCs w:val="22"/>
            </w:rPr>
          </w:pPr>
          <w:hyperlink w:anchor="_Toc415660831" w:history="1">
            <w:r w:rsidR="004D060B" w:rsidRPr="00510B41">
              <w:rPr>
                <w:rStyle w:val="Hyperlink"/>
              </w:rPr>
              <w:t>2.2.1</w:t>
            </w:r>
            <w:r w:rsidR="004D060B">
              <w:rPr>
                <w:rFonts w:asciiTheme="minorHAnsi" w:eastAsiaTheme="minorEastAsia" w:hAnsiTheme="minorHAnsi" w:cstheme="minorBidi"/>
                <w:szCs w:val="22"/>
              </w:rPr>
              <w:tab/>
            </w:r>
            <w:r w:rsidR="004D060B" w:rsidRPr="00510B41">
              <w:rPr>
                <w:rStyle w:val="Hyperlink"/>
              </w:rPr>
              <w:t>Overview of office building stock</w:t>
            </w:r>
            <w:r w:rsidR="004D060B">
              <w:rPr>
                <w:webHidden/>
              </w:rPr>
              <w:tab/>
            </w:r>
            <w:r w:rsidR="004D060B">
              <w:rPr>
                <w:webHidden/>
              </w:rPr>
              <w:fldChar w:fldCharType="begin"/>
            </w:r>
            <w:r w:rsidR="004D060B">
              <w:rPr>
                <w:webHidden/>
              </w:rPr>
              <w:instrText xml:space="preserve"> PAGEREF _Toc415660831 \h </w:instrText>
            </w:r>
            <w:r w:rsidR="004D060B">
              <w:rPr>
                <w:webHidden/>
              </w:rPr>
            </w:r>
            <w:r w:rsidR="004D060B">
              <w:rPr>
                <w:webHidden/>
              </w:rPr>
              <w:fldChar w:fldCharType="separate"/>
            </w:r>
            <w:r w:rsidR="004D060B">
              <w:rPr>
                <w:webHidden/>
              </w:rPr>
              <w:t>7</w:t>
            </w:r>
            <w:r w:rsidR="004D060B">
              <w:rPr>
                <w:webHidden/>
              </w:rPr>
              <w:fldChar w:fldCharType="end"/>
            </w:r>
          </w:hyperlink>
        </w:p>
        <w:p w14:paraId="7101FCC2" w14:textId="77777777" w:rsidR="004D060B" w:rsidRDefault="00366ADF">
          <w:pPr>
            <w:pStyle w:val="TOC3"/>
            <w:rPr>
              <w:rFonts w:asciiTheme="minorHAnsi" w:eastAsiaTheme="minorEastAsia" w:hAnsiTheme="minorHAnsi" w:cstheme="minorBidi"/>
              <w:szCs w:val="22"/>
            </w:rPr>
          </w:pPr>
          <w:hyperlink w:anchor="_Toc415660832" w:history="1">
            <w:r w:rsidR="004D060B" w:rsidRPr="00510B41">
              <w:rPr>
                <w:rStyle w:val="Hyperlink"/>
              </w:rPr>
              <w:t>2.2.2</w:t>
            </w:r>
            <w:r w:rsidR="004D060B">
              <w:rPr>
                <w:rFonts w:asciiTheme="minorHAnsi" w:eastAsiaTheme="minorEastAsia" w:hAnsiTheme="minorHAnsi" w:cstheme="minorBidi"/>
                <w:szCs w:val="22"/>
              </w:rPr>
              <w:tab/>
            </w:r>
            <w:r w:rsidR="004D060B" w:rsidRPr="00510B41">
              <w:rPr>
                <w:rStyle w:val="Hyperlink"/>
              </w:rPr>
              <w:t>Office building energy consumption</w:t>
            </w:r>
            <w:r w:rsidR="004D060B">
              <w:rPr>
                <w:webHidden/>
              </w:rPr>
              <w:tab/>
            </w:r>
            <w:r w:rsidR="004D060B">
              <w:rPr>
                <w:webHidden/>
              </w:rPr>
              <w:fldChar w:fldCharType="begin"/>
            </w:r>
            <w:r w:rsidR="004D060B">
              <w:rPr>
                <w:webHidden/>
              </w:rPr>
              <w:instrText xml:space="preserve"> PAGEREF _Toc415660832 \h </w:instrText>
            </w:r>
            <w:r w:rsidR="004D060B">
              <w:rPr>
                <w:webHidden/>
              </w:rPr>
            </w:r>
            <w:r w:rsidR="004D060B">
              <w:rPr>
                <w:webHidden/>
              </w:rPr>
              <w:fldChar w:fldCharType="separate"/>
            </w:r>
            <w:r w:rsidR="004D060B">
              <w:rPr>
                <w:webHidden/>
              </w:rPr>
              <w:t>7</w:t>
            </w:r>
            <w:r w:rsidR="004D060B">
              <w:rPr>
                <w:webHidden/>
              </w:rPr>
              <w:fldChar w:fldCharType="end"/>
            </w:r>
          </w:hyperlink>
        </w:p>
        <w:p w14:paraId="744A9383" w14:textId="77777777" w:rsidR="004D060B" w:rsidRDefault="00366ADF">
          <w:pPr>
            <w:pStyle w:val="TOC3"/>
            <w:rPr>
              <w:rFonts w:asciiTheme="minorHAnsi" w:eastAsiaTheme="minorEastAsia" w:hAnsiTheme="minorHAnsi" w:cstheme="minorBidi"/>
              <w:szCs w:val="22"/>
            </w:rPr>
          </w:pPr>
          <w:hyperlink w:anchor="_Toc415660833" w:history="1">
            <w:r w:rsidR="004D060B" w:rsidRPr="00510B41">
              <w:rPr>
                <w:rStyle w:val="Hyperlink"/>
              </w:rPr>
              <w:t>2.2.3</w:t>
            </w:r>
            <w:r w:rsidR="004D060B">
              <w:rPr>
                <w:rFonts w:asciiTheme="minorHAnsi" w:eastAsiaTheme="minorEastAsia" w:hAnsiTheme="minorHAnsi" w:cstheme="minorBidi"/>
                <w:szCs w:val="22"/>
              </w:rPr>
              <w:tab/>
            </w:r>
            <w:r w:rsidR="004D060B" w:rsidRPr="00510B41">
              <w:rPr>
                <w:rStyle w:val="Hyperlink"/>
              </w:rPr>
              <w:t>Office building greenhouse gas emissions</w:t>
            </w:r>
            <w:r w:rsidR="004D060B">
              <w:rPr>
                <w:webHidden/>
              </w:rPr>
              <w:tab/>
            </w:r>
            <w:r w:rsidR="004D060B">
              <w:rPr>
                <w:webHidden/>
              </w:rPr>
              <w:fldChar w:fldCharType="begin"/>
            </w:r>
            <w:r w:rsidR="004D060B">
              <w:rPr>
                <w:webHidden/>
              </w:rPr>
              <w:instrText xml:space="preserve"> PAGEREF _Toc415660833 \h </w:instrText>
            </w:r>
            <w:r w:rsidR="004D060B">
              <w:rPr>
                <w:webHidden/>
              </w:rPr>
            </w:r>
            <w:r w:rsidR="004D060B">
              <w:rPr>
                <w:webHidden/>
              </w:rPr>
              <w:fldChar w:fldCharType="separate"/>
            </w:r>
            <w:r w:rsidR="004D060B">
              <w:rPr>
                <w:webHidden/>
              </w:rPr>
              <w:t>8</w:t>
            </w:r>
            <w:r w:rsidR="004D060B">
              <w:rPr>
                <w:webHidden/>
              </w:rPr>
              <w:fldChar w:fldCharType="end"/>
            </w:r>
          </w:hyperlink>
        </w:p>
        <w:p w14:paraId="6C09FE4D" w14:textId="77777777" w:rsidR="004D060B" w:rsidRDefault="00366ADF">
          <w:pPr>
            <w:pStyle w:val="TOC3"/>
            <w:rPr>
              <w:rFonts w:asciiTheme="minorHAnsi" w:eastAsiaTheme="minorEastAsia" w:hAnsiTheme="minorHAnsi" w:cstheme="minorBidi"/>
              <w:szCs w:val="22"/>
            </w:rPr>
          </w:pPr>
          <w:hyperlink w:anchor="_Toc415660834" w:history="1">
            <w:r w:rsidR="004D060B" w:rsidRPr="00510B41">
              <w:rPr>
                <w:rStyle w:val="Hyperlink"/>
              </w:rPr>
              <w:t>2.2.4</w:t>
            </w:r>
            <w:r w:rsidR="004D060B">
              <w:rPr>
                <w:rFonts w:asciiTheme="minorHAnsi" w:eastAsiaTheme="minorEastAsia" w:hAnsiTheme="minorHAnsi" w:cstheme="minorBidi"/>
                <w:szCs w:val="22"/>
              </w:rPr>
              <w:tab/>
            </w:r>
            <w:r w:rsidR="004D060B" w:rsidRPr="00510B41">
              <w:rPr>
                <w:rStyle w:val="Hyperlink"/>
              </w:rPr>
              <w:t>Office building energy intensity</w:t>
            </w:r>
            <w:r w:rsidR="004D060B">
              <w:rPr>
                <w:webHidden/>
              </w:rPr>
              <w:tab/>
            </w:r>
            <w:r w:rsidR="004D060B">
              <w:rPr>
                <w:webHidden/>
              </w:rPr>
              <w:fldChar w:fldCharType="begin"/>
            </w:r>
            <w:r w:rsidR="004D060B">
              <w:rPr>
                <w:webHidden/>
              </w:rPr>
              <w:instrText xml:space="preserve"> PAGEREF _Toc415660834 \h </w:instrText>
            </w:r>
            <w:r w:rsidR="004D060B">
              <w:rPr>
                <w:webHidden/>
              </w:rPr>
            </w:r>
            <w:r w:rsidR="004D060B">
              <w:rPr>
                <w:webHidden/>
              </w:rPr>
              <w:fldChar w:fldCharType="separate"/>
            </w:r>
            <w:r w:rsidR="004D060B">
              <w:rPr>
                <w:webHidden/>
              </w:rPr>
              <w:t>8</w:t>
            </w:r>
            <w:r w:rsidR="004D060B">
              <w:rPr>
                <w:webHidden/>
              </w:rPr>
              <w:fldChar w:fldCharType="end"/>
            </w:r>
          </w:hyperlink>
        </w:p>
        <w:p w14:paraId="566DB799" w14:textId="77777777" w:rsidR="004D060B" w:rsidRDefault="00366ADF">
          <w:pPr>
            <w:pStyle w:val="TOC3"/>
            <w:rPr>
              <w:rFonts w:asciiTheme="minorHAnsi" w:eastAsiaTheme="minorEastAsia" w:hAnsiTheme="minorHAnsi" w:cstheme="minorBidi"/>
              <w:szCs w:val="22"/>
            </w:rPr>
          </w:pPr>
          <w:hyperlink w:anchor="_Toc415660835" w:history="1">
            <w:r w:rsidR="004D060B" w:rsidRPr="00510B41">
              <w:rPr>
                <w:rStyle w:val="Hyperlink"/>
              </w:rPr>
              <w:t>2.2.5</w:t>
            </w:r>
            <w:r w:rsidR="004D060B">
              <w:rPr>
                <w:rFonts w:asciiTheme="minorHAnsi" w:eastAsiaTheme="minorEastAsia" w:hAnsiTheme="minorHAnsi" w:cstheme="minorBidi"/>
                <w:szCs w:val="22"/>
              </w:rPr>
              <w:tab/>
            </w:r>
            <w:r w:rsidR="004D060B" w:rsidRPr="00510B41">
              <w:rPr>
                <w:rStyle w:val="Hyperlink"/>
              </w:rPr>
              <w:t>Energy consumption by fuel</w:t>
            </w:r>
            <w:r w:rsidR="004D060B">
              <w:rPr>
                <w:webHidden/>
              </w:rPr>
              <w:tab/>
            </w:r>
            <w:r w:rsidR="004D060B">
              <w:rPr>
                <w:webHidden/>
              </w:rPr>
              <w:fldChar w:fldCharType="begin"/>
            </w:r>
            <w:r w:rsidR="004D060B">
              <w:rPr>
                <w:webHidden/>
              </w:rPr>
              <w:instrText xml:space="preserve"> PAGEREF _Toc415660835 \h </w:instrText>
            </w:r>
            <w:r w:rsidR="004D060B">
              <w:rPr>
                <w:webHidden/>
              </w:rPr>
            </w:r>
            <w:r w:rsidR="004D060B">
              <w:rPr>
                <w:webHidden/>
              </w:rPr>
              <w:fldChar w:fldCharType="separate"/>
            </w:r>
            <w:r w:rsidR="004D060B">
              <w:rPr>
                <w:webHidden/>
              </w:rPr>
              <w:t>9</w:t>
            </w:r>
            <w:r w:rsidR="004D060B">
              <w:rPr>
                <w:webHidden/>
              </w:rPr>
              <w:fldChar w:fldCharType="end"/>
            </w:r>
          </w:hyperlink>
        </w:p>
        <w:p w14:paraId="4A294A83" w14:textId="77777777" w:rsidR="004D060B" w:rsidRDefault="00366ADF">
          <w:pPr>
            <w:pStyle w:val="TOC3"/>
            <w:rPr>
              <w:rFonts w:asciiTheme="minorHAnsi" w:eastAsiaTheme="minorEastAsia" w:hAnsiTheme="minorHAnsi" w:cstheme="minorBidi"/>
              <w:szCs w:val="22"/>
            </w:rPr>
          </w:pPr>
          <w:hyperlink w:anchor="_Toc415660836" w:history="1">
            <w:r w:rsidR="004D060B" w:rsidRPr="00510B41">
              <w:rPr>
                <w:rStyle w:val="Hyperlink"/>
              </w:rPr>
              <w:t>2.2.6</w:t>
            </w:r>
            <w:r w:rsidR="004D060B">
              <w:rPr>
                <w:rFonts w:asciiTheme="minorHAnsi" w:eastAsiaTheme="minorEastAsia" w:hAnsiTheme="minorHAnsi" w:cstheme="minorBidi"/>
                <w:szCs w:val="22"/>
              </w:rPr>
              <w:tab/>
            </w:r>
            <w:r w:rsidR="004D060B" w:rsidRPr="00510B41">
              <w:rPr>
                <w:rStyle w:val="Hyperlink"/>
              </w:rPr>
              <w:t>Energy end use in office buildings</w:t>
            </w:r>
            <w:r w:rsidR="004D060B">
              <w:rPr>
                <w:webHidden/>
              </w:rPr>
              <w:tab/>
            </w:r>
            <w:r w:rsidR="004D060B">
              <w:rPr>
                <w:webHidden/>
              </w:rPr>
              <w:fldChar w:fldCharType="begin"/>
            </w:r>
            <w:r w:rsidR="004D060B">
              <w:rPr>
                <w:webHidden/>
              </w:rPr>
              <w:instrText xml:space="preserve"> PAGEREF _Toc415660836 \h </w:instrText>
            </w:r>
            <w:r w:rsidR="004D060B">
              <w:rPr>
                <w:webHidden/>
              </w:rPr>
            </w:r>
            <w:r w:rsidR="004D060B">
              <w:rPr>
                <w:webHidden/>
              </w:rPr>
              <w:fldChar w:fldCharType="separate"/>
            </w:r>
            <w:r w:rsidR="004D060B">
              <w:rPr>
                <w:webHidden/>
              </w:rPr>
              <w:t>9</w:t>
            </w:r>
            <w:r w:rsidR="004D060B">
              <w:rPr>
                <w:webHidden/>
              </w:rPr>
              <w:fldChar w:fldCharType="end"/>
            </w:r>
          </w:hyperlink>
        </w:p>
        <w:p w14:paraId="2D1C6CF1" w14:textId="77777777" w:rsidR="004D060B" w:rsidRDefault="00366ADF">
          <w:pPr>
            <w:pStyle w:val="TOC2"/>
            <w:rPr>
              <w:rFonts w:asciiTheme="minorHAnsi" w:eastAsiaTheme="minorEastAsia" w:hAnsiTheme="minorHAnsi" w:cstheme="minorBidi"/>
              <w:szCs w:val="22"/>
            </w:rPr>
          </w:pPr>
          <w:hyperlink w:anchor="_Toc415660837" w:history="1">
            <w:r w:rsidR="004D060B" w:rsidRPr="00510B41">
              <w:rPr>
                <w:rStyle w:val="Hyperlink"/>
              </w:rPr>
              <w:t>2.3</w:t>
            </w:r>
            <w:r w:rsidR="004D060B">
              <w:rPr>
                <w:rFonts w:asciiTheme="minorHAnsi" w:eastAsiaTheme="minorEastAsia" w:hAnsiTheme="minorHAnsi" w:cstheme="minorBidi"/>
                <w:szCs w:val="22"/>
              </w:rPr>
              <w:tab/>
            </w:r>
            <w:r w:rsidR="004D060B" w:rsidRPr="00510B41">
              <w:rPr>
                <w:rStyle w:val="Hyperlink"/>
              </w:rPr>
              <w:t>Barriers and drivers of energy efficiency</w:t>
            </w:r>
            <w:r w:rsidR="004D060B">
              <w:rPr>
                <w:webHidden/>
              </w:rPr>
              <w:tab/>
            </w:r>
            <w:r w:rsidR="004D060B">
              <w:rPr>
                <w:webHidden/>
              </w:rPr>
              <w:fldChar w:fldCharType="begin"/>
            </w:r>
            <w:r w:rsidR="004D060B">
              <w:rPr>
                <w:webHidden/>
              </w:rPr>
              <w:instrText xml:space="preserve"> PAGEREF _Toc415660837 \h </w:instrText>
            </w:r>
            <w:r w:rsidR="004D060B">
              <w:rPr>
                <w:webHidden/>
              </w:rPr>
            </w:r>
            <w:r w:rsidR="004D060B">
              <w:rPr>
                <w:webHidden/>
              </w:rPr>
              <w:fldChar w:fldCharType="separate"/>
            </w:r>
            <w:r w:rsidR="004D060B">
              <w:rPr>
                <w:webHidden/>
              </w:rPr>
              <w:t>11</w:t>
            </w:r>
            <w:r w:rsidR="004D060B">
              <w:rPr>
                <w:webHidden/>
              </w:rPr>
              <w:fldChar w:fldCharType="end"/>
            </w:r>
          </w:hyperlink>
        </w:p>
        <w:p w14:paraId="368C1BDD" w14:textId="77777777" w:rsidR="004D060B" w:rsidRDefault="00366ADF">
          <w:pPr>
            <w:pStyle w:val="TOC3"/>
            <w:rPr>
              <w:rFonts w:asciiTheme="minorHAnsi" w:eastAsiaTheme="minorEastAsia" w:hAnsiTheme="minorHAnsi" w:cstheme="minorBidi"/>
              <w:szCs w:val="22"/>
            </w:rPr>
          </w:pPr>
          <w:hyperlink w:anchor="_Toc415660838" w:history="1">
            <w:r w:rsidR="004D060B" w:rsidRPr="00510B41">
              <w:rPr>
                <w:rStyle w:val="Hyperlink"/>
              </w:rPr>
              <w:t>2.3.1</w:t>
            </w:r>
            <w:r w:rsidR="004D060B">
              <w:rPr>
                <w:rFonts w:asciiTheme="minorHAnsi" w:eastAsiaTheme="minorEastAsia" w:hAnsiTheme="minorHAnsi" w:cstheme="minorBidi"/>
                <w:szCs w:val="22"/>
              </w:rPr>
              <w:tab/>
            </w:r>
            <w:r w:rsidR="004D060B" w:rsidRPr="00510B41">
              <w:rPr>
                <w:rStyle w:val="Hyperlink"/>
              </w:rPr>
              <w:t>Market failures and barriers</w:t>
            </w:r>
            <w:r w:rsidR="004D060B">
              <w:rPr>
                <w:webHidden/>
              </w:rPr>
              <w:tab/>
            </w:r>
            <w:r w:rsidR="004D060B">
              <w:rPr>
                <w:webHidden/>
              </w:rPr>
              <w:fldChar w:fldCharType="begin"/>
            </w:r>
            <w:r w:rsidR="004D060B">
              <w:rPr>
                <w:webHidden/>
              </w:rPr>
              <w:instrText xml:space="preserve"> PAGEREF _Toc415660838 \h </w:instrText>
            </w:r>
            <w:r w:rsidR="004D060B">
              <w:rPr>
                <w:webHidden/>
              </w:rPr>
            </w:r>
            <w:r w:rsidR="004D060B">
              <w:rPr>
                <w:webHidden/>
              </w:rPr>
              <w:fldChar w:fldCharType="separate"/>
            </w:r>
            <w:r w:rsidR="004D060B">
              <w:rPr>
                <w:webHidden/>
              </w:rPr>
              <w:t>11</w:t>
            </w:r>
            <w:r w:rsidR="004D060B">
              <w:rPr>
                <w:webHidden/>
              </w:rPr>
              <w:fldChar w:fldCharType="end"/>
            </w:r>
          </w:hyperlink>
        </w:p>
        <w:p w14:paraId="3815BD9C" w14:textId="77777777" w:rsidR="004D060B" w:rsidRDefault="00366ADF">
          <w:pPr>
            <w:pStyle w:val="TOC3"/>
            <w:rPr>
              <w:rFonts w:asciiTheme="minorHAnsi" w:eastAsiaTheme="minorEastAsia" w:hAnsiTheme="minorHAnsi" w:cstheme="minorBidi"/>
              <w:szCs w:val="22"/>
            </w:rPr>
          </w:pPr>
          <w:hyperlink w:anchor="_Toc415660839" w:history="1">
            <w:r w:rsidR="004D060B" w:rsidRPr="00510B41">
              <w:rPr>
                <w:rStyle w:val="Hyperlink"/>
              </w:rPr>
              <w:t>2.3.2</w:t>
            </w:r>
            <w:r w:rsidR="004D060B">
              <w:rPr>
                <w:rFonts w:asciiTheme="minorHAnsi" w:eastAsiaTheme="minorEastAsia" w:hAnsiTheme="minorHAnsi" w:cstheme="minorBidi"/>
                <w:szCs w:val="22"/>
              </w:rPr>
              <w:tab/>
            </w:r>
            <w:r w:rsidR="004D060B" w:rsidRPr="00510B41">
              <w:rPr>
                <w:rStyle w:val="Hyperlink"/>
              </w:rPr>
              <w:t>Behavioural failures and the impact of uncertainty</w:t>
            </w:r>
            <w:r w:rsidR="004D060B">
              <w:rPr>
                <w:webHidden/>
              </w:rPr>
              <w:tab/>
            </w:r>
            <w:r w:rsidR="004D060B">
              <w:rPr>
                <w:webHidden/>
              </w:rPr>
              <w:fldChar w:fldCharType="begin"/>
            </w:r>
            <w:r w:rsidR="004D060B">
              <w:rPr>
                <w:webHidden/>
              </w:rPr>
              <w:instrText xml:space="preserve"> PAGEREF _Toc415660839 \h </w:instrText>
            </w:r>
            <w:r w:rsidR="004D060B">
              <w:rPr>
                <w:webHidden/>
              </w:rPr>
            </w:r>
            <w:r w:rsidR="004D060B">
              <w:rPr>
                <w:webHidden/>
              </w:rPr>
              <w:fldChar w:fldCharType="separate"/>
            </w:r>
            <w:r w:rsidR="004D060B">
              <w:rPr>
                <w:webHidden/>
              </w:rPr>
              <w:t>13</w:t>
            </w:r>
            <w:r w:rsidR="004D060B">
              <w:rPr>
                <w:webHidden/>
              </w:rPr>
              <w:fldChar w:fldCharType="end"/>
            </w:r>
          </w:hyperlink>
        </w:p>
        <w:p w14:paraId="3517D8B9" w14:textId="77777777" w:rsidR="004D060B" w:rsidRDefault="00366ADF">
          <w:pPr>
            <w:pStyle w:val="TOC3"/>
            <w:rPr>
              <w:rFonts w:asciiTheme="minorHAnsi" w:eastAsiaTheme="minorEastAsia" w:hAnsiTheme="minorHAnsi" w:cstheme="minorBidi"/>
              <w:szCs w:val="22"/>
            </w:rPr>
          </w:pPr>
          <w:hyperlink w:anchor="_Toc415660840" w:history="1">
            <w:r w:rsidR="004D060B" w:rsidRPr="00510B41">
              <w:rPr>
                <w:rStyle w:val="Hyperlink"/>
              </w:rPr>
              <w:t>2.3.3</w:t>
            </w:r>
            <w:r w:rsidR="004D060B">
              <w:rPr>
                <w:rFonts w:asciiTheme="minorHAnsi" w:eastAsiaTheme="minorEastAsia" w:hAnsiTheme="minorHAnsi" w:cstheme="minorBidi"/>
                <w:szCs w:val="22"/>
              </w:rPr>
              <w:tab/>
            </w:r>
            <w:r w:rsidR="004D060B" w:rsidRPr="00510B41">
              <w:rPr>
                <w:rStyle w:val="Hyperlink"/>
              </w:rPr>
              <w:t>Programs targeting building energy efficiency</w:t>
            </w:r>
            <w:r w:rsidR="004D060B">
              <w:rPr>
                <w:webHidden/>
              </w:rPr>
              <w:tab/>
            </w:r>
            <w:r w:rsidR="004D060B">
              <w:rPr>
                <w:webHidden/>
              </w:rPr>
              <w:fldChar w:fldCharType="begin"/>
            </w:r>
            <w:r w:rsidR="004D060B">
              <w:rPr>
                <w:webHidden/>
              </w:rPr>
              <w:instrText xml:space="preserve"> PAGEREF _Toc415660840 \h </w:instrText>
            </w:r>
            <w:r w:rsidR="004D060B">
              <w:rPr>
                <w:webHidden/>
              </w:rPr>
            </w:r>
            <w:r w:rsidR="004D060B">
              <w:rPr>
                <w:webHidden/>
              </w:rPr>
              <w:fldChar w:fldCharType="separate"/>
            </w:r>
            <w:r w:rsidR="004D060B">
              <w:rPr>
                <w:webHidden/>
              </w:rPr>
              <w:t>14</w:t>
            </w:r>
            <w:r w:rsidR="004D060B">
              <w:rPr>
                <w:webHidden/>
              </w:rPr>
              <w:fldChar w:fldCharType="end"/>
            </w:r>
          </w:hyperlink>
        </w:p>
        <w:p w14:paraId="6EE1FCE2" w14:textId="77777777" w:rsidR="004D060B" w:rsidRDefault="00366ADF">
          <w:pPr>
            <w:pStyle w:val="TOC3"/>
            <w:rPr>
              <w:rFonts w:asciiTheme="minorHAnsi" w:eastAsiaTheme="minorEastAsia" w:hAnsiTheme="minorHAnsi" w:cstheme="minorBidi"/>
              <w:szCs w:val="22"/>
            </w:rPr>
          </w:pPr>
          <w:hyperlink w:anchor="_Toc415660841" w:history="1">
            <w:r w:rsidR="004D060B" w:rsidRPr="00510B41">
              <w:rPr>
                <w:rStyle w:val="Hyperlink"/>
              </w:rPr>
              <w:t>2.3.4</w:t>
            </w:r>
            <w:r w:rsidR="004D060B">
              <w:rPr>
                <w:rFonts w:asciiTheme="minorHAnsi" w:eastAsiaTheme="minorEastAsia" w:hAnsiTheme="minorHAnsi" w:cstheme="minorBidi"/>
                <w:szCs w:val="22"/>
              </w:rPr>
              <w:tab/>
            </w:r>
            <w:r w:rsidR="004D060B" w:rsidRPr="00510B41">
              <w:rPr>
                <w:rStyle w:val="Hyperlink"/>
              </w:rPr>
              <w:t>Other factors affecting building energy efficiency</w:t>
            </w:r>
            <w:r w:rsidR="004D060B">
              <w:rPr>
                <w:webHidden/>
              </w:rPr>
              <w:tab/>
            </w:r>
            <w:r w:rsidR="004D060B">
              <w:rPr>
                <w:webHidden/>
              </w:rPr>
              <w:fldChar w:fldCharType="begin"/>
            </w:r>
            <w:r w:rsidR="004D060B">
              <w:rPr>
                <w:webHidden/>
              </w:rPr>
              <w:instrText xml:space="preserve"> PAGEREF _Toc415660841 \h </w:instrText>
            </w:r>
            <w:r w:rsidR="004D060B">
              <w:rPr>
                <w:webHidden/>
              </w:rPr>
            </w:r>
            <w:r w:rsidR="004D060B">
              <w:rPr>
                <w:webHidden/>
              </w:rPr>
              <w:fldChar w:fldCharType="separate"/>
            </w:r>
            <w:r w:rsidR="004D060B">
              <w:rPr>
                <w:webHidden/>
              </w:rPr>
              <w:t>19</w:t>
            </w:r>
            <w:r w:rsidR="004D060B">
              <w:rPr>
                <w:webHidden/>
              </w:rPr>
              <w:fldChar w:fldCharType="end"/>
            </w:r>
          </w:hyperlink>
        </w:p>
        <w:p w14:paraId="6EAF5579" w14:textId="77777777" w:rsidR="004D060B" w:rsidRDefault="00366ADF">
          <w:pPr>
            <w:pStyle w:val="TOC1"/>
            <w:rPr>
              <w:rFonts w:asciiTheme="minorHAnsi" w:eastAsiaTheme="minorEastAsia" w:hAnsiTheme="minorHAnsi" w:cstheme="minorBidi"/>
              <w:b w:val="0"/>
              <w:color w:val="auto"/>
            </w:rPr>
          </w:pPr>
          <w:hyperlink w:anchor="_Toc415660842" w:history="1">
            <w:r w:rsidR="004D060B" w:rsidRPr="00510B41">
              <w:rPr>
                <w:rStyle w:val="Hyperlink"/>
              </w:rPr>
              <w:t>3</w:t>
            </w:r>
            <w:r w:rsidR="004D060B">
              <w:rPr>
                <w:rFonts w:asciiTheme="minorHAnsi" w:eastAsiaTheme="minorEastAsia" w:hAnsiTheme="minorHAnsi" w:cstheme="minorBidi"/>
                <w:b w:val="0"/>
                <w:color w:val="auto"/>
              </w:rPr>
              <w:tab/>
            </w:r>
            <w:r w:rsidR="004D060B" w:rsidRPr="00510B41">
              <w:rPr>
                <w:rStyle w:val="Hyperlink"/>
              </w:rPr>
              <w:t>Commercial building energy efficiency disclosure</w:t>
            </w:r>
            <w:r w:rsidR="004D060B">
              <w:rPr>
                <w:webHidden/>
              </w:rPr>
              <w:tab/>
            </w:r>
            <w:r w:rsidR="004D060B">
              <w:rPr>
                <w:webHidden/>
              </w:rPr>
              <w:fldChar w:fldCharType="begin"/>
            </w:r>
            <w:r w:rsidR="004D060B">
              <w:rPr>
                <w:webHidden/>
              </w:rPr>
              <w:instrText xml:space="preserve"> PAGEREF _Toc415660842 \h </w:instrText>
            </w:r>
            <w:r w:rsidR="004D060B">
              <w:rPr>
                <w:webHidden/>
              </w:rPr>
            </w:r>
            <w:r w:rsidR="004D060B">
              <w:rPr>
                <w:webHidden/>
              </w:rPr>
              <w:fldChar w:fldCharType="separate"/>
            </w:r>
            <w:r w:rsidR="004D060B">
              <w:rPr>
                <w:webHidden/>
              </w:rPr>
              <w:t>20</w:t>
            </w:r>
            <w:r w:rsidR="004D060B">
              <w:rPr>
                <w:webHidden/>
              </w:rPr>
              <w:fldChar w:fldCharType="end"/>
            </w:r>
          </w:hyperlink>
        </w:p>
        <w:p w14:paraId="576EE809" w14:textId="77777777" w:rsidR="004D060B" w:rsidRDefault="00366ADF">
          <w:pPr>
            <w:pStyle w:val="TOC2"/>
            <w:rPr>
              <w:rFonts w:asciiTheme="minorHAnsi" w:eastAsiaTheme="minorEastAsia" w:hAnsiTheme="minorHAnsi" w:cstheme="minorBidi"/>
              <w:szCs w:val="22"/>
            </w:rPr>
          </w:pPr>
          <w:hyperlink w:anchor="_Toc415660843" w:history="1">
            <w:r w:rsidR="004D060B" w:rsidRPr="00510B41">
              <w:rPr>
                <w:rStyle w:val="Hyperlink"/>
              </w:rPr>
              <w:t>3.1</w:t>
            </w:r>
            <w:r w:rsidR="004D060B">
              <w:rPr>
                <w:rFonts w:asciiTheme="minorHAnsi" w:eastAsiaTheme="minorEastAsia" w:hAnsiTheme="minorHAnsi" w:cstheme="minorBidi"/>
                <w:szCs w:val="22"/>
              </w:rPr>
              <w:tab/>
            </w:r>
            <w:r w:rsidR="004D060B" w:rsidRPr="00510B41">
              <w:rPr>
                <w:rStyle w:val="Hyperlink"/>
              </w:rPr>
              <w:t>Overview of the CBD program</w:t>
            </w:r>
            <w:r w:rsidR="004D060B">
              <w:rPr>
                <w:webHidden/>
              </w:rPr>
              <w:tab/>
            </w:r>
            <w:r w:rsidR="004D060B">
              <w:rPr>
                <w:webHidden/>
              </w:rPr>
              <w:fldChar w:fldCharType="begin"/>
            </w:r>
            <w:r w:rsidR="004D060B">
              <w:rPr>
                <w:webHidden/>
              </w:rPr>
              <w:instrText xml:space="preserve"> PAGEREF _Toc415660843 \h </w:instrText>
            </w:r>
            <w:r w:rsidR="004D060B">
              <w:rPr>
                <w:webHidden/>
              </w:rPr>
            </w:r>
            <w:r w:rsidR="004D060B">
              <w:rPr>
                <w:webHidden/>
              </w:rPr>
              <w:fldChar w:fldCharType="separate"/>
            </w:r>
            <w:r w:rsidR="004D060B">
              <w:rPr>
                <w:webHidden/>
              </w:rPr>
              <w:t>20</w:t>
            </w:r>
            <w:r w:rsidR="004D060B">
              <w:rPr>
                <w:webHidden/>
              </w:rPr>
              <w:fldChar w:fldCharType="end"/>
            </w:r>
          </w:hyperlink>
        </w:p>
        <w:p w14:paraId="54C87C75" w14:textId="77777777" w:rsidR="004D060B" w:rsidRDefault="00366ADF">
          <w:pPr>
            <w:pStyle w:val="TOC3"/>
            <w:rPr>
              <w:rFonts w:asciiTheme="minorHAnsi" w:eastAsiaTheme="minorEastAsia" w:hAnsiTheme="minorHAnsi" w:cstheme="minorBidi"/>
              <w:szCs w:val="22"/>
            </w:rPr>
          </w:pPr>
          <w:hyperlink w:anchor="_Toc415660844" w:history="1">
            <w:r w:rsidR="004D060B" w:rsidRPr="00510B41">
              <w:rPr>
                <w:rStyle w:val="Hyperlink"/>
              </w:rPr>
              <w:t>3.1.1</w:t>
            </w:r>
            <w:r w:rsidR="004D060B">
              <w:rPr>
                <w:rFonts w:asciiTheme="minorHAnsi" w:eastAsiaTheme="minorEastAsia" w:hAnsiTheme="minorHAnsi" w:cstheme="minorBidi"/>
                <w:szCs w:val="22"/>
              </w:rPr>
              <w:tab/>
            </w:r>
            <w:r w:rsidR="004D060B" w:rsidRPr="00510B41">
              <w:rPr>
                <w:rStyle w:val="Hyperlink"/>
              </w:rPr>
              <w:t>BEEC</w:t>
            </w:r>
            <w:r w:rsidR="004D060B">
              <w:rPr>
                <w:webHidden/>
              </w:rPr>
              <w:tab/>
            </w:r>
            <w:r w:rsidR="004D060B">
              <w:rPr>
                <w:webHidden/>
              </w:rPr>
              <w:fldChar w:fldCharType="begin"/>
            </w:r>
            <w:r w:rsidR="004D060B">
              <w:rPr>
                <w:webHidden/>
              </w:rPr>
              <w:instrText xml:space="preserve"> PAGEREF _Toc415660844 \h </w:instrText>
            </w:r>
            <w:r w:rsidR="004D060B">
              <w:rPr>
                <w:webHidden/>
              </w:rPr>
            </w:r>
            <w:r w:rsidR="004D060B">
              <w:rPr>
                <w:webHidden/>
              </w:rPr>
              <w:fldChar w:fldCharType="separate"/>
            </w:r>
            <w:r w:rsidR="004D060B">
              <w:rPr>
                <w:webHidden/>
              </w:rPr>
              <w:t>20</w:t>
            </w:r>
            <w:r w:rsidR="004D060B">
              <w:rPr>
                <w:webHidden/>
              </w:rPr>
              <w:fldChar w:fldCharType="end"/>
            </w:r>
          </w:hyperlink>
        </w:p>
        <w:p w14:paraId="2A5B7084" w14:textId="77777777" w:rsidR="004D060B" w:rsidRDefault="00366ADF">
          <w:pPr>
            <w:pStyle w:val="TOC3"/>
            <w:rPr>
              <w:rFonts w:asciiTheme="minorHAnsi" w:eastAsiaTheme="minorEastAsia" w:hAnsiTheme="minorHAnsi" w:cstheme="minorBidi"/>
              <w:szCs w:val="22"/>
            </w:rPr>
          </w:pPr>
          <w:hyperlink w:anchor="_Toc415660845" w:history="1">
            <w:r w:rsidR="004D060B" w:rsidRPr="00510B41">
              <w:rPr>
                <w:rStyle w:val="Hyperlink"/>
              </w:rPr>
              <w:t>3.1.2</w:t>
            </w:r>
            <w:r w:rsidR="004D060B">
              <w:rPr>
                <w:rFonts w:asciiTheme="minorHAnsi" w:eastAsiaTheme="minorEastAsia" w:hAnsiTheme="minorHAnsi" w:cstheme="minorBidi"/>
                <w:szCs w:val="22"/>
              </w:rPr>
              <w:tab/>
            </w:r>
            <w:r w:rsidR="004D060B" w:rsidRPr="00510B41">
              <w:rPr>
                <w:rStyle w:val="Hyperlink"/>
              </w:rPr>
              <w:t>NABERS</w:t>
            </w:r>
            <w:r w:rsidR="004D060B">
              <w:rPr>
                <w:webHidden/>
              </w:rPr>
              <w:tab/>
            </w:r>
            <w:r w:rsidR="004D060B">
              <w:rPr>
                <w:webHidden/>
              </w:rPr>
              <w:fldChar w:fldCharType="begin"/>
            </w:r>
            <w:r w:rsidR="004D060B">
              <w:rPr>
                <w:webHidden/>
              </w:rPr>
              <w:instrText xml:space="preserve"> PAGEREF _Toc415660845 \h </w:instrText>
            </w:r>
            <w:r w:rsidR="004D060B">
              <w:rPr>
                <w:webHidden/>
              </w:rPr>
            </w:r>
            <w:r w:rsidR="004D060B">
              <w:rPr>
                <w:webHidden/>
              </w:rPr>
              <w:fldChar w:fldCharType="separate"/>
            </w:r>
            <w:r w:rsidR="004D060B">
              <w:rPr>
                <w:webHidden/>
              </w:rPr>
              <w:t>21</w:t>
            </w:r>
            <w:r w:rsidR="004D060B">
              <w:rPr>
                <w:webHidden/>
              </w:rPr>
              <w:fldChar w:fldCharType="end"/>
            </w:r>
          </w:hyperlink>
        </w:p>
        <w:p w14:paraId="10F853E5" w14:textId="77777777" w:rsidR="004D060B" w:rsidRDefault="00366ADF">
          <w:pPr>
            <w:pStyle w:val="TOC3"/>
            <w:rPr>
              <w:rFonts w:asciiTheme="minorHAnsi" w:eastAsiaTheme="minorEastAsia" w:hAnsiTheme="minorHAnsi" w:cstheme="minorBidi"/>
              <w:szCs w:val="22"/>
            </w:rPr>
          </w:pPr>
          <w:hyperlink w:anchor="_Toc415660846" w:history="1">
            <w:r w:rsidR="004D060B" w:rsidRPr="00510B41">
              <w:rPr>
                <w:rStyle w:val="Hyperlink"/>
              </w:rPr>
              <w:t>3.1.3</w:t>
            </w:r>
            <w:r w:rsidR="004D060B">
              <w:rPr>
                <w:rFonts w:asciiTheme="minorHAnsi" w:eastAsiaTheme="minorEastAsia" w:hAnsiTheme="minorHAnsi" w:cstheme="minorBidi"/>
                <w:szCs w:val="22"/>
              </w:rPr>
              <w:tab/>
            </w:r>
            <w:r w:rsidR="004D060B" w:rsidRPr="00510B41">
              <w:rPr>
                <w:rStyle w:val="Hyperlink"/>
              </w:rPr>
              <w:t>TLA</w:t>
            </w:r>
            <w:r w:rsidR="004D060B">
              <w:rPr>
                <w:webHidden/>
              </w:rPr>
              <w:tab/>
            </w:r>
            <w:r w:rsidR="004D060B">
              <w:rPr>
                <w:webHidden/>
              </w:rPr>
              <w:fldChar w:fldCharType="begin"/>
            </w:r>
            <w:r w:rsidR="004D060B">
              <w:rPr>
                <w:webHidden/>
              </w:rPr>
              <w:instrText xml:space="preserve"> PAGEREF _Toc415660846 \h </w:instrText>
            </w:r>
            <w:r w:rsidR="004D060B">
              <w:rPr>
                <w:webHidden/>
              </w:rPr>
            </w:r>
            <w:r w:rsidR="004D060B">
              <w:rPr>
                <w:webHidden/>
              </w:rPr>
              <w:fldChar w:fldCharType="separate"/>
            </w:r>
            <w:r w:rsidR="004D060B">
              <w:rPr>
                <w:webHidden/>
              </w:rPr>
              <w:t>23</w:t>
            </w:r>
            <w:r w:rsidR="004D060B">
              <w:rPr>
                <w:webHidden/>
              </w:rPr>
              <w:fldChar w:fldCharType="end"/>
            </w:r>
          </w:hyperlink>
        </w:p>
        <w:p w14:paraId="21B726CD" w14:textId="77777777" w:rsidR="004D060B" w:rsidRDefault="00366ADF">
          <w:pPr>
            <w:pStyle w:val="TOC2"/>
            <w:rPr>
              <w:rFonts w:asciiTheme="minorHAnsi" w:eastAsiaTheme="minorEastAsia" w:hAnsiTheme="minorHAnsi" w:cstheme="minorBidi"/>
              <w:szCs w:val="22"/>
            </w:rPr>
          </w:pPr>
          <w:hyperlink w:anchor="_Toc415660847" w:history="1">
            <w:r w:rsidR="004D060B" w:rsidRPr="00510B41">
              <w:rPr>
                <w:rStyle w:val="Hyperlink"/>
              </w:rPr>
              <w:t>3.2</w:t>
            </w:r>
            <w:r w:rsidR="004D060B">
              <w:rPr>
                <w:rFonts w:asciiTheme="minorHAnsi" w:eastAsiaTheme="minorEastAsia" w:hAnsiTheme="minorHAnsi" w:cstheme="minorBidi"/>
                <w:szCs w:val="22"/>
              </w:rPr>
              <w:tab/>
            </w:r>
            <w:r w:rsidR="004D060B" w:rsidRPr="00510B41">
              <w:rPr>
                <w:rStyle w:val="Hyperlink"/>
              </w:rPr>
              <w:t>Program objectives and economic rationale</w:t>
            </w:r>
            <w:r w:rsidR="004D060B">
              <w:rPr>
                <w:webHidden/>
              </w:rPr>
              <w:tab/>
            </w:r>
            <w:r w:rsidR="004D060B">
              <w:rPr>
                <w:webHidden/>
              </w:rPr>
              <w:fldChar w:fldCharType="begin"/>
            </w:r>
            <w:r w:rsidR="004D060B">
              <w:rPr>
                <w:webHidden/>
              </w:rPr>
              <w:instrText xml:space="preserve"> PAGEREF _Toc415660847 \h </w:instrText>
            </w:r>
            <w:r w:rsidR="004D060B">
              <w:rPr>
                <w:webHidden/>
              </w:rPr>
            </w:r>
            <w:r w:rsidR="004D060B">
              <w:rPr>
                <w:webHidden/>
              </w:rPr>
              <w:fldChar w:fldCharType="separate"/>
            </w:r>
            <w:r w:rsidR="004D060B">
              <w:rPr>
                <w:webHidden/>
              </w:rPr>
              <w:t>24</w:t>
            </w:r>
            <w:r w:rsidR="004D060B">
              <w:rPr>
                <w:webHidden/>
              </w:rPr>
              <w:fldChar w:fldCharType="end"/>
            </w:r>
          </w:hyperlink>
        </w:p>
        <w:p w14:paraId="0A583934" w14:textId="77777777" w:rsidR="004D060B" w:rsidRDefault="00366ADF">
          <w:pPr>
            <w:pStyle w:val="TOC2"/>
            <w:rPr>
              <w:rFonts w:asciiTheme="minorHAnsi" w:eastAsiaTheme="minorEastAsia" w:hAnsiTheme="minorHAnsi" w:cstheme="minorBidi"/>
              <w:szCs w:val="22"/>
            </w:rPr>
          </w:pPr>
          <w:hyperlink w:anchor="_Toc415660848" w:history="1">
            <w:r w:rsidR="004D060B" w:rsidRPr="00510B41">
              <w:rPr>
                <w:rStyle w:val="Hyperlink"/>
              </w:rPr>
              <w:t>3.3</w:t>
            </w:r>
            <w:r w:rsidR="004D060B">
              <w:rPr>
                <w:rFonts w:asciiTheme="minorHAnsi" w:eastAsiaTheme="minorEastAsia" w:hAnsiTheme="minorHAnsi" w:cstheme="minorBidi"/>
                <w:szCs w:val="22"/>
              </w:rPr>
              <w:tab/>
            </w:r>
            <w:r w:rsidR="004D060B" w:rsidRPr="00510B41">
              <w:rPr>
                <w:rStyle w:val="Hyperlink"/>
              </w:rPr>
              <w:t>Interactions with other programs and policies</w:t>
            </w:r>
            <w:r w:rsidR="004D060B">
              <w:rPr>
                <w:webHidden/>
              </w:rPr>
              <w:tab/>
            </w:r>
            <w:r w:rsidR="004D060B">
              <w:rPr>
                <w:webHidden/>
              </w:rPr>
              <w:fldChar w:fldCharType="begin"/>
            </w:r>
            <w:r w:rsidR="004D060B">
              <w:rPr>
                <w:webHidden/>
              </w:rPr>
              <w:instrText xml:space="preserve"> PAGEREF _Toc415660848 \h </w:instrText>
            </w:r>
            <w:r w:rsidR="004D060B">
              <w:rPr>
                <w:webHidden/>
              </w:rPr>
            </w:r>
            <w:r w:rsidR="004D060B">
              <w:rPr>
                <w:webHidden/>
              </w:rPr>
              <w:fldChar w:fldCharType="separate"/>
            </w:r>
            <w:r w:rsidR="004D060B">
              <w:rPr>
                <w:webHidden/>
              </w:rPr>
              <w:t>25</w:t>
            </w:r>
            <w:r w:rsidR="004D060B">
              <w:rPr>
                <w:webHidden/>
              </w:rPr>
              <w:fldChar w:fldCharType="end"/>
            </w:r>
          </w:hyperlink>
        </w:p>
        <w:p w14:paraId="7597323D" w14:textId="77777777" w:rsidR="004D060B" w:rsidRDefault="00366ADF">
          <w:pPr>
            <w:pStyle w:val="TOC3"/>
            <w:rPr>
              <w:rFonts w:asciiTheme="minorHAnsi" w:eastAsiaTheme="minorEastAsia" w:hAnsiTheme="minorHAnsi" w:cstheme="minorBidi"/>
              <w:szCs w:val="22"/>
            </w:rPr>
          </w:pPr>
          <w:hyperlink w:anchor="_Toc415660849" w:history="1">
            <w:r w:rsidR="004D060B" w:rsidRPr="00510B41">
              <w:rPr>
                <w:rStyle w:val="Hyperlink"/>
              </w:rPr>
              <w:t>3.3.1</w:t>
            </w:r>
            <w:r w:rsidR="004D060B">
              <w:rPr>
                <w:rFonts w:asciiTheme="minorHAnsi" w:eastAsiaTheme="minorEastAsia" w:hAnsiTheme="minorHAnsi" w:cstheme="minorBidi"/>
                <w:szCs w:val="22"/>
              </w:rPr>
              <w:tab/>
            </w:r>
            <w:r w:rsidR="004D060B" w:rsidRPr="00510B41">
              <w:rPr>
                <w:rStyle w:val="Hyperlink"/>
              </w:rPr>
              <w:t>Interactions with other programs targeting energy efficiency</w:t>
            </w:r>
            <w:r w:rsidR="004D060B">
              <w:rPr>
                <w:webHidden/>
              </w:rPr>
              <w:tab/>
            </w:r>
            <w:r w:rsidR="004D060B">
              <w:rPr>
                <w:webHidden/>
              </w:rPr>
              <w:fldChar w:fldCharType="begin"/>
            </w:r>
            <w:r w:rsidR="004D060B">
              <w:rPr>
                <w:webHidden/>
              </w:rPr>
              <w:instrText xml:space="preserve"> PAGEREF _Toc415660849 \h </w:instrText>
            </w:r>
            <w:r w:rsidR="004D060B">
              <w:rPr>
                <w:webHidden/>
              </w:rPr>
            </w:r>
            <w:r w:rsidR="004D060B">
              <w:rPr>
                <w:webHidden/>
              </w:rPr>
              <w:fldChar w:fldCharType="separate"/>
            </w:r>
            <w:r w:rsidR="004D060B">
              <w:rPr>
                <w:webHidden/>
              </w:rPr>
              <w:t>25</w:t>
            </w:r>
            <w:r w:rsidR="004D060B">
              <w:rPr>
                <w:webHidden/>
              </w:rPr>
              <w:fldChar w:fldCharType="end"/>
            </w:r>
          </w:hyperlink>
        </w:p>
        <w:p w14:paraId="446F50C3" w14:textId="77777777" w:rsidR="004D060B" w:rsidRDefault="00366ADF">
          <w:pPr>
            <w:pStyle w:val="TOC3"/>
            <w:rPr>
              <w:rFonts w:asciiTheme="minorHAnsi" w:eastAsiaTheme="minorEastAsia" w:hAnsiTheme="minorHAnsi" w:cstheme="minorBidi"/>
              <w:szCs w:val="22"/>
            </w:rPr>
          </w:pPr>
          <w:hyperlink w:anchor="_Toc415660850" w:history="1">
            <w:r w:rsidR="004D060B" w:rsidRPr="00510B41">
              <w:rPr>
                <w:rStyle w:val="Hyperlink"/>
              </w:rPr>
              <w:t>3.3.2</w:t>
            </w:r>
            <w:r w:rsidR="004D060B">
              <w:rPr>
                <w:rFonts w:asciiTheme="minorHAnsi" w:eastAsiaTheme="minorEastAsia" w:hAnsiTheme="minorHAnsi" w:cstheme="minorBidi"/>
                <w:szCs w:val="22"/>
              </w:rPr>
              <w:tab/>
            </w:r>
            <w:r w:rsidR="004D060B" w:rsidRPr="00510B41">
              <w:rPr>
                <w:rStyle w:val="Hyperlink"/>
              </w:rPr>
              <w:t>Complementarity with carbon pricing</w:t>
            </w:r>
            <w:r w:rsidR="004D060B">
              <w:rPr>
                <w:webHidden/>
              </w:rPr>
              <w:tab/>
            </w:r>
            <w:r w:rsidR="004D060B">
              <w:rPr>
                <w:webHidden/>
              </w:rPr>
              <w:fldChar w:fldCharType="begin"/>
            </w:r>
            <w:r w:rsidR="004D060B">
              <w:rPr>
                <w:webHidden/>
              </w:rPr>
              <w:instrText xml:space="preserve"> PAGEREF _Toc415660850 \h </w:instrText>
            </w:r>
            <w:r w:rsidR="004D060B">
              <w:rPr>
                <w:webHidden/>
              </w:rPr>
            </w:r>
            <w:r w:rsidR="004D060B">
              <w:rPr>
                <w:webHidden/>
              </w:rPr>
              <w:fldChar w:fldCharType="separate"/>
            </w:r>
            <w:r w:rsidR="004D060B">
              <w:rPr>
                <w:webHidden/>
              </w:rPr>
              <w:t>26</w:t>
            </w:r>
            <w:r w:rsidR="004D060B">
              <w:rPr>
                <w:webHidden/>
              </w:rPr>
              <w:fldChar w:fldCharType="end"/>
            </w:r>
          </w:hyperlink>
        </w:p>
        <w:p w14:paraId="7D7A1364" w14:textId="77777777" w:rsidR="004D060B" w:rsidRDefault="00366ADF">
          <w:pPr>
            <w:pStyle w:val="TOC2"/>
            <w:rPr>
              <w:rFonts w:asciiTheme="minorHAnsi" w:eastAsiaTheme="minorEastAsia" w:hAnsiTheme="minorHAnsi" w:cstheme="minorBidi"/>
              <w:szCs w:val="22"/>
            </w:rPr>
          </w:pPr>
          <w:hyperlink w:anchor="_Toc415660851" w:history="1">
            <w:r w:rsidR="004D060B" w:rsidRPr="00510B41">
              <w:rPr>
                <w:rStyle w:val="Hyperlink"/>
              </w:rPr>
              <w:t>3.4</w:t>
            </w:r>
            <w:r w:rsidR="004D060B">
              <w:rPr>
                <w:rFonts w:asciiTheme="minorHAnsi" w:eastAsiaTheme="minorEastAsia" w:hAnsiTheme="minorHAnsi" w:cstheme="minorBidi"/>
                <w:szCs w:val="22"/>
              </w:rPr>
              <w:tab/>
            </w:r>
            <w:r w:rsidR="004D060B" w:rsidRPr="00510B41">
              <w:rPr>
                <w:rStyle w:val="Hyperlink"/>
              </w:rPr>
              <w:t>International experiences with commercial building disclosure</w:t>
            </w:r>
            <w:r w:rsidR="004D060B">
              <w:rPr>
                <w:webHidden/>
              </w:rPr>
              <w:tab/>
            </w:r>
            <w:r w:rsidR="004D060B">
              <w:rPr>
                <w:webHidden/>
              </w:rPr>
              <w:fldChar w:fldCharType="begin"/>
            </w:r>
            <w:r w:rsidR="004D060B">
              <w:rPr>
                <w:webHidden/>
              </w:rPr>
              <w:instrText xml:space="preserve"> PAGEREF _Toc415660851 \h </w:instrText>
            </w:r>
            <w:r w:rsidR="004D060B">
              <w:rPr>
                <w:webHidden/>
              </w:rPr>
            </w:r>
            <w:r w:rsidR="004D060B">
              <w:rPr>
                <w:webHidden/>
              </w:rPr>
              <w:fldChar w:fldCharType="separate"/>
            </w:r>
            <w:r w:rsidR="004D060B">
              <w:rPr>
                <w:webHidden/>
              </w:rPr>
              <w:t>27</w:t>
            </w:r>
            <w:r w:rsidR="004D060B">
              <w:rPr>
                <w:webHidden/>
              </w:rPr>
              <w:fldChar w:fldCharType="end"/>
            </w:r>
          </w:hyperlink>
        </w:p>
        <w:p w14:paraId="4F46D944" w14:textId="77777777" w:rsidR="004D060B" w:rsidRDefault="00366ADF">
          <w:pPr>
            <w:pStyle w:val="TOC3"/>
            <w:rPr>
              <w:rFonts w:asciiTheme="minorHAnsi" w:eastAsiaTheme="minorEastAsia" w:hAnsiTheme="minorHAnsi" w:cstheme="minorBidi"/>
              <w:szCs w:val="22"/>
            </w:rPr>
          </w:pPr>
          <w:hyperlink w:anchor="_Toc415660852" w:history="1">
            <w:r w:rsidR="004D060B" w:rsidRPr="00510B41">
              <w:rPr>
                <w:rStyle w:val="Hyperlink"/>
              </w:rPr>
              <w:t>3.4.1</w:t>
            </w:r>
            <w:r w:rsidR="004D060B">
              <w:rPr>
                <w:rFonts w:asciiTheme="minorHAnsi" w:eastAsiaTheme="minorEastAsia" w:hAnsiTheme="minorHAnsi" w:cstheme="minorBidi"/>
                <w:szCs w:val="22"/>
              </w:rPr>
              <w:tab/>
            </w:r>
            <w:r w:rsidR="004D060B" w:rsidRPr="00510B41">
              <w:rPr>
                <w:rStyle w:val="Hyperlink"/>
              </w:rPr>
              <w:t>UK and rest of Europe</w:t>
            </w:r>
            <w:r w:rsidR="004D060B">
              <w:rPr>
                <w:webHidden/>
              </w:rPr>
              <w:tab/>
            </w:r>
            <w:r w:rsidR="004D060B">
              <w:rPr>
                <w:webHidden/>
              </w:rPr>
              <w:fldChar w:fldCharType="begin"/>
            </w:r>
            <w:r w:rsidR="004D060B">
              <w:rPr>
                <w:webHidden/>
              </w:rPr>
              <w:instrText xml:space="preserve"> PAGEREF _Toc415660852 \h </w:instrText>
            </w:r>
            <w:r w:rsidR="004D060B">
              <w:rPr>
                <w:webHidden/>
              </w:rPr>
            </w:r>
            <w:r w:rsidR="004D060B">
              <w:rPr>
                <w:webHidden/>
              </w:rPr>
              <w:fldChar w:fldCharType="separate"/>
            </w:r>
            <w:r w:rsidR="004D060B">
              <w:rPr>
                <w:webHidden/>
              </w:rPr>
              <w:t>27</w:t>
            </w:r>
            <w:r w:rsidR="004D060B">
              <w:rPr>
                <w:webHidden/>
              </w:rPr>
              <w:fldChar w:fldCharType="end"/>
            </w:r>
          </w:hyperlink>
        </w:p>
        <w:p w14:paraId="6C09DBF1" w14:textId="77777777" w:rsidR="004D060B" w:rsidRDefault="00366ADF">
          <w:pPr>
            <w:pStyle w:val="TOC3"/>
            <w:rPr>
              <w:rFonts w:asciiTheme="minorHAnsi" w:eastAsiaTheme="minorEastAsia" w:hAnsiTheme="minorHAnsi" w:cstheme="minorBidi"/>
              <w:szCs w:val="22"/>
            </w:rPr>
          </w:pPr>
          <w:hyperlink w:anchor="_Toc415660853" w:history="1">
            <w:r w:rsidR="004D060B" w:rsidRPr="00510B41">
              <w:rPr>
                <w:rStyle w:val="Hyperlink"/>
              </w:rPr>
              <w:t>3.4.2</w:t>
            </w:r>
            <w:r w:rsidR="004D060B">
              <w:rPr>
                <w:rFonts w:asciiTheme="minorHAnsi" w:eastAsiaTheme="minorEastAsia" w:hAnsiTheme="minorHAnsi" w:cstheme="minorBidi"/>
                <w:szCs w:val="22"/>
              </w:rPr>
              <w:tab/>
            </w:r>
            <w:r w:rsidR="004D060B" w:rsidRPr="00510B41">
              <w:rPr>
                <w:rStyle w:val="Hyperlink"/>
              </w:rPr>
              <w:t>North America</w:t>
            </w:r>
            <w:r w:rsidR="004D060B">
              <w:rPr>
                <w:webHidden/>
              </w:rPr>
              <w:tab/>
            </w:r>
            <w:r w:rsidR="004D060B">
              <w:rPr>
                <w:webHidden/>
              </w:rPr>
              <w:fldChar w:fldCharType="begin"/>
            </w:r>
            <w:r w:rsidR="004D060B">
              <w:rPr>
                <w:webHidden/>
              </w:rPr>
              <w:instrText xml:space="preserve"> PAGEREF _Toc415660853 \h </w:instrText>
            </w:r>
            <w:r w:rsidR="004D060B">
              <w:rPr>
                <w:webHidden/>
              </w:rPr>
            </w:r>
            <w:r w:rsidR="004D060B">
              <w:rPr>
                <w:webHidden/>
              </w:rPr>
              <w:fldChar w:fldCharType="separate"/>
            </w:r>
            <w:r w:rsidR="004D060B">
              <w:rPr>
                <w:webHidden/>
              </w:rPr>
              <w:t>28</w:t>
            </w:r>
            <w:r w:rsidR="004D060B">
              <w:rPr>
                <w:webHidden/>
              </w:rPr>
              <w:fldChar w:fldCharType="end"/>
            </w:r>
          </w:hyperlink>
        </w:p>
        <w:p w14:paraId="5147AF60" w14:textId="77777777" w:rsidR="004D060B" w:rsidRDefault="00366ADF">
          <w:pPr>
            <w:pStyle w:val="TOC3"/>
            <w:rPr>
              <w:rFonts w:asciiTheme="minorHAnsi" w:eastAsiaTheme="minorEastAsia" w:hAnsiTheme="minorHAnsi" w:cstheme="minorBidi"/>
              <w:szCs w:val="22"/>
            </w:rPr>
          </w:pPr>
          <w:hyperlink w:anchor="_Toc415660854" w:history="1">
            <w:r w:rsidR="004D060B" w:rsidRPr="00510B41">
              <w:rPr>
                <w:rStyle w:val="Hyperlink"/>
              </w:rPr>
              <w:t>3.4.3</w:t>
            </w:r>
            <w:r w:rsidR="004D060B">
              <w:rPr>
                <w:rFonts w:asciiTheme="minorHAnsi" w:eastAsiaTheme="minorEastAsia" w:hAnsiTheme="minorHAnsi" w:cstheme="minorBidi"/>
                <w:szCs w:val="22"/>
              </w:rPr>
              <w:tab/>
            </w:r>
            <w:r w:rsidR="004D060B" w:rsidRPr="00510B41">
              <w:rPr>
                <w:rStyle w:val="Hyperlink"/>
              </w:rPr>
              <w:t>China</w:t>
            </w:r>
            <w:r w:rsidR="004D060B">
              <w:rPr>
                <w:webHidden/>
              </w:rPr>
              <w:tab/>
            </w:r>
            <w:r w:rsidR="004D060B">
              <w:rPr>
                <w:webHidden/>
              </w:rPr>
              <w:fldChar w:fldCharType="begin"/>
            </w:r>
            <w:r w:rsidR="004D060B">
              <w:rPr>
                <w:webHidden/>
              </w:rPr>
              <w:instrText xml:space="preserve"> PAGEREF _Toc415660854 \h </w:instrText>
            </w:r>
            <w:r w:rsidR="004D060B">
              <w:rPr>
                <w:webHidden/>
              </w:rPr>
            </w:r>
            <w:r w:rsidR="004D060B">
              <w:rPr>
                <w:webHidden/>
              </w:rPr>
              <w:fldChar w:fldCharType="separate"/>
            </w:r>
            <w:r w:rsidR="004D060B">
              <w:rPr>
                <w:webHidden/>
              </w:rPr>
              <w:t>30</w:t>
            </w:r>
            <w:r w:rsidR="004D060B">
              <w:rPr>
                <w:webHidden/>
              </w:rPr>
              <w:fldChar w:fldCharType="end"/>
            </w:r>
          </w:hyperlink>
        </w:p>
        <w:p w14:paraId="461FD569" w14:textId="77777777" w:rsidR="004D060B" w:rsidRDefault="00366ADF">
          <w:pPr>
            <w:pStyle w:val="TOC3"/>
            <w:rPr>
              <w:rFonts w:asciiTheme="minorHAnsi" w:eastAsiaTheme="minorEastAsia" w:hAnsiTheme="minorHAnsi" w:cstheme="minorBidi"/>
              <w:szCs w:val="22"/>
            </w:rPr>
          </w:pPr>
          <w:hyperlink w:anchor="_Toc415660855" w:history="1">
            <w:r w:rsidR="004D060B" w:rsidRPr="00510B41">
              <w:rPr>
                <w:rStyle w:val="Hyperlink"/>
              </w:rPr>
              <w:t>3.4.4</w:t>
            </w:r>
            <w:r w:rsidR="004D060B">
              <w:rPr>
                <w:rFonts w:asciiTheme="minorHAnsi" w:eastAsiaTheme="minorEastAsia" w:hAnsiTheme="minorHAnsi" w:cstheme="minorBidi"/>
                <w:szCs w:val="22"/>
              </w:rPr>
              <w:tab/>
            </w:r>
            <w:r w:rsidR="004D060B" w:rsidRPr="00510B41">
              <w:rPr>
                <w:rStyle w:val="Hyperlink"/>
              </w:rPr>
              <w:t>Comparison with the CBD program</w:t>
            </w:r>
            <w:r w:rsidR="004D060B">
              <w:rPr>
                <w:webHidden/>
              </w:rPr>
              <w:tab/>
            </w:r>
            <w:r w:rsidR="004D060B">
              <w:rPr>
                <w:webHidden/>
              </w:rPr>
              <w:fldChar w:fldCharType="begin"/>
            </w:r>
            <w:r w:rsidR="004D060B">
              <w:rPr>
                <w:webHidden/>
              </w:rPr>
              <w:instrText xml:space="preserve"> PAGEREF _Toc415660855 \h </w:instrText>
            </w:r>
            <w:r w:rsidR="004D060B">
              <w:rPr>
                <w:webHidden/>
              </w:rPr>
            </w:r>
            <w:r w:rsidR="004D060B">
              <w:rPr>
                <w:webHidden/>
              </w:rPr>
              <w:fldChar w:fldCharType="separate"/>
            </w:r>
            <w:r w:rsidR="004D060B">
              <w:rPr>
                <w:webHidden/>
              </w:rPr>
              <w:t>30</w:t>
            </w:r>
            <w:r w:rsidR="004D060B">
              <w:rPr>
                <w:webHidden/>
              </w:rPr>
              <w:fldChar w:fldCharType="end"/>
            </w:r>
          </w:hyperlink>
        </w:p>
        <w:p w14:paraId="4E4AE753" w14:textId="77777777" w:rsidR="004D060B" w:rsidRDefault="00366ADF">
          <w:pPr>
            <w:pStyle w:val="TOC2"/>
            <w:rPr>
              <w:rFonts w:asciiTheme="minorHAnsi" w:eastAsiaTheme="minorEastAsia" w:hAnsiTheme="minorHAnsi" w:cstheme="minorBidi"/>
              <w:szCs w:val="22"/>
            </w:rPr>
          </w:pPr>
          <w:hyperlink w:anchor="_Toc415660856" w:history="1">
            <w:r w:rsidR="004D060B" w:rsidRPr="00510B41">
              <w:rPr>
                <w:rStyle w:val="Hyperlink"/>
              </w:rPr>
              <w:t>3.5</w:t>
            </w:r>
            <w:r w:rsidR="004D060B">
              <w:rPr>
                <w:rFonts w:asciiTheme="minorHAnsi" w:eastAsiaTheme="minorEastAsia" w:hAnsiTheme="minorHAnsi" w:cstheme="minorBidi"/>
                <w:szCs w:val="22"/>
              </w:rPr>
              <w:tab/>
            </w:r>
            <w:r w:rsidR="004D060B" w:rsidRPr="00510B41">
              <w:rPr>
                <w:rStyle w:val="Hyperlink"/>
              </w:rPr>
              <w:t>Assessment of the appropriateness of the CBD program</w:t>
            </w:r>
            <w:r w:rsidR="004D060B">
              <w:rPr>
                <w:webHidden/>
              </w:rPr>
              <w:tab/>
            </w:r>
            <w:r w:rsidR="004D060B">
              <w:rPr>
                <w:webHidden/>
              </w:rPr>
              <w:fldChar w:fldCharType="begin"/>
            </w:r>
            <w:r w:rsidR="004D060B">
              <w:rPr>
                <w:webHidden/>
              </w:rPr>
              <w:instrText xml:space="preserve"> PAGEREF _Toc415660856 \h </w:instrText>
            </w:r>
            <w:r w:rsidR="004D060B">
              <w:rPr>
                <w:webHidden/>
              </w:rPr>
            </w:r>
            <w:r w:rsidR="004D060B">
              <w:rPr>
                <w:webHidden/>
              </w:rPr>
              <w:fldChar w:fldCharType="separate"/>
            </w:r>
            <w:r w:rsidR="004D060B">
              <w:rPr>
                <w:webHidden/>
              </w:rPr>
              <w:t>31</w:t>
            </w:r>
            <w:r w:rsidR="004D060B">
              <w:rPr>
                <w:webHidden/>
              </w:rPr>
              <w:fldChar w:fldCharType="end"/>
            </w:r>
          </w:hyperlink>
        </w:p>
        <w:p w14:paraId="2A992E40" w14:textId="77777777" w:rsidR="004D060B" w:rsidRDefault="00366ADF">
          <w:pPr>
            <w:pStyle w:val="TOC1"/>
            <w:rPr>
              <w:rFonts w:asciiTheme="minorHAnsi" w:eastAsiaTheme="minorEastAsia" w:hAnsiTheme="minorHAnsi" w:cstheme="minorBidi"/>
              <w:b w:val="0"/>
              <w:color w:val="auto"/>
            </w:rPr>
          </w:pPr>
          <w:hyperlink w:anchor="_Toc415660857" w:history="1">
            <w:r w:rsidR="004D060B" w:rsidRPr="00510B41">
              <w:rPr>
                <w:rStyle w:val="Hyperlink"/>
              </w:rPr>
              <w:t>4</w:t>
            </w:r>
            <w:r w:rsidR="004D060B">
              <w:rPr>
                <w:rFonts w:asciiTheme="minorHAnsi" w:eastAsiaTheme="minorEastAsia" w:hAnsiTheme="minorHAnsi" w:cstheme="minorBidi"/>
                <w:b w:val="0"/>
                <w:color w:val="auto"/>
              </w:rPr>
              <w:tab/>
            </w:r>
            <w:r w:rsidR="004D060B" w:rsidRPr="00510B41">
              <w:rPr>
                <w:rStyle w:val="Hyperlink"/>
              </w:rPr>
              <w:t>Assessment of CBD costs and benefits to date</w:t>
            </w:r>
            <w:r w:rsidR="004D060B">
              <w:rPr>
                <w:webHidden/>
              </w:rPr>
              <w:tab/>
            </w:r>
            <w:r w:rsidR="004D060B">
              <w:rPr>
                <w:webHidden/>
              </w:rPr>
              <w:fldChar w:fldCharType="begin"/>
            </w:r>
            <w:r w:rsidR="004D060B">
              <w:rPr>
                <w:webHidden/>
              </w:rPr>
              <w:instrText xml:space="preserve"> PAGEREF _Toc415660857 \h </w:instrText>
            </w:r>
            <w:r w:rsidR="004D060B">
              <w:rPr>
                <w:webHidden/>
              </w:rPr>
            </w:r>
            <w:r w:rsidR="004D060B">
              <w:rPr>
                <w:webHidden/>
              </w:rPr>
              <w:fldChar w:fldCharType="separate"/>
            </w:r>
            <w:r w:rsidR="004D060B">
              <w:rPr>
                <w:webHidden/>
              </w:rPr>
              <w:t>33</w:t>
            </w:r>
            <w:r w:rsidR="004D060B">
              <w:rPr>
                <w:webHidden/>
              </w:rPr>
              <w:fldChar w:fldCharType="end"/>
            </w:r>
          </w:hyperlink>
        </w:p>
        <w:p w14:paraId="51901195" w14:textId="77777777" w:rsidR="004D060B" w:rsidRDefault="00366ADF">
          <w:pPr>
            <w:pStyle w:val="TOC2"/>
            <w:rPr>
              <w:rFonts w:asciiTheme="minorHAnsi" w:eastAsiaTheme="minorEastAsia" w:hAnsiTheme="minorHAnsi" w:cstheme="minorBidi"/>
              <w:szCs w:val="22"/>
            </w:rPr>
          </w:pPr>
          <w:hyperlink w:anchor="_Toc415660858" w:history="1">
            <w:r w:rsidR="004D060B" w:rsidRPr="00510B41">
              <w:rPr>
                <w:rStyle w:val="Hyperlink"/>
              </w:rPr>
              <w:t>4.1</w:t>
            </w:r>
            <w:r w:rsidR="004D060B">
              <w:rPr>
                <w:rFonts w:asciiTheme="minorHAnsi" w:eastAsiaTheme="minorEastAsia" w:hAnsiTheme="minorHAnsi" w:cstheme="minorBidi"/>
                <w:szCs w:val="22"/>
              </w:rPr>
              <w:tab/>
            </w:r>
            <w:r w:rsidR="004D060B" w:rsidRPr="00510B41">
              <w:rPr>
                <w:rStyle w:val="Hyperlink"/>
              </w:rPr>
              <w:t>The challenge</w:t>
            </w:r>
            <w:r w:rsidR="004D060B">
              <w:rPr>
                <w:webHidden/>
              </w:rPr>
              <w:tab/>
            </w:r>
            <w:r w:rsidR="004D060B">
              <w:rPr>
                <w:webHidden/>
              </w:rPr>
              <w:fldChar w:fldCharType="begin"/>
            </w:r>
            <w:r w:rsidR="004D060B">
              <w:rPr>
                <w:webHidden/>
              </w:rPr>
              <w:instrText xml:space="preserve"> PAGEREF _Toc415660858 \h </w:instrText>
            </w:r>
            <w:r w:rsidR="004D060B">
              <w:rPr>
                <w:webHidden/>
              </w:rPr>
            </w:r>
            <w:r w:rsidR="004D060B">
              <w:rPr>
                <w:webHidden/>
              </w:rPr>
              <w:fldChar w:fldCharType="separate"/>
            </w:r>
            <w:r w:rsidR="004D060B">
              <w:rPr>
                <w:webHidden/>
              </w:rPr>
              <w:t>33</w:t>
            </w:r>
            <w:r w:rsidR="004D060B">
              <w:rPr>
                <w:webHidden/>
              </w:rPr>
              <w:fldChar w:fldCharType="end"/>
            </w:r>
          </w:hyperlink>
        </w:p>
        <w:p w14:paraId="1EFF7425" w14:textId="77777777" w:rsidR="004D060B" w:rsidRDefault="00366ADF">
          <w:pPr>
            <w:pStyle w:val="TOC2"/>
            <w:rPr>
              <w:rFonts w:asciiTheme="minorHAnsi" w:eastAsiaTheme="minorEastAsia" w:hAnsiTheme="minorHAnsi" w:cstheme="minorBidi"/>
              <w:szCs w:val="22"/>
            </w:rPr>
          </w:pPr>
          <w:hyperlink w:anchor="_Toc415660859" w:history="1">
            <w:r w:rsidR="004D060B" w:rsidRPr="00510B41">
              <w:rPr>
                <w:rStyle w:val="Hyperlink"/>
              </w:rPr>
              <w:t>4.2</w:t>
            </w:r>
            <w:r w:rsidR="004D060B">
              <w:rPr>
                <w:rFonts w:asciiTheme="minorHAnsi" w:eastAsiaTheme="minorEastAsia" w:hAnsiTheme="minorHAnsi" w:cstheme="minorBidi"/>
                <w:szCs w:val="22"/>
              </w:rPr>
              <w:tab/>
            </w:r>
            <w:r w:rsidR="004D060B" w:rsidRPr="00510B41">
              <w:rPr>
                <w:rStyle w:val="Hyperlink"/>
              </w:rPr>
              <w:t>Framework adopted for assessment of benefits to date and assessment of future benefits</w:t>
            </w:r>
            <w:r w:rsidR="004D060B">
              <w:rPr>
                <w:webHidden/>
              </w:rPr>
              <w:tab/>
            </w:r>
            <w:r w:rsidR="004D060B">
              <w:rPr>
                <w:webHidden/>
              </w:rPr>
              <w:fldChar w:fldCharType="begin"/>
            </w:r>
            <w:r w:rsidR="004D060B">
              <w:rPr>
                <w:webHidden/>
              </w:rPr>
              <w:instrText xml:space="preserve"> PAGEREF _Toc415660859 \h </w:instrText>
            </w:r>
            <w:r w:rsidR="004D060B">
              <w:rPr>
                <w:webHidden/>
              </w:rPr>
            </w:r>
            <w:r w:rsidR="004D060B">
              <w:rPr>
                <w:webHidden/>
              </w:rPr>
              <w:fldChar w:fldCharType="separate"/>
            </w:r>
            <w:r w:rsidR="004D060B">
              <w:rPr>
                <w:webHidden/>
              </w:rPr>
              <w:t>33</w:t>
            </w:r>
            <w:r w:rsidR="004D060B">
              <w:rPr>
                <w:webHidden/>
              </w:rPr>
              <w:fldChar w:fldCharType="end"/>
            </w:r>
          </w:hyperlink>
        </w:p>
        <w:p w14:paraId="49178250" w14:textId="77777777" w:rsidR="004D060B" w:rsidRDefault="00366ADF">
          <w:pPr>
            <w:pStyle w:val="TOC3"/>
            <w:rPr>
              <w:rFonts w:asciiTheme="minorHAnsi" w:eastAsiaTheme="minorEastAsia" w:hAnsiTheme="minorHAnsi" w:cstheme="minorBidi"/>
              <w:szCs w:val="22"/>
            </w:rPr>
          </w:pPr>
          <w:hyperlink w:anchor="_Toc415660860" w:history="1">
            <w:r w:rsidR="004D060B" w:rsidRPr="00510B41">
              <w:rPr>
                <w:rStyle w:val="Hyperlink"/>
              </w:rPr>
              <w:t>4.2.1</w:t>
            </w:r>
            <w:r w:rsidR="004D060B">
              <w:rPr>
                <w:rFonts w:asciiTheme="minorHAnsi" w:eastAsiaTheme="minorEastAsia" w:hAnsiTheme="minorHAnsi" w:cstheme="minorBidi"/>
                <w:szCs w:val="22"/>
              </w:rPr>
              <w:tab/>
            </w:r>
            <w:r w:rsidR="004D060B" w:rsidRPr="00510B41">
              <w:rPr>
                <w:rStyle w:val="Hyperlink"/>
              </w:rPr>
              <w:t>Application of cost-benefit analysis</w:t>
            </w:r>
            <w:r w:rsidR="004D060B">
              <w:rPr>
                <w:webHidden/>
              </w:rPr>
              <w:tab/>
            </w:r>
            <w:r w:rsidR="004D060B">
              <w:rPr>
                <w:webHidden/>
              </w:rPr>
              <w:fldChar w:fldCharType="begin"/>
            </w:r>
            <w:r w:rsidR="004D060B">
              <w:rPr>
                <w:webHidden/>
              </w:rPr>
              <w:instrText xml:space="preserve"> PAGEREF _Toc415660860 \h </w:instrText>
            </w:r>
            <w:r w:rsidR="004D060B">
              <w:rPr>
                <w:webHidden/>
              </w:rPr>
            </w:r>
            <w:r w:rsidR="004D060B">
              <w:rPr>
                <w:webHidden/>
              </w:rPr>
              <w:fldChar w:fldCharType="separate"/>
            </w:r>
            <w:r w:rsidR="004D060B">
              <w:rPr>
                <w:webHidden/>
              </w:rPr>
              <w:t>33</w:t>
            </w:r>
            <w:r w:rsidR="004D060B">
              <w:rPr>
                <w:webHidden/>
              </w:rPr>
              <w:fldChar w:fldCharType="end"/>
            </w:r>
          </w:hyperlink>
        </w:p>
        <w:p w14:paraId="25EF0CDB" w14:textId="77777777" w:rsidR="004D060B" w:rsidRDefault="00366ADF">
          <w:pPr>
            <w:pStyle w:val="TOC3"/>
            <w:rPr>
              <w:rFonts w:asciiTheme="minorHAnsi" w:eastAsiaTheme="minorEastAsia" w:hAnsiTheme="minorHAnsi" w:cstheme="minorBidi"/>
              <w:szCs w:val="22"/>
            </w:rPr>
          </w:pPr>
          <w:hyperlink w:anchor="_Toc415660861" w:history="1">
            <w:r w:rsidR="004D060B" w:rsidRPr="00510B41">
              <w:rPr>
                <w:rStyle w:val="Hyperlink"/>
              </w:rPr>
              <w:t>4.2.2</w:t>
            </w:r>
            <w:r w:rsidR="004D060B">
              <w:rPr>
                <w:rFonts w:asciiTheme="minorHAnsi" w:eastAsiaTheme="minorEastAsia" w:hAnsiTheme="minorHAnsi" w:cstheme="minorBidi"/>
                <w:szCs w:val="22"/>
              </w:rPr>
              <w:tab/>
            </w:r>
            <w:r w:rsidR="004D060B" w:rsidRPr="00510B41">
              <w:rPr>
                <w:rStyle w:val="Hyperlink"/>
              </w:rPr>
              <w:t>Cost and benefit items estimated</w:t>
            </w:r>
            <w:r w:rsidR="004D060B">
              <w:rPr>
                <w:webHidden/>
              </w:rPr>
              <w:tab/>
            </w:r>
            <w:r w:rsidR="004D060B">
              <w:rPr>
                <w:webHidden/>
              </w:rPr>
              <w:fldChar w:fldCharType="begin"/>
            </w:r>
            <w:r w:rsidR="004D060B">
              <w:rPr>
                <w:webHidden/>
              </w:rPr>
              <w:instrText xml:space="preserve"> PAGEREF _Toc415660861 \h </w:instrText>
            </w:r>
            <w:r w:rsidR="004D060B">
              <w:rPr>
                <w:webHidden/>
              </w:rPr>
            </w:r>
            <w:r w:rsidR="004D060B">
              <w:rPr>
                <w:webHidden/>
              </w:rPr>
              <w:fldChar w:fldCharType="separate"/>
            </w:r>
            <w:r w:rsidR="004D060B">
              <w:rPr>
                <w:webHidden/>
              </w:rPr>
              <w:t>34</w:t>
            </w:r>
            <w:r w:rsidR="004D060B">
              <w:rPr>
                <w:webHidden/>
              </w:rPr>
              <w:fldChar w:fldCharType="end"/>
            </w:r>
          </w:hyperlink>
        </w:p>
        <w:p w14:paraId="5ECD0692" w14:textId="77777777" w:rsidR="004D060B" w:rsidRDefault="00366ADF">
          <w:pPr>
            <w:pStyle w:val="TOC3"/>
            <w:rPr>
              <w:rFonts w:asciiTheme="minorHAnsi" w:eastAsiaTheme="minorEastAsia" w:hAnsiTheme="minorHAnsi" w:cstheme="minorBidi"/>
              <w:szCs w:val="22"/>
            </w:rPr>
          </w:pPr>
          <w:hyperlink w:anchor="_Toc415660862" w:history="1">
            <w:r w:rsidR="004D060B" w:rsidRPr="00510B41">
              <w:rPr>
                <w:rStyle w:val="Hyperlink"/>
              </w:rPr>
              <w:t>4.2.3</w:t>
            </w:r>
            <w:r w:rsidR="004D060B">
              <w:rPr>
                <w:rFonts w:asciiTheme="minorHAnsi" w:eastAsiaTheme="minorEastAsia" w:hAnsiTheme="minorHAnsi" w:cstheme="minorBidi"/>
                <w:szCs w:val="22"/>
              </w:rPr>
              <w:tab/>
            </w:r>
            <w:r w:rsidR="004D060B" w:rsidRPr="00510B41">
              <w:rPr>
                <w:rStyle w:val="Hyperlink"/>
              </w:rPr>
              <w:t>Backward- and forward-looking assessments</w:t>
            </w:r>
            <w:r w:rsidR="004D060B">
              <w:rPr>
                <w:webHidden/>
              </w:rPr>
              <w:tab/>
            </w:r>
            <w:r w:rsidR="004D060B">
              <w:rPr>
                <w:webHidden/>
              </w:rPr>
              <w:fldChar w:fldCharType="begin"/>
            </w:r>
            <w:r w:rsidR="004D060B">
              <w:rPr>
                <w:webHidden/>
              </w:rPr>
              <w:instrText xml:space="preserve"> PAGEREF _Toc415660862 \h </w:instrText>
            </w:r>
            <w:r w:rsidR="004D060B">
              <w:rPr>
                <w:webHidden/>
              </w:rPr>
            </w:r>
            <w:r w:rsidR="004D060B">
              <w:rPr>
                <w:webHidden/>
              </w:rPr>
              <w:fldChar w:fldCharType="separate"/>
            </w:r>
            <w:r w:rsidR="004D060B">
              <w:rPr>
                <w:webHidden/>
              </w:rPr>
              <w:t>34</w:t>
            </w:r>
            <w:r w:rsidR="004D060B">
              <w:rPr>
                <w:webHidden/>
              </w:rPr>
              <w:fldChar w:fldCharType="end"/>
            </w:r>
          </w:hyperlink>
        </w:p>
        <w:p w14:paraId="7A820725" w14:textId="77777777" w:rsidR="004D060B" w:rsidRDefault="00366ADF">
          <w:pPr>
            <w:pStyle w:val="TOC3"/>
            <w:rPr>
              <w:rFonts w:asciiTheme="minorHAnsi" w:eastAsiaTheme="minorEastAsia" w:hAnsiTheme="minorHAnsi" w:cstheme="minorBidi"/>
              <w:szCs w:val="22"/>
            </w:rPr>
          </w:pPr>
          <w:hyperlink w:anchor="_Toc415660863" w:history="1">
            <w:r w:rsidR="004D060B" w:rsidRPr="00510B41">
              <w:rPr>
                <w:rStyle w:val="Hyperlink"/>
              </w:rPr>
              <w:t>4.2.4</w:t>
            </w:r>
            <w:r w:rsidR="004D060B">
              <w:rPr>
                <w:rFonts w:asciiTheme="minorHAnsi" w:eastAsiaTheme="minorEastAsia" w:hAnsiTheme="minorHAnsi" w:cstheme="minorBidi"/>
                <w:szCs w:val="22"/>
              </w:rPr>
              <w:tab/>
            </w:r>
            <w:r w:rsidR="004D060B" w:rsidRPr="00510B41">
              <w:rPr>
                <w:rStyle w:val="Hyperlink"/>
              </w:rPr>
              <w:t>Common conceptual approach to estimating benefits in both backward- and forward-looking assessments</w:t>
            </w:r>
            <w:r w:rsidR="004D060B">
              <w:rPr>
                <w:webHidden/>
              </w:rPr>
              <w:tab/>
            </w:r>
            <w:r w:rsidR="004D060B">
              <w:rPr>
                <w:webHidden/>
              </w:rPr>
              <w:fldChar w:fldCharType="begin"/>
            </w:r>
            <w:r w:rsidR="004D060B">
              <w:rPr>
                <w:webHidden/>
              </w:rPr>
              <w:instrText xml:space="preserve"> PAGEREF _Toc415660863 \h </w:instrText>
            </w:r>
            <w:r w:rsidR="004D060B">
              <w:rPr>
                <w:webHidden/>
              </w:rPr>
            </w:r>
            <w:r w:rsidR="004D060B">
              <w:rPr>
                <w:webHidden/>
              </w:rPr>
              <w:fldChar w:fldCharType="separate"/>
            </w:r>
            <w:r w:rsidR="004D060B">
              <w:rPr>
                <w:webHidden/>
              </w:rPr>
              <w:t>35</w:t>
            </w:r>
            <w:r w:rsidR="004D060B">
              <w:rPr>
                <w:webHidden/>
              </w:rPr>
              <w:fldChar w:fldCharType="end"/>
            </w:r>
          </w:hyperlink>
        </w:p>
        <w:p w14:paraId="69591D29" w14:textId="77777777" w:rsidR="004D060B" w:rsidRDefault="00366ADF">
          <w:pPr>
            <w:pStyle w:val="TOC2"/>
            <w:rPr>
              <w:rFonts w:asciiTheme="minorHAnsi" w:eastAsiaTheme="minorEastAsia" w:hAnsiTheme="minorHAnsi" w:cstheme="minorBidi"/>
              <w:szCs w:val="22"/>
            </w:rPr>
          </w:pPr>
          <w:hyperlink w:anchor="_Toc415660864" w:history="1">
            <w:r w:rsidR="004D060B" w:rsidRPr="00510B41">
              <w:rPr>
                <w:rStyle w:val="Hyperlink"/>
              </w:rPr>
              <w:t>4.3</w:t>
            </w:r>
            <w:r w:rsidR="004D060B">
              <w:rPr>
                <w:rFonts w:asciiTheme="minorHAnsi" w:eastAsiaTheme="minorEastAsia" w:hAnsiTheme="minorHAnsi" w:cstheme="minorBidi"/>
                <w:szCs w:val="22"/>
              </w:rPr>
              <w:tab/>
            </w:r>
            <w:r w:rsidR="004D060B" w:rsidRPr="00510B41">
              <w:rPr>
                <w:rStyle w:val="Hyperlink"/>
              </w:rPr>
              <w:t>Overview of methodology for backward-looking assessment</w:t>
            </w:r>
            <w:r w:rsidR="004D060B">
              <w:rPr>
                <w:webHidden/>
              </w:rPr>
              <w:tab/>
            </w:r>
            <w:r w:rsidR="004D060B">
              <w:rPr>
                <w:webHidden/>
              </w:rPr>
              <w:fldChar w:fldCharType="begin"/>
            </w:r>
            <w:r w:rsidR="004D060B">
              <w:rPr>
                <w:webHidden/>
              </w:rPr>
              <w:instrText xml:space="preserve"> PAGEREF _Toc415660864 \h </w:instrText>
            </w:r>
            <w:r w:rsidR="004D060B">
              <w:rPr>
                <w:webHidden/>
              </w:rPr>
            </w:r>
            <w:r w:rsidR="004D060B">
              <w:rPr>
                <w:webHidden/>
              </w:rPr>
              <w:fldChar w:fldCharType="separate"/>
            </w:r>
            <w:r w:rsidR="004D060B">
              <w:rPr>
                <w:webHidden/>
              </w:rPr>
              <w:t>36</w:t>
            </w:r>
            <w:r w:rsidR="004D060B">
              <w:rPr>
                <w:webHidden/>
              </w:rPr>
              <w:fldChar w:fldCharType="end"/>
            </w:r>
          </w:hyperlink>
        </w:p>
        <w:p w14:paraId="1AC09E84" w14:textId="77777777" w:rsidR="004D060B" w:rsidRDefault="00366ADF">
          <w:pPr>
            <w:pStyle w:val="TOC3"/>
            <w:rPr>
              <w:rFonts w:asciiTheme="minorHAnsi" w:eastAsiaTheme="minorEastAsia" w:hAnsiTheme="minorHAnsi" w:cstheme="minorBidi"/>
              <w:szCs w:val="22"/>
            </w:rPr>
          </w:pPr>
          <w:hyperlink w:anchor="_Toc415660865" w:history="1">
            <w:r w:rsidR="004D060B" w:rsidRPr="00510B41">
              <w:rPr>
                <w:rStyle w:val="Hyperlink"/>
              </w:rPr>
              <w:t>4.3.1</w:t>
            </w:r>
            <w:r w:rsidR="004D060B">
              <w:rPr>
                <w:rFonts w:asciiTheme="minorHAnsi" w:eastAsiaTheme="minorEastAsia" w:hAnsiTheme="minorHAnsi" w:cstheme="minorBidi"/>
                <w:szCs w:val="22"/>
              </w:rPr>
              <w:tab/>
            </w:r>
            <w:r w:rsidR="004D060B" w:rsidRPr="00510B41">
              <w:rPr>
                <w:rStyle w:val="Hyperlink"/>
              </w:rPr>
              <w:t>Building segmentation</w:t>
            </w:r>
            <w:r w:rsidR="004D060B">
              <w:rPr>
                <w:webHidden/>
              </w:rPr>
              <w:tab/>
            </w:r>
            <w:r w:rsidR="004D060B">
              <w:rPr>
                <w:webHidden/>
              </w:rPr>
              <w:fldChar w:fldCharType="begin"/>
            </w:r>
            <w:r w:rsidR="004D060B">
              <w:rPr>
                <w:webHidden/>
              </w:rPr>
              <w:instrText xml:space="preserve"> PAGEREF _Toc415660865 \h </w:instrText>
            </w:r>
            <w:r w:rsidR="004D060B">
              <w:rPr>
                <w:webHidden/>
              </w:rPr>
            </w:r>
            <w:r w:rsidR="004D060B">
              <w:rPr>
                <w:webHidden/>
              </w:rPr>
              <w:fldChar w:fldCharType="separate"/>
            </w:r>
            <w:r w:rsidR="004D060B">
              <w:rPr>
                <w:webHidden/>
              </w:rPr>
              <w:t>36</w:t>
            </w:r>
            <w:r w:rsidR="004D060B">
              <w:rPr>
                <w:webHidden/>
              </w:rPr>
              <w:fldChar w:fldCharType="end"/>
            </w:r>
          </w:hyperlink>
        </w:p>
        <w:p w14:paraId="6A8DE1A7" w14:textId="77777777" w:rsidR="004D060B" w:rsidRDefault="00366ADF">
          <w:pPr>
            <w:pStyle w:val="TOC3"/>
            <w:rPr>
              <w:rFonts w:asciiTheme="minorHAnsi" w:eastAsiaTheme="minorEastAsia" w:hAnsiTheme="minorHAnsi" w:cstheme="minorBidi"/>
              <w:szCs w:val="22"/>
            </w:rPr>
          </w:pPr>
          <w:hyperlink w:anchor="_Toc415660866" w:history="1">
            <w:r w:rsidR="004D060B" w:rsidRPr="00510B41">
              <w:rPr>
                <w:rStyle w:val="Hyperlink"/>
              </w:rPr>
              <w:t>4.3.2</w:t>
            </w:r>
            <w:r w:rsidR="004D060B">
              <w:rPr>
                <w:rFonts w:asciiTheme="minorHAnsi" w:eastAsiaTheme="minorEastAsia" w:hAnsiTheme="minorHAnsi" w:cstheme="minorBidi"/>
                <w:szCs w:val="22"/>
              </w:rPr>
              <w:tab/>
            </w:r>
            <w:r w:rsidR="004D060B" w:rsidRPr="00510B41">
              <w:rPr>
                <w:rStyle w:val="Hyperlink"/>
              </w:rPr>
              <w:t>Estimation of Net Lettable Area</w:t>
            </w:r>
            <w:r w:rsidR="004D060B">
              <w:rPr>
                <w:webHidden/>
              </w:rPr>
              <w:tab/>
            </w:r>
            <w:r w:rsidR="004D060B">
              <w:rPr>
                <w:webHidden/>
              </w:rPr>
              <w:fldChar w:fldCharType="begin"/>
            </w:r>
            <w:r w:rsidR="004D060B">
              <w:rPr>
                <w:webHidden/>
              </w:rPr>
              <w:instrText xml:space="preserve"> PAGEREF _Toc415660866 \h </w:instrText>
            </w:r>
            <w:r w:rsidR="004D060B">
              <w:rPr>
                <w:webHidden/>
              </w:rPr>
            </w:r>
            <w:r w:rsidR="004D060B">
              <w:rPr>
                <w:webHidden/>
              </w:rPr>
              <w:fldChar w:fldCharType="separate"/>
            </w:r>
            <w:r w:rsidR="004D060B">
              <w:rPr>
                <w:webHidden/>
              </w:rPr>
              <w:t>37</w:t>
            </w:r>
            <w:r w:rsidR="004D060B">
              <w:rPr>
                <w:webHidden/>
              </w:rPr>
              <w:fldChar w:fldCharType="end"/>
            </w:r>
          </w:hyperlink>
        </w:p>
        <w:p w14:paraId="6016AA3E" w14:textId="77777777" w:rsidR="004D060B" w:rsidRDefault="00366ADF">
          <w:pPr>
            <w:pStyle w:val="TOC2"/>
            <w:rPr>
              <w:rFonts w:asciiTheme="minorHAnsi" w:eastAsiaTheme="minorEastAsia" w:hAnsiTheme="minorHAnsi" w:cstheme="minorBidi"/>
              <w:szCs w:val="22"/>
            </w:rPr>
          </w:pPr>
          <w:hyperlink w:anchor="_Toc415660867" w:history="1">
            <w:r w:rsidR="004D060B" w:rsidRPr="00510B41">
              <w:rPr>
                <w:rStyle w:val="Hyperlink"/>
              </w:rPr>
              <w:t>4.4</w:t>
            </w:r>
            <w:r w:rsidR="004D060B">
              <w:rPr>
                <w:rFonts w:asciiTheme="minorHAnsi" w:eastAsiaTheme="minorEastAsia" w:hAnsiTheme="minorHAnsi" w:cstheme="minorBidi"/>
                <w:szCs w:val="22"/>
              </w:rPr>
              <w:tab/>
            </w:r>
            <w:r w:rsidR="004D060B" w:rsidRPr="00510B41">
              <w:rPr>
                <w:rStyle w:val="Hyperlink"/>
              </w:rPr>
              <w:t>Analysis of program impact on average NABERS ratings and energy intensity</w:t>
            </w:r>
            <w:r w:rsidR="004D060B">
              <w:rPr>
                <w:webHidden/>
              </w:rPr>
              <w:tab/>
            </w:r>
            <w:r w:rsidR="004D060B">
              <w:rPr>
                <w:webHidden/>
              </w:rPr>
              <w:fldChar w:fldCharType="begin"/>
            </w:r>
            <w:r w:rsidR="004D060B">
              <w:rPr>
                <w:webHidden/>
              </w:rPr>
              <w:instrText xml:space="preserve"> PAGEREF _Toc415660867 \h </w:instrText>
            </w:r>
            <w:r w:rsidR="004D060B">
              <w:rPr>
                <w:webHidden/>
              </w:rPr>
            </w:r>
            <w:r w:rsidR="004D060B">
              <w:rPr>
                <w:webHidden/>
              </w:rPr>
              <w:fldChar w:fldCharType="separate"/>
            </w:r>
            <w:r w:rsidR="004D060B">
              <w:rPr>
                <w:webHidden/>
              </w:rPr>
              <w:t>39</w:t>
            </w:r>
            <w:r w:rsidR="004D060B">
              <w:rPr>
                <w:webHidden/>
              </w:rPr>
              <w:fldChar w:fldCharType="end"/>
            </w:r>
          </w:hyperlink>
        </w:p>
        <w:p w14:paraId="608DFFE9" w14:textId="77777777" w:rsidR="004D060B" w:rsidRDefault="00366ADF">
          <w:pPr>
            <w:pStyle w:val="TOC3"/>
            <w:rPr>
              <w:rFonts w:asciiTheme="minorHAnsi" w:eastAsiaTheme="minorEastAsia" w:hAnsiTheme="minorHAnsi" w:cstheme="minorBidi"/>
              <w:szCs w:val="22"/>
            </w:rPr>
          </w:pPr>
          <w:hyperlink w:anchor="_Toc415660868" w:history="1">
            <w:r w:rsidR="004D060B" w:rsidRPr="00510B41">
              <w:rPr>
                <w:rStyle w:val="Hyperlink"/>
              </w:rPr>
              <w:t>4.4.1</w:t>
            </w:r>
            <w:r w:rsidR="004D060B">
              <w:rPr>
                <w:rFonts w:asciiTheme="minorHAnsi" w:eastAsiaTheme="minorEastAsia" w:hAnsiTheme="minorHAnsi" w:cstheme="minorBidi"/>
                <w:szCs w:val="22"/>
              </w:rPr>
              <w:tab/>
            </w:r>
            <w:r w:rsidR="004D060B" w:rsidRPr="00510B41">
              <w:rPr>
                <w:rStyle w:val="Hyperlink"/>
              </w:rPr>
              <w:t>Impact on mandatory versus voluntary raters</w:t>
            </w:r>
            <w:r w:rsidR="004D060B">
              <w:rPr>
                <w:webHidden/>
              </w:rPr>
              <w:tab/>
            </w:r>
            <w:r w:rsidR="004D060B">
              <w:rPr>
                <w:webHidden/>
              </w:rPr>
              <w:fldChar w:fldCharType="begin"/>
            </w:r>
            <w:r w:rsidR="004D060B">
              <w:rPr>
                <w:webHidden/>
              </w:rPr>
              <w:instrText xml:space="preserve"> PAGEREF _Toc415660868 \h </w:instrText>
            </w:r>
            <w:r w:rsidR="004D060B">
              <w:rPr>
                <w:webHidden/>
              </w:rPr>
            </w:r>
            <w:r w:rsidR="004D060B">
              <w:rPr>
                <w:webHidden/>
              </w:rPr>
              <w:fldChar w:fldCharType="separate"/>
            </w:r>
            <w:r w:rsidR="004D060B">
              <w:rPr>
                <w:webHidden/>
              </w:rPr>
              <w:t>39</w:t>
            </w:r>
            <w:r w:rsidR="004D060B">
              <w:rPr>
                <w:webHidden/>
              </w:rPr>
              <w:fldChar w:fldCharType="end"/>
            </w:r>
          </w:hyperlink>
        </w:p>
        <w:p w14:paraId="429F835B" w14:textId="77777777" w:rsidR="004D060B" w:rsidRDefault="00366ADF">
          <w:pPr>
            <w:pStyle w:val="TOC3"/>
            <w:rPr>
              <w:rFonts w:asciiTheme="minorHAnsi" w:eastAsiaTheme="minorEastAsia" w:hAnsiTheme="minorHAnsi" w:cstheme="minorBidi"/>
              <w:szCs w:val="22"/>
            </w:rPr>
          </w:pPr>
          <w:hyperlink w:anchor="_Toc415660869" w:history="1">
            <w:r w:rsidR="004D060B" w:rsidRPr="00510B41">
              <w:rPr>
                <w:rStyle w:val="Hyperlink"/>
              </w:rPr>
              <w:t>4.4.2</w:t>
            </w:r>
            <w:r w:rsidR="004D060B">
              <w:rPr>
                <w:rFonts w:asciiTheme="minorHAnsi" w:eastAsiaTheme="minorEastAsia" w:hAnsiTheme="minorHAnsi" w:cstheme="minorBidi"/>
                <w:szCs w:val="22"/>
              </w:rPr>
              <w:tab/>
            </w:r>
            <w:r w:rsidR="004D060B" w:rsidRPr="00510B41">
              <w:rPr>
                <w:rStyle w:val="Hyperlink"/>
              </w:rPr>
              <w:t>Impact on individual segments</w:t>
            </w:r>
            <w:r w:rsidR="004D060B">
              <w:rPr>
                <w:webHidden/>
              </w:rPr>
              <w:tab/>
            </w:r>
            <w:r w:rsidR="004D060B">
              <w:rPr>
                <w:webHidden/>
              </w:rPr>
              <w:fldChar w:fldCharType="begin"/>
            </w:r>
            <w:r w:rsidR="004D060B">
              <w:rPr>
                <w:webHidden/>
              </w:rPr>
              <w:instrText xml:space="preserve"> PAGEREF _Toc415660869 \h </w:instrText>
            </w:r>
            <w:r w:rsidR="004D060B">
              <w:rPr>
                <w:webHidden/>
              </w:rPr>
            </w:r>
            <w:r w:rsidR="004D060B">
              <w:rPr>
                <w:webHidden/>
              </w:rPr>
              <w:fldChar w:fldCharType="separate"/>
            </w:r>
            <w:r w:rsidR="004D060B">
              <w:rPr>
                <w:webHidden/>
              </w:rPr>
              <w:t>42</w:t>
            </w:r>
            <w:r w:rsidR="004D060B">
              <w:rPr>
                <w:webHidden/>
              </w:rPr>
              <w:fldChar w:fldCharType="end"/>
            </w:r>
          </w:hyperlink>
        </w:p>
        <w:p w14:paraId="7C7F219B" w14:textId="77777777" w:rsidR="004D060B" w:rsidRDefault="00366ADF">
          <w:pPr>
            <w:pStyle w:val="TOC3"/>
            <w:rPr>
              <w:rFonts w:asciiTheme="minorHAnsi" w:eastAsiaTheme="minorEastAsia" w:hAnsiTheme="minorHAnsi" w:cstheme="minorBidi"/>
              <w:szCs w:val="22"/>
            </w:rPr>
          </w:pPr>
          <w:hyperlink w:anchor="_Toc415660870" w:history="1">
            <w:r w:rsidR="004D060B" w:rsidRPr="00510B41">
              <w:rPr>
                <w:rStyle w:val="Hyperlink"/>
              </w:rPr>
              <w:t>4.4.3</w:t>
            </w:r>
            <w:r w:rsidR="004D060B">
              <w:rPr>
                <w:rFonts w:asciiTheme="minorHAnsi" w:eastAsiaTheme="minorEastAsia" w:hAnsiTheme="minorHAnsi" w:cstheme="minorBidi"/>
                <w:szCs w:val="22"/>
              </w:rPr>
              <w:tab/>
            </w:r>
            <w:r w:rsidR="004D060B" w:rsidRPr="00510B41">
              <w:rPr>
                <w:rStyle w:val="Hyperlink"/>
              </w:rPr>
              <w:t>Attribution of improvements to the CBD</w:t>
            </w:r>
            <w:r w:rsidR="004D060B">
              <w:rPr>
                <w:webHidden/>
              </w:rPr>
              <w:tab/>
            </w:r>
            <w:r w:rsidR="004D060B">
              <w:rPr>
                <w:webHidden/>
              </w:rPr>
              <w:fldChar w:fldCharType="begin"/>
            </w:r>
            <w:r w:rsidR="004D060B">
              <w:rPr>
                <w:webHidden/>
              </w:rPr>
              <w:instrText xml:space="preserve"> PAGEREF _Toc415660870 \h </w:instrText>
            </w:r>
            <w:r w:rsidR="004D060B">
              <w:rPr>
                <w:webHidden/>
              </w:rPr>
            </w:r>
            <w:r w:rsidR="004D060B">
              <w:rPr>
                <w:webHidden/>
              </w:rPr>
              <w:fldChar w:fldCharType="separate"/>
            </w:r>
            <w:r w:rsidR="004D060B">
              <w:rPr>
                <w:webHidden/>
              </w:rPr>
              <w:t>45</w:t>
            </w:r>
            <w:r w:rsidR="004D060B">
              <w:rPr>
                <w:webHidden/>
              </w:rPr>
              <w:fldChar w:fldCharType="end"/>
            </w:r>
          </w:hyperlink>
        </w:p>
        <w:p w14:paraId="34393890" w14:textId="77777777" w:rsidR="004D060B" w:rsidRDefault="00366ADF">
          <w:pPr>
            <w:pStyle w:val="TOC2"/>
            <w:rPr>
              <w:rFonts w:asciiTheme="minorHAnsi" w:eastAsiaTheme="minorEastAsia" w:hAnsiTheme="minorHAnsi" w:cstheme="minorBidi"/>
              <w:szCs w:val="22"/>
            </w:rPr>
          </w:pPr>
          <w:hyperlink w:anchor="_Toc415660871" w:history="1">
            <w:r w:rsidR="004D060B" w:rsidRPr="00510B41">
              <w:rPr>
                <w:rStyle w:val="Hyperlink"/>
              </w:rPr>
              <w:t>4.5</w:t>
            </w:r>
            <w:r w:rsidR="004D060B">
              <w:rPr>
                <w:rFonts w:asciiTheme="minorHAnsi" w:eastAsiaTheme="minorEastAsia" w:hAnsiTheme="minorHAnsi" w:cstheme="minorBidi"/>
                <w:szCs w:val="22"/>
              </w:rPr>
              <w:tab/>
            </w:r>
            <w:r w:rsidR="004D060B" w:rsidRPr="00510B41">
              <w:rPr>
                <w:rStyle w:val="Hyperlink"/>
              </w:rPr>
              <w:t>Analysis of program impact on tenancy lighting performance</w:t>
            </w:r>
            <w:r w:rsidR="004D060B">
              <w:rPr>
                <w:webHidden/>
              </w:rPr>
              <w:tab/>
            </w:r>
            <w:r w:rsidR="004D060B">
              <w:rPr>
                <w:webHidden/>
              </w:rPr>
              <w:fldChar w:fldCharType="begin"/>
            </w:r>
            <w:r w:rsidR="004D060B">
              <w:rPr>
                <w:webHidden/>
              </w:rPr>
              <w:instrText xml:space="preserve"> PAGEREF _Toc415660871 \h </w:instrText>
            </w:r>
            <w:r w:rsidR="004D060B">
              <w:rPr>
                <w:webHidden/>
              </w:rPr>
            </w:r>
            <w:r w:rsidR="004D060B">
              <w:rPr>
                <w:webHidden/>
              </w:rPr>
              <w:fldChar w:fldCharType="separate"/>
            </w:r>
            <w:r w:rsidR="004D060B">
              <w:rPr>
                <w:webHidden/>
              </w:rPr>
              <w:t>46</w:t>
            </w:r>
            <w:r w:rsidR="004D060B">
              <w:rPr>
                <w:webHidden/>
              </w:rPr>
              <w:fldChar w:fldCharType="end"/>
            </w:r>
          </w:hyperlink>
        </w:p>
        <w:p w14:paraId="123BAC87" w14:textId="77777777" w:rsidR="004D060B" w:rsidRDefault="00366ADF">
          <w:pPr>
            <w:pStyle w:val="TOC3"/>
            <w:rPr>
              <w:rFonts w:asciiTheme="minorHAnsi" w:eastAsiaTheme="minorEastAsia" w:hAnsiTheme="minorHAnsi" w:cstheme="minorBidi"/>
              <w:szCs w:val="22"/>
            </w:rPr>
          </w:pPr>
          <w:hyperlink w:anchor="_Toc415660872" w:history="1">
            <w:r w:rsidR="004D060B" w:rsidRPr="00510B41">
              <w:rPr>
                <w:rStyle w:val="Hyperlink"/>
              </w:rPr>
              <w:t>4.5.1</w:t>
            </w:r>
            <w:r w:rsidR="004D060B">
              <w:rPr>
                <w:rFonts w:asciiTheme="minorHAnsi" w:eastAsiaTheme="minorEastAsia" w:hAnsiTheme="minorHAnsi" w:cstheme="minorBidi"/>
                <w:szCs w:val="22"/>
              </w:rPr>
              <w:tab/>
            </w:r>
            <w:r w:rsidR="004D060B" w:rsidRPr="00510B41">
              <w:rPr>
                <w:rStyle w:val="Hyperlink"/>
              </w:rPr>
              <w:t>The potential in tenancy lighting</w:t>
            </w:r>
            <w:r w:rsidR="004D060B">
              <w:rPr>
                <w:webHidden/>
              </w:rPr>
              <w:tab/>
            </w:r>
            <w:r w:rsidR="004D060B">
              <w:rPr>
                <w:webHidden/>
              </w:rPr>
              <w:fldChar w:fldCharType="begin"/>
            </w:r>
            <w:r w:rsidR="004D060B">
              <w:rPr>
                <w:webHidden/>
              </w:rPr>
              <w:instrText xml:space="preserve"> PAGEREF _Toc415660872 \h </w:instrText>
            </w:r>
            <w:r w:rsidR="004D060B">
              <w:rPr>
                <w:webHidden/>
              </w:rPr>
            </w:r>
            <w:r w:rsidR="004D060B">
              <w:rPr>
                <w:webHidden/>
              </w:rPr>
              <w:fldChar w:fldCharType="separate"/>
            </w:r>
            <w:r w:rsidR="004D060B">
              <w:rPr>
                <w:webHidden/>
              </w:rPr>
              <w:t>46</w:t>
            </w:r>
            <w:r w:rsidR="004D060B">
              <w:rPr>
                <w:webHidden/>
              </w:rPr>
              <w:fldChar w:fldCharType="end"/>
            </w:r>
          </w:hyperlink>
        </w:p>
        <w:p w14:paraId="16568412" w14:textId="77777777" w:rsidR="004D060B" w:rsidRDefault="00366ADF">
          <w:pPr>
            <w:pStyle w:val="TOC3"/>
            <w:rPr>
              <w:rFonts w:asciiTheme="minorHAnsi" w:eastAsiaTheme="minorEastAsia" w:hAnsiTheme="minorHAnsi" w:cstheme="minorBidi"/>
              <w:szCs w:val="22"/>
            </w:rPr>
          </w:pPr>
          <w:hyperlink w:anchor="_Toc415660873" w:history="1">
            <w:r w:rsidR="004D060B" w:rsidRPr="00510B41">
              <w:rPr>
                <w:rStyle w:val="Hyperlink"/>
              </w:rPr>
              <w:t>4.5.2</w:t>
            </w:r>
            <w:r w:rsidR="004D060B">
              <w:rPr>
                <w:rFonts w:asciiTheme="minorHAnsi" w:eastAsiaTheme="minorEastAsia" w:hAnsiTheme="minorHAnsi" w:cstheme="minorBidi"/>
                <w:szCs w:val="22"/>
              </w:rPr>
              <w:tab/>
            </w:r>
            <w:r w:rsidR="004D060B" w:rsidRPr="00510B41">
              <w:rPr>
                <w:rStyle w:val="Hyperlink"/>
              </w:rPr>
              <w:t>Analysis of tenancy lighting performance data</w:t>
            </w:r>
            <w:r w:rsidR="004D060B">
              <w:rPr>
                <w:webHidden/>
              </w:rPr>
              <w:tab/>
            </w:r>
            <w:r w:rsidR="004D060B">
              <w:rPr>
                <w:webHidden/>
              </w:rPr>
              <w:fldChar w:fldCharType="begin"/>
            </w:r>
            <w:r w:rsidR="004D060B">
              <w:rPr>
                <w:webHidden/>
              </w:rPr>
              <w:instrText xml:space="preserve"> PAGEREF _Toc415660873 \h </w:instrText>
            </w:r>
            <w:r w:rsidR="004D060B">
              <w:rPr>
                <w:webHidden/>
              </w:rPr>
            </w:r>
            <w:r w:rsidR="004D060B">
              <w:rPr>
                <w:webHidden/>
              </w:rPr>
              <w:fldChar w:fldCharType="separate"/>
            </w:r>
            <w:r w:rsidR="004D060B">
              <w:rPr>
                <w:webHidden/>
              </w:rPr>
              <w:t>47</w:t>
            </w:r>
            <w:r w:rsidR="004D060B">
              <w:rPr>
                <w:webHidden/>
              </w:rPr>
              <w:fldChar w:fldCharType="end"/>
            </w:r>
          </w:hyperlink>
        </w:p>
        <w:p w14:paraId="101575E4" w14:textId="77777777" w:rsidR="004D060B" w:rsidRDefault="00366ADF">
          <w:pPr>
            <w:pStyle w:val="TOC3"/>
            <w:rPr>
              <w:rFonts w:asciiTheme="minorHAnsi" w:eastAsiaTheme="minorEastAsia" w:hAnsiTheme="minorHAnsi" w:cstheme="minorBidi"/>
              <w:szCs w:val="22"/>
            </w:rPr>
          </w:pPr>
          <w:hyperlink w:anchor="_Toc415660874" w:history="1">
            <w:r w:rsidR="004D060B" w:rsidRPr="00510B41">
              <w:rPr>
                <w:rStyle w:val="Hyperlink"/>
              </w:rPr>
              <w:t>4.5.3</w:t>
            </w:r>
            <w:r w:rsidR="004D060B">
              <w:rPr>
                <w:rFonts w:asciiTheme="minorHAnsi" w:eastAsiaTheme="minorEastAsia" w:hAnsiTheme="minorHAnsi" w:cstheme="minorBidi"/>
                <w:szCs w:val="22"/>
              </w:rPr>
              <w:tab/>
            </w:r>
            <w:r w:rsidR="004D060B" w:rsidRPr="00510B41">
              <w:rPr>
                <w:rStyle w:val="Hyperlink"/>
              </w:rPr>
              <w:t>Conclusions from analysis of tenancy lighting</w:t>
            </w:r>
            <w:r w:rsidR="004D060B">
              <w:rPr>
                <w:webHidden/>
              </w:rPr>
              <w:tab/>
            </w:r>
            <w:r w:rsidR="004D060B">
              <w:rPr>
                <w:webHidden/>
              </w:rPr>
              <w:fldChar w:fldCharType="begin"/>
            </w:r>
            <w:r w:rsidR="004D060B">
              <w:rPr>
                <w:webHidden/>
              </w:rPr>
              <w:instrText xml:space="preserve"> PAGEREF _Toc415660874 \h </w:instrText>
            </w:r>
            <w:r w:rsidR="004D060B">
              <w:rPr>
                <w:webHidden/>
              </w:rPr>
            </w:r>
            <w:r w:rsidR="004D060B">
              <w:rPr>
                <w:webHidden/>
              </w:rPr>
              <w:fldChar w:fldCharType="separate"/>
            </w:r>
            <w:r w:rsidR="004D060B">
              <w:rPr>
                <w:webHidden/>
              </w:rPr>
              <w:t>50</w:t>
            </w:r>
            <w:r w:rsidR="004D060B">
              <w:rPr>
                <w:webHidden/>
              </w:rPr>
              <w:fldChar w:fldCharType="end"/>
            </w:r>
          </w:hyperlink>
        </w:p>
        <w:p w14:paraId="22586D05" w14:textId="77777777" w:rsidR="004D060B" w:rsidRDefault="00366ADF">
          <w:pPr>
            <w:pStyle w:val="TOC2"/>
            <w:rPr>
              <w:rFonts w:asciiTheme="minorHAnsi" w:eastAsiaTheme="minorEastAsia" w:hAnsiTheme="minorHAnsi" w:cstheme="minorBidi"/>
              <w:szCs w:val="22"/>
            </w:rPr>
          </w:pPr>
          <w:hyperlink w:anchor="_Toc415660875" w:history="1">
            <w:r w:rsidR="004D060B" w:rsidRPr="00510B41">
              <w:rPr>
                <w:rStyle w:val="Hyperlink"/>
              </w:rPr>
              <w:t>4.6</w:t>
            </w:r>
            <w:r w:rsidR="004D060B">
              <w:rPr>
                <w:rFonts w:asciiTheme="minorHAnsi" w:eastAsiaTheme="minorEastAsia" w:hAnsiTheme="minorHAnsi" w:cstheme="minorBidi"/>
                <w:szCs w:val="22"/>
              </w:rPr>
              <w:tab/>
            </w:r>
            <w:r w:rsidR="004D060B" w:rsidRPr="00510B41">
              <w:rPr>
                <w:rStyle w:val="Hyperlink"/>
              </w:rPr>
              <w:t>Assessment of costs and benefits</w:t>
            </w:r>
            <w:r w:rsidR="004D060B">
              <w:rPr>
                <w:webHidden/>
              </w:rPr>
              <w:tab/>
            </w:r>
            <w:r w:rsidR="004D060B">
              <w:rPr>
                <w:webHidden/>
              </w:rPr>
              <w:fldChar w:fldCharType="begin"/>
            </w:r>
            <w:r w:rsidR="004D060B">
              <w:rPr>
                <w:webHidden/>
              </w:rPr>
              <w:instrText xml:space="preserve"> PAGEREF _Toc415660875 \h </w:instrText>
            </w:r>
            <w:r w:rsidR="004D060B">
              <w:rPr>
                <w:webHidden/>
              </w:rPr>
            </w:r>
            <w:r w:rsidR="004D060B">
              <w:rPr>
                <w:webHidden/>
              </w:rPr>
              <w:fldChar w:fldCharType="separate"/>
            </w:r>
            <w:r w:rsidR="004D060B">
              <w:rPr>
                <w:webHidden/>
              </w:rPr>
              <w:t>51</w:t>
            </w:r>
            <w:r w:rsidR="004D060B">
              <w:rPr>
                <w:webHidden/>
              </w:rPr>
              <w:fldChar w:fldCharType="end"/>
            </w:r>
          </w:hyperlink>
        </w:p>
        <w:p w14:paraId="355B0D58" w14:textId="77777777" w:rsidR="004D060B" w:rsidRDefault="00366ADF">
          <w:pPr>
            <w:pStyle w:val="TOC3"/>
            <w:rPr>
              <w:rFonts w:asciiTheme="minorHAnsi" w:eastAsiaTheme="minorEastAsia" w:hAnsiTheme="minorHAnsi" w:cstheme="minorBidi"/>
              <w:szCs w:val="22"/>
            </w:rPr>
          </w:pPr>
          <w:hyperlink w:anchor="_Toc415660876" w:history="1">
            <w:r w:rsidR="004D060B" w:rsidRPr="00510B41">
              <w:rPr>
                <w:rStyle w:val="Hyperlink"/>
              </w:rPr>
              <w:t>4.6.1</w:t>
            </w:r>
            <w:r w:rsidR="004D060B">
              <w:rPr>
                <w:rFonts w:asciiTheme="minorHAnsi" w:eastAsiaTheme="minorEastAsia" w:hAnsiTheme="minorHAnsi" w:cstheme="minorBidi"/>
                <w:szCs w:val="22"/>
              </w:rPr>
              <w:tab/>
            </w:r>
            <w:r w:rsidR="004D060B" w:rsidRPr="00510B41">
              <w:rPr>
                <w:rStyle w:val="Hyperlink"/>
              </w:rPr>
              <w:t>Items included in core assessment of cost and benefits</w:t>
            </w:r>
            <w:r w:rsidR="004D060B">
              <w:rPr>
                <w:webHidden/>
              </w:rPr>
              <w:tab/>
            </w:r>
            <w:r w:rsidR="004D060B">
              <w:rPr>
                <w:webHidden/>
              </w:rPr>
              <w:fldChar w:fldCharType="begin"/>
            </w:r>
            <w:r w:rsidR="004D060B">
              <w:rPr>
                <w:webHidden/>
              </w:rPr>
              <w:instrText xml:space="preserve"> PAGEREF _Toc415660876 \h </w:instrText>
            </w:r>
            <w:r w:rsidR="004D060B">
              <w:rPr>
                <w:webHidden/>
              </w:rPr>
            </w:r>
            <w:r w:rsidR="004D060B">
              <w:rPr>
                <w:webHidden/>
              </w:rPr>
              <w:fldChar w:fldCharType="separate"/>
            </w:r>
            <w:r w:rsidR="004D060B">
              <w:rPr>
                <w:webHidden/>
              </w:rPr>
              <w:t>51</w:t>
            </w:r>
            <w:r w:rsidR="004D060B">
              <w:rPr>
                <w:webHidden/>
              </w:rPr>
              <w:fldChar w:fldCharType="end"/>
            </w:r>
          </w:hyperlink>
        </w:p>
        <w:p w14:paraId="011BA91D" w14:textId="77777777" w:rsidR="004D060B" w:rsidRDefault="00366ADF">
          <w:pPr>
            <w:pStyle w:val="TOC3"/>
            <w:rPr>
              <w:rFonts w:asciiTheme="minorHAnsi" w:eastAsiaTheme="minorEastAsia" w:hAnsiTheme="minorHAnsi" w:cstheme="minorBidi"/>
              <w:szCs w:val="22"/>
            </w:rPr>
          </w:pPr>
          <w:hyperlink w:anchor="_Toc415660877" w:history="1">
            <w:r w:rsidR="004D060B" w:rsidRPr="00510B41">
              <w:rPr>
                <w:rStyle w:val="Hyperlink"/>
              </w:rPr>
              <w:t>4.6.2</w:t>
            </w:r>
            <w:r w:rsidR="004D060B">
              <w:rPr>
                <w:rFonts w:asciiTheme="minorHAnsi" w:eastAsiaTheme="minorEastAsia" w:hAnsiTheme="minorHAnsi" w:cstheme="minorBidi"/>
                <w:szCs w:val="22"/>
              </w:rPr>
              <w:tab/>
            </w:r>
            <w:r w:rsidR="004D060B" w:rsidRPr="00510B41">
              <w:rPr>
                <w:rStyle w:val="Hyperlink"/>
              </w:rPr>
              <w:t>Lower bound estimate of net benefits</w:t>
            </w:r>
            <w:r w:rsidR="004D060B">
              <w:rPr>
                <w:webHidden/>
              </w:rPr>
              <w:tab/>
            </w:r>
            <w:r w:rsidR="004D060B">
              <w:rPr>
                <w:webHidden/>
              </w:rPr>
              <w:fldChar w:fldCharType="begin"/>
            </w:r>
            <w:r w:rsidR="004D060B">
              <w:rPr>
                <w:webHidden/>
              </w:rPr>
              <w:instrText xml:space="preserve"> PAGEREF _Toc415660877 \h </w:instrText>
            </w:r>
            <w:r w:rsidR="004D060B">
              <w:rPr>
                <w:webHidden/>
              </w:rPr>
            </w:r>
            <w:r w:rsidR="004D060B">
              <w:rPr>
                <w:webHidden/>
              </w:rPr>
              <w:fldChar w:fldCharType="separate"/>
            </w:r>
            <w:r w:rsidR="004D060B">
              <w:rPr>
                <w:webHidden/>
              </w:rPr>
              <w:t>51</w:t>
            </w:r>
            <w:r w:rsidR="004D060B">
              <w:rPr>
                <w:webHidden/>
              </w:rPr>
              <w:fldChar w:fldCharType="end"/>
            </w:r>
          </w:hyperlink>
        </w:p>
        <w:p w14:paraId="1D335D3B" w14:textId="77777777" w:rsidR="004D060B" w:rsidRDefault="00366ADF">
          <w:pPr>
            <w:pStyle w:val="TOC3"/>
            <w:rPr>
              <w:rFonts w:asciiTheme="minorHAnsi" w:eastAsiaTheme="minorEastAsia" w:hAnsiTheme="minorHAnsi" w:cstheme="minorBidi"/>
              <w:szCs w:val="22"/>
            </w:rPr>
          </w:pPr>
          <w:hyperlink w:anchor="_Toc415660878" w:history="1">
            <w:r w:rsidR="004D060B" w:rsidRPr="00510B41">
              <w:rPr>
                <w:rStyle w:val="Hyperlink"/>
              </w:rPr>
              <w:t>4.6.3</w:t>
            </w:r>
            <w:r w:rsidR="004D060B">
              <w:rPr>
                <w:rFonts w:asciiTheme="minorHAnsi" w:eastAsiaTheme="minorEastAsia" w:hAnsiTheme="minorHAnsi" w:cstheme="minorBidi"/>
                <w:szCs w:val="22"/>
              </w:rPr>
              <w:tab/>
            </w:r>
            <w:r w:rsidR="004D060B" w:rsidRPr="00510B41">
              <w:rPr>
                <w:rStyle w:val="Hyperlink"/>
              </w:rPr>
              <w:t>‘Realistic’ estimate of net benefits</w:t>
            </w:r>
            <w:r w:rsidR="004D060B">
              <w:rPr>
                <w:webHidden/>
              </w:rPr>
              <w:tab/>
            </w:r>
            <w:r w:rsidR="004D060B">
              <w:rPr>
                <w:webHidden/>
              </w:rPr>
              <w:fldChar w:fldCharType="begin"/>
            </w:r>
            <w:r w:rsidR="004D060B">
              <w:rPr>
                <w:webHidden/>
              </w:rPr>
              <w:instrText xml:space="preserve"> PAGEREF _Toc415660878 \h </w:instrText>
            </w:r>
            <w:r w:rsidR="004D060B">
              <w:rPr>
                <w:webHidden/>
              </w:rPr>
            </w:r>
            <w:r w:rsidR="004D060B">
              <w:rPr>
                <w:webHidden/>
              </w:rPr>
              <w:fldChar w:fldCharType="separate"/>
            </w:r>
            <w:r w:rsidR="004D060B">
              <w:rPr>
                <w:webHidden/>
              </w:rPr>
              <w:t>52</w:t>
            </w:r>
            <w:r w:rsidR="004D060B">
              <w:rPr>
                <w:webHidden/>
              </w:rPr>
              <w:fldChar w:fldCharType="end"/>
            </w:r>
          </w:hyperlink>
        </w:p>
        <w:p w14:paraId="568C73E7" w14:textId="77777777" w:rsidR="004D060B" w:rsidRDefault="00366ADF">
          <w:pPr>
            <w:pStyle w:val="TOC3"/>
            <w:rPr>
              <w:rFonts w:asciiTheme="minorHAnsi" w:eastAsiaTheme="minorEastAsia" w:hAnsiTheme="minorHAnsi" w:cstheme="minorBidi"/>
              <w:szCs w:val="22"/>
            </w:rPr>
          </w:pPr>
          <w:hyperlink w:anchor="_Toc415660879" w:history="1">
            <w:r w:rsidR="004D060B" w:rsidRPr="00510B41">
              <w:rPr>
                <w:rStyle w:val="Hyperlink"/>
              </w:rPr>
              <w:t>4.6.4</w:t>
            </w:r>
            <w:r w:rsidR="004D060B">
              <w:rPr>
                <w:rFonts w:asciiTheme="minorHAnsi" w:eastAsiaTheme="minorEastAsia" w:hAnsiTheme="minorHAnsi" w:cstheme="minorBidi"/>
                <w:szCs w:val="22"/>
              </w:rPr>
              <w:tab/>
            </w:r>
            <w:r w:rsidR="004D060B" w:rsidRPr="00510B41">
              <w:rPr>
                <w:rStyle w:val="Hyperlink"/>
              </w:rPr>
              <w:t>Inclusion of worker productivity benefits</w:t>
            </w:r>
            <w:r w:rsidR="004D060B">
              <w:rPr>
                <w:webHidden/>
              </w:rPr>
              <w:tab/>
            </w:r>
            <w:r w:rsidR="004D060B">
              <w:rPr>
                <w:webHidden/>
              </w:rPr>
              <w:fldChar w:fldCharType="begin"/>
            </w:r>
            <w:r w:rsidR="004D060B">
              <w:rPr>
                <w:webHidden/>
              </w:rPr>
              <w:instrText xml:space="preserve"> PAGEREF _Toc415660879 \h </w:instrText>
            </w:r>
            <w:r w:rsidR="004D060B">
              <w:rPr>
                <w:webHidden/>
              </w:rPr>
            </w:r>
            <w:r w:rsidR="004D060B">
              <w:rPr>
                <w:webHidden/>
              </w:rPr>
              <w:fldChar w:fldCharType="separate"/>
            </w:r>
            <w:r w:rsidR="004D060B">
              <w:rPr>
                <w:webHidden/>
              </w:rPr>
              <w:t>53</w:t>
            </w:r>
            <w:r w:rsidR="004D060B">
              <w:rPr>
                <w:webHidden/>
              </w:rPr>
              <w:fldChar w:fldCharType="end"/>
            </w:r>
          </w:hyperlink>
        </w:p>
        <w:p w14:paraId="65475798" w14:textId="77777777" w:rsidR="004D060B" w:rsidRDefault="00366ADF">
          <w:pPr>
            <w:pStyle w:val="TOC3"/>
            <w:rPr>
              <w:rFonts w:asciiTheme="minorHAnsi" w:eastAsiaTheme="minorEastAsia" w:hAnsiTheme="minorHAnsi" w:cstheme="minorBidi"/>
              <w:szCs w:val="22"/>
            </w:rPr>
          </w:pPr>
          <w:hyperlink w:anchor="_Toc415660880" w:history="1">
            <w:r w:rsidR="004D060B" w:rsidRPr="00510B41">
              <w:rPr>
                <w:rStyle w:val="Hyperlink"/>
              </w:rPr>
              <w:t>4.6.5</w:t>
            </w:r>
            <w:r w:rsidR="004D060B">
              <w:rPr>
                <w:rFonts w:asciiTheme="minorHAnsi" w:eastAsiaTheme="minorEastAsia" w:hAnsiTheme="minorHAnsi" w:cstheme="minorBidi"/>
                <w:szCs w:val="22"/>
              </w:rPr>
              <w:tab/>
            </w:r>
            <w:r w:rsidR="004D060B" w:rsidRPr="00510B41">
              <w:rPr>
                <w:rStyle w:val="Hyperlink"/>
              </w:rPr>
              <w:t>Additional unquantified benefits</w:t>
            </w:r>
            <w:r w:rsidR="004D060B">
              <w:rPr>
                <w:webHidden/>
              </w:rPr>
              <w:tab/>
            </w:r>
            <w:r w:rsidR="004D060B">
              <w:rPr>
                <w:webHidden/>
              </w:rPr>
              <w:fldChar w:fldCharType="begin"/>
            </w:r>
            <w:r w:rsidR="004D060B">
              <w:rPr>
                <w:webHidden/>
              </w:rPr>
              <w:instrText xml:space="preserve"> PAGEREF _Toc415660880 \h </w:instrText>
            </w:r>
            <w:r w:rsidR="004D060B">
              <w:rPr>
                <w:webHidden/>
              </w:rPr>
            </w:r>
            <w:r w:rsidR="004D060B">
              <w:rPr>
                <w:webHidden/>
              </w:rPr>
              <w:fldChar w:fldCharType="separate"/>
            </w:r>
            <w:r w:rsidR="004D060B">
              <w:rPr>
                <w:webHidden/>
              </w:rPr>
              <w:t>54</w:t>
            </w:r>
            <w:r w:rsidR="004D060B">
              <w:rPr>
                <w:webHidden/>
              </w:rPr>
              <w:fldChar w:fldCharType="end"/>
            </w:r>
          </w:hyperlink>
        </w:p>
        <w:p w14:paraId="7CF84F50" w14:textId="77777777" w:rsidR="004D060B" w:rsidRDefault="00366ADF">
          <w:pPr>
            <w:pStyle w:val="TOC3"/>
            <w:rPr>
              <w:rFonts w:asciiTheme="minorHAnsi" w:eastAsiaTheme="minorEastAsia" w:hAnsiTheme="minorHAnsi" w:cstheme="minorBidi"/>
              <w:szCs w:val="22"/>
            </w:rPr>
          </w:pPr>
          <w:hyperlink w:anchor="_Toc415660881" w:history="1">
            <w:r w:rsidR="004D060B" w:rsidRPr="00510B41">
              <w:rPr>
                <w:rStyle w:val="Hyperlink"/>
              </w:rPr>
              <w:t>4.6.6</w:t>
            </w:r>
            <w:r w:rsidR="004D060B">
              <w:rPr>
                <w:rFonts w:asciiTheme="minorHAnsi" w:eastAsiaTheme="minorEastAsia" w:hAnsiTheme="minorHAnsi" w:cstheme="minorBidi"/>
                <w:szCs w:val="22"/>
              </w:rPr>
              <w:tab/>
            </w:r>
            <w:r w:rsidR="004D060B" w:rsidRPr="00510B41">
              <w:rPr>
                <w:rStyle w:val="Hyperlink"/>
              </w:rPr>
              <w:t>Sensitivity analysis</w:t>
            </w:r>
            <w:r w:rsidR="004D060B">
              <w:rPr>
                <w:webHidden/>
              </w:rPr>
              <w:tab/>
            </w:r>
            <w:r w:rsidR="004D060B">
              <w:rPr>
                <w:webHidden/>
              </w:rPr>
              <w:fldChar w:fldCharType="begin"/>
            </w:r>
            <w:r w:rsidR="004D060B">
              <w:rPr>
                <w:webHidden/>
              </w:rPr>
              <w:instrText xml:space="preserve"> PAGEREF _Toc415660881 \h </w:instrText>
            </w:r>
            <w:r w:rsidR="004D060B">
              <w:rPr>
                <w:webHidden/>
              </w:rPr>
            </w:r>
            <w:r w:rsidR="004D060B">
              <w:rPr>
                <w:webHidden/>
              </w:rPr>
              <w:fldChar w:fldCharType="separate"/>
            </w:r>
            <w:r w:rsidR="004D060B">
              <w:rPr>
                <w:webHidden/>
              </w:rPr>
              <w:t>54</w:t>
            </w:r>
            <w:r w:rsidR="004D060B">
              <w:rPr>
                <w:webHidden/>
              </w:rPr>
              <w:fldChar w:fldCharType="end"/>
            </w:r>
          </w:hyperlink>
        </w:p>
        <w:p w14:paraId="5D079BE2" w14:textId="77777777" w:rsidR="004D060B" w:rsidRDefault="00366ADF">
          <w:pPr>
            <w:pStyle w:val="TOC2"/>
            <w:rPr>
              <w:rFonts w:asciiTheme="minorHAnsi" w:eastAsiaTheme="minorEastAsia" w:hAnsiTheme="minorHAnsi" w:cstheme="minorBidi"/>
              <w:szCs w:val="22"/>
            </w:rPr>
          </w:pPr>
          <w:hyperlink w:anchor="_Toc415660882" w:history="1">
            <w:r w:rsidR="004D060B" w:rsidRPr="00510B41">
              <w:rPr>
                <w:rStyle w:val="Hyperlink"/>
              </w:rPr>
              <w:t>4.7</w:t>
            </w:r>
            <w:r w:rsidR="004D060B">
              <w:rPr>
                <w:rFonts w:asciiTheme="minorHAnsi" w:eastAsiaTheme="minorEastAsia" w:hAnsiTheme="minorHAnsi" w:cstheme="minorBidi"/>
                <w:szCs w:val="22"/>
              </w:rPr>
              <w:tab/>
            </w:r>
            <w:r w:rsidR="004D060B" w:rsidRPr="00510B41">
              <w:rPr>
                <w:rStyle w:val="Hyperlink"/>
              </w:rPr>
              <w:t>Distributional impacts of the program to date</w:t>
            </w:r>
            <w:r w:rsidR="004D060B">
              <w:rPr>
                <w:webHidden/>
              </w:rPr>
              <w:tab/>
            </w:r>
            <w:r w:rsidR="004D060B">
              <w:rPr>
                <w:webHidden/>
              </w:rPr>
              <w:fldChar w:fldCharType="begin"/>
            </w:r>
            <w:r w:rsidR="004D060B">
              <w:rPr>
                <w:webHidden/>
              </w:rPr>
              <w:instrText xml:space="preserve"> PAGEREF _Toc415660882 \h </w:instrText>
            </w:r>
            <w:r w:rsidR="004D060B">
              <w:rPr>
                <w:webHidden/>
              </w:rPr>
            </w:r>
            <w:r w:rsidR="004D060B">
              <w:rPr>
                <w:webHidden/>
              </w:rPr>
              <w:fldChar w:fldCharType="separate"/>
            </w:r>
            <w:r w:rsidR="004D060B">
              <w:rPr>
                <w:webHidden/>
              </w:rPr>
              <w:t>58</w:t>
            </w:r>
            <w:r w:rsidR="004D060B">
              <w:rPr>
                <w:webHidden/>
              </w:rPr>
              <w:fldChar w:fldCharType="end"/>
            </w:r>
          </w:hyperlink>
        </w:p>
        <w:p w14:paraId="07F415A1" w14:textId="77777777" w:rsidR="004D060B" w:rsidRDefault="00366ADF">
          <w:pPr>
            <w:pStyle w:val="TOC3"/>
            <w:rPr>
              <w:rFonts w:asciiTheme="minorHAnsi" w:eastAsiaTheme="minorEastAsia" w:hAnsiTheme="minorHAnsi" w:cstheme="minorBidi"/>
              <w:szCs w:val="22"/>
            </w:rPr>
          </w:pPr>
          <w:hyperlink w:anchor="_Toc415660883" w:history="1">
            <w:r w:rsidR="004D060B" w:rsidRPr="00510B41">
              <w:rPr>
                <w:rStyle w:val="Hyperlink"/>
              </w:rPr>
              <w:t>4.7.1</w:t>
            </w:r>
            <w:r w:rsidR="004D060B">
              <w:rPr>
                <w:rFonts w:asciiTheme="minorHAnsi" w:eastAsiaTheme="minorEastAsia" w:hAnsiTheme="minorHAnsi" w:cstheme="minorBidi"/>
                <w:szCs w:val="22"/>
              </w:rPr>
              <w:tab/>
            </w:r>
            <w:r w:rsidR="004D060B" w:rsidRPr="00510B41">
              <w:rPr>
                <w:rStyle w:val="Hyperlink"/>
              </w:rPr>
              <w:t>Green premium</w:t>
            </w:r>
            <w:r w:rsidR="004D060B">
              <w:rPr>
                <w:webHidden/>
              </w:rPr>
              <w:tab/>
            </w:r>
            <w:r w:rsidR="004D060B">
              <w:rPr>
                <w:webHidden/>
              </w:rPr>
              <w:fldChar w:fldCharType="begin"/>
            </w:r>
            <w:r w:rsidR="004D060B">
              <w:rPr>
                <w:webHidden/>
              </w:rPr>
              <w:instrText xml:space="preserve"> PAGEREF _Toc415660883 \h </w:instrText>
            </w:r>
            <w:r w:rsidR="004D060B">
              <w:rPr>
                <w:webHidden/>
              </w:rPr>
            </w:r>
            <w:r w:rsidR="004D060B">
              <w:rPr>
                <w:webHidden/>
              </w:rPr>
              <w:fldChar w:fldCharType="separate"/>
            </w:r>
            <w:r w:rsidR="004D060B">
              <w:rPr>
                <w:webHidden/>
              </w:rPr>
              <w:t>58</w:t>
            </w:r>
            <w:r w:rsidR="004D060B">
              <w:rPr>
                <w:webHidden/>
              </w:rPr>
              <w:fldChar w:fldCharType="end"/>
            </w:r>
          </w:hyperlink>
        </w:p>
        <w:p w14:paraId="39EE83E0" w14:textId="77777777" w:rsidR="004D060B" w:rsidRDefault="00366ADF">
          <w:pPr>
            <w:pStyle w:val="TOC3"/>
            <w:rPr>
              <w:rFonts w:asciiTheme="minorHAnsi" w:eastAsiaTheme="minorEastAsia" w:hAnsiTheme="minorHAnsi" w:cstheme="minorBidi"/>
              <w:szCs w:val="22"/>
            </w:rPr>
          </w:pPr>
          <w:hyperlink w:anchor="_Toc415660884" w:history="1">
            <w:r w:rsidR="004D060B" w:rsidRPr="00510B41">
              <w:rPr>
                <w:rStyle w:val="Hyperlink"/>
              </w:rPr>
              <w:t>4.7.2</w:t>
            </w:r>
            <w:r w:rsidR="004D060B">
              <w:rPr>
                <w:rFonts w:asciiTheme="minorHAnsi" w:eastAsiaTheme="minorEastAsia" w:hAnsiTheme="minorHAnsi" w:cstheme="minorBidi"/>
                <w:szCs w:val="22"/>
              </w:rPr>
              <w:tab/>
            </w:r>
            <w:r w:rsidR="004D060B" w:rsidRPr="00510B41">
              <w:rPr>
                <w:rStyle w:val="Hyperlink"/>
              </w:rPr>
              <w:t>Summary of distributional impacts</w:t>
            </w:r>
            <w:r w:rsidR="004D060B">
              <w:rPr>
                <w:webHidden/>
              </w:rPr>
              <w:tab/>
            </w:r>
            <w:r w:rsidR="004D060B">
              <w:rPr>
                <w:webHidden/>
              </w:rPr>
              <w:fldChar w:fldCharType="begin"/>
            </w:r>
            <w:r w:rsidR="004D060B">
              <w:rPr>
                <w:webHidden/>
              </w:rPr>
              <w:instrText xml:space="preserve"> PAGEREF _Toc415660884 \h </w:instrText>
            </w:r>
            <w:r w:rsidR="004D060B">
              <w:rPr>
                <w:webHidden/>
              </w:rPr>
            </w:r>
            <w:r w:rsidR="004D060B">
              <w:rPr>
                <w:webHidden/>
              </w:rPr>
              <w:fldChar w:fldCharType="separate"/>
            </w:r>
            <w:r w:rsidR="004D060B">
              <w:rPr>
                <w:webHidden/>
              </w:rPr>
              <w:t>62</w:t>
            </w:r>
            <w:r w:rsidR="004D060B">
              <w:rPr>
                <w:webHidden/>
              </w:rPr>
              <w:fldChar w:fldCharType="end"/>
            </w:r>
          </w:hyperlink>
        </w:p>
        <w:p w14:paraId="0E45FFAB" w14:textId="77777777" w:rsidR="004D060B" w:rsidRDefault="00366ADF">
          <w:pPr>
            <w:pStyle w:val="TOC2"/>
            <w:rPr>
              <w:rFonts w:asciiTheme="minorHAnsi" w:eastAsiaTheme="minorEastAsia" w:hAnsiTheme="minorHAnsi" w:cstheme="minorBidi"/>
              <w:szCs w:val="22"/>
            </w:rPr>
          </w:pPr>
          <w:hyperlink w:anchor="_Toc415660885" w:history="1">
            <w:r w:rsidR="004D060B" w:rsidRPr="00510B41">
              <w:rPr>
                <w:rStyle w:val="Hyperlink"/>
              </w:rPr>
              <w:t>4.8</w:t>
            </w:r>
            <w:r w:rsidR="004D060B">
              <w:rPr>
                <w:rFonts w:asciiTheme="minorHAnsi" w:eastAsiaTheme="minorEastAsia" w:hAnsiTheme="minorHAnsi" w:cstheme="minorBidi"/>
                <w:szCs w:val="22"/>
              </w:rPr>
              <w:tab/>
            </w:r>
            <w:r w:rsidR="004D060B" w:rsidRPr="00510B41">
              <w:rPr>
                <w:rStyle w:val="Hyperlink"/>
              </w:rPr>
              <w:t>Assessment of the effectiveness of the CBD program</w:t>
            </w:r>
            <w:r w:rsidR="004D060B">
              <w:rPr>
                <w:webHidden/>
              </w:rPr>
              <w:tab/>
            </w:r>
            <w:r w:rsidR="004D060B">
              <w:rPr>
                <w:webHidden/>
              </w:rPr>
              <w:fldChar w:fldCharType="begin"/>
            </w:r>
            <w:r w:rsidR="004D060B">
              <w:rPr>
                <w:webHidden/>
              </w:rPr>
              <w:instrText xml:space="preserve"> PAGEREF _Toc415660885 \h </w:instrText>
            </w:r>
            <w:r w:rsidR="004D060B">
              <w:rPr>
                <w:webHidden/>
              </w:rPr>
            </w:r>
            <w:r w:rsidR="004D060B">
              <w:rPr>
                <w:webHidden/>
              </w:rPr>
              <w:fldChar w:fldCharType="separate"/>
            </w:r>
            <w:r w:rsidR="004D060B">
              <w:rPr>
                <w:webHidden/>
              </w:rPr>
              <w:t>63</w:t>
            </w:r>
            <w:r w:rsidR="004D060B">
              <w:rPr>
                <w:webHidden/>
              </w:rPr>
              <w:fldChar w:fldCharType="end"/>
            </w:r>
          </w:hyperlink>
        </w:p>
        <w:p w14:paraId="2E6E0E0D" w14:textId="77777777" w:rsidR="004D060B" w:rsidRDefault="00366ADF">
          <w:pPr>
            <w:pStyle w:val="TOC2"/>
            <w:rPr>
              <w:rFonts w:asciiTheme="minorHAnsi" w:eastAsiaTheme="minorEastAsia" w:hAnsiTheme="minorHAnsi" w:cstheme="minorBidi"/>
              <w:szCs w:val="22"/>
            </w:rPr>
          </w:pPr>
          <w:hyperlink w:anchor="_Toc415660886" w:history="1">
            <w:r w:rsidR="004D060B" w:rsidRPr="00510B41">
              <w:rPr>
                <w:rStyle w:val="Hyperlink"/>
              </w:rPr>
              <w:t>4.9</w:t>
            </w:r>
            <w:r w:rsidR="004D060B">
              <w:rPr>
                <w:rFonts w:asciiTheme="minorHAnsi" w:eastAsiaTheme="minorEastAsia" w:hAnsiTheme="minorHAnsi" w:cstheme="minorBidi"/>
                <w:szCs w:val="22"/>
              </w:rPr>
              <w:tab/>
            </w:r>
            <w:r w:rsidR="004D060B" w:rsidRPr="00510B41">
              <w:rPr>
                <w:rStyle w:val="Hyperlink"/>
              </w:rPr>
              <w:t>Assessment of the interactions of CBD with other programs to date</w:t>
            </w:r>
            <w:r w:rsidR="004D060B">
              <w:rPr>
                <w:webHidden/>
              </w:rPr>
              <w:tab/>
            </w:r>
            <w:r w:rsidR="004D060B">
              <w:rPr>
                <w:webHidden/>
              </w:rPr>
              <w:fldChar w:fldCharType="begin"/>
            </w:r>
            <w:r w:rsidR="004D060B">
              <w:rPr>
                <w:webHidden/>
              </w:rPr>
              <w:instrText xml:space="preserve"> PAGEREF _Toc415660886 \h </w:instrText>
            </w:r>
            <w:r w:rsidR="004D060B">
              <w:rPr>
                <w:webHidden/>
              </w:rPr>
            </w:r>
            <w:r w:rsidR="004D060B">
              <w:rPr>
                <w:webHidden/>
              </w:rPr>
              <w:fldChar w:fldCharType="separate"/>
            </w:r>
            <w:r w:rsidR="004D060B">
              <w:rPr>
                <w:webHidden/>
              </w:rPr>
              <w:t>63</w:t>
            </w:r>
            <w:r w:rsidR="004D060B">
              <w:rPr>
                <w:webHidden/>
              </w:rPr>
              <w:fldChar w:fldCharType="end"/>
            </w:r>
          </w:hyperlink>
        </w:p>
        <w:p w14:paraId="4F1DD4C6" w14:textId="77777777" w:rsidR="004D060B" w:rsidRDefault="00366ADF">
          <w:pPr>
            <w:pStyle w:val="TOC3"/>
            <w:rPr>
              <w:rFonts w:asciiTheme="minorHAnsi" w:eastAsiaTheme="minorEastAsia" w:hAnsiTheme="minorHAnsi" w:cstheme="minorBidi"/>
              <w:szCs w:val="22"/>
            </w:rPr>
          </w:pPr>
          <w:hyperlink w:anchor="_Toc415660887" w:history="1">
            <w:r w:rsidR="004D060B" w:rsidRPr="00510B41">
              <w:rPr>
                <w:rStyle w:val="Hyperlink"/>
              </w:rPr>
              <w:t>4.9.1</w:t>
            </w:r>
            <w:r w:rsidR="004D060B">
              <w:rPr>
                <w:rFonts w:asciiTheme="minorHAnsi" w:eastAsiaTheme="minorEastAsia" w:hAnsiTheme="minorHAnsi" w:cstheme="minorBidi"/>
                <w:szCs w:val="22"/>
              </w:rPr>
              <w:tab/>
            </w:r>
            <w:r w:rsidR="004D060B" w:rsidRPr="00510B41">
              <w:rPr>
                <w:rStyle w:val="Hyperlink"/>
              </w:rPr>
              <w:t>Interaction with the NSW Energy Saver Scheme</w:t>
            </w:r>
            <w:r w:rsidR="004D060B">
              <w:rPr>
                <w:webHidden/>
              </w:rPr>
              <w:tab/>
            </w:r>
            <w:r w:rsidR="004D060B">
              <w:rPr>
                <w:webHidden/>
              </w:rPr>
              <w:fldChar w:fldCharType="begin"/>
            </w:r>
            <w:r w:rsidR="004D060B">
              <w:rPr>
                <w:webHidden/>
              </w:rPr>
              <w:instrText xml:space="preserve"> PAGEREF _Toc415660887 \h </w:instrText>
            </w:r>
            <w:r w:rsidR="004D060B">
              <w:rPr>
                <w:webHidden/>
              </w:rPr>
            </w:r>
            <w:r w:rsidR="004D060B">
              <w:rPr>
                <w:webHidden/>
              </w:rPr>
              <w:fldChar w:fldCharType="separate"/>
            </w:r>
            <w:r w:rsidR="004D060B">
              <w:rPr>
                <w:webHidden/>
              </w:rPr>
              <w:t>64</w:t>
            </w:r>
            <w:r w:rsidR="004D060B">
              <w:rPr>
                <w:webHidden/>
              </w:rPr>
              <w:fldChar w:fldCharType="end"/>
            </w:r>
          </w:hyperlink>
        </w:p>
        <w:p w14:paraId="467897C8" w14:textId="77777777" w:rsidR="004D060B" w:rsidRDefault="00366ADF">
          <w:pPr>
            <w:pStyle w:val="TOC3"/>
            <w:rPr>
              <w:rFonts w:asciiTheme="minorHAnsi" w:eastAsiaTheme="minorEastAsia" w:hAnsiTheme="minorHAnsi" w:cstheme="minorBidi"/>
              <w:szCs w:val="22"/>
            </w:rPr>
          </w:pPr>
          <w:hyperlink w:anchor="_Toc415660888" w:history="1">
            <w:r w:rsidR="004D060B" w:rsidRPr="00510B41">
              <w:rPr>
                <w:rStyle w:val="Hyperlink"/>
              </w:rPr>
              <w:t>4.9.2</w:t>
            </w:r>
            <w:r w:rsidR="004D060B">
              <w:rPr>
                <w:rFonts w:asciiTheme="minorHAnsi" w:eastAsiaTheme="minorEastAsia" w:hAnsiTheme="minorHAnsi" w:cstheme="minorBidi"/>
                <w:szCs w:val="22"/>
              </w:rPr>
              <w:tab/>
            </w:r>
            <w:r w:rsidR="004D060B" w:rsidRPr="00510B41">
              <w:rPr>
                <w:rStyle w:val="Hyperlink"/>
              </w:rPr>
              <w:t>Interaction with the Victorian Energy Efficiency Target</w:t>
            </w:r>
            <w:r w:rsidR="004D060B">
              <w:rPr>
                <w:webHidden/>
              </w:rPr>
              <w:tab/>
            </w:r>
            <w:r w:rsidR="004D060B">
              <w:rPr>
                <w:webHidden/>
              </w:rPr>
              <w:fldChar w:fldCharType="begin"/>
            </w:r>
            <w:r w:rsidR="004D060B">
              <w:rPr>
                <w:webHidden/>
              </w:rPr>
              <w:instrText xml:space="preserve"> PAGEREF _Toc415660888 \h </w:instrText>
            </w:r>
            <w:r w:rsidR="004D060B">
              <w:rPr>
                <w:webHidden/>
              </w:rPr>
            </w:r>
            <w:r w:rsidR="004D060B">
              <w:rPr>
                <w:webHidden/>
              </w:rPr>
              <w:fldChar w:fldCharType="separate"/>
            </w:r>
            <w:r w:rsidR="004D060B">
              <w:rPr>
                <w:webHidden/>
              </w:rPr>
              <w:t>64</w:t>
            </w:r>
            <w:r w:rsidR="004D060B">
              <w:rPr>
                <w:webHidden/>
              </w:rPr>
              <w:fldChar w:fldCharType="end"/>
            </w:r>
          </w:hyperlink>
        </w:p>
        <w:p w14:paraId="1B63A40F" w14:textId="77777777" w:rsidR="004D060B" w:rsidRDefault="00366ADF">
          <w:pPr>
            <w:pStyle w:val="TOC3"/>
            <w:rPr>
              <w:rFonts w:asciiTheme="minorHAnsi" w:eastAsiaTheme="minorEastAsia" w:hAnsiTheme="minorHAnsi" w:cstheme="minorBidi"/>
              <w:szCs w:val="22"/>
            </w:rPr>
          </w:pPr>
          <w:hyperlink w:anchor="_Toc415660889" w:history="1">
            <w:r w:rsidR="004D060B" w:rsidRPr="00510B41">
              <w:rPr>
                <w:rStyle w:val="Hyperlink"/>
              </w:rPr>
              <w:t>4.9.3</w:t>
            </w:r>
            <w:r w:rsidR="004D060B">
              <w:rPr>
                <w:rFonts w:asciiTheme="minorHAnsi" w:eastAsiaTheme="minorEastAsia" w:hAnsiTheme="minorHAnsi" w:cstheme="minorBidi"/>
                <w:szCs w:val="22"/>
              </w:rPr>
              <w:tab/>
            </w:r>
            <w:r w:rsidR="004D060B" w:rsidRPr="00510B41">
              <w:rPr>
                <w:rStyle w:val="Hyperlink"/>
              </w:rPr>
              <w:t>Interaction with Carbon Pricing Mechanism</w:t>
            </w:r>
            <w:r w:rsidR="004D060B">
              <w:rPr>
                <w:webHidden/>
              </w:rPr>
              <w:tab/>
            </w:r>
            <w:r w:rsidR="004D060B">
              <w:rPr>
                <w:webHidden/>
              </w:rPr>
              <w:fldChar w:fldCharType="begin"/>
            </w:r>
            <w:r w:rsidR="004D060B">
              <w:rPr>
                <w:webHidden/>
              </w:rPr>
              <w:instrText xml:space="preserve"> PAGEREF _Toc415660889 \h </w:instrText>
            </w:r>
            <w:r w:rsidR="004D060B">
              <w:rPr>
                <w:webHidden/>
              </w:rPr>
            </w:r>
            <w:r w:rsidR="004D060B">
              <w:rPr>
                <w:webHidden/>
              </w:rPr>
              <w:fldChar w:fldCharType="separate"/>
            </w:r>
            <w:r w:rsidR="004D060B">
              <w:rPr>
                <w:webHidden/>
              </w:rPr>
              <w:t>64</w:t>
            </w:r>
            <w:r w:rsidR="004D060B">
              <w:rPr>
                <w:webHidden/>
              </w:rPr>
              <w:fldChar w:fldCharType="end"/>
            </w:r>
          </w:hyperlink>
        </w:p>
        <w:p w14:paraId="5899831A" w14:textId="77777777" w:rsidR="004D060B" w:rsidRDefault="00366ADF">
          <w:pPr>
            <w:pStyle w:val="TOC1"/>
            <w:rPr>
              <w:rFonts w:asciiTheme="minorHAnsi" w:eastAsiaTheme="minorEastAsia" w:hAnsiTheme="minorHAnsi" w:cstheme="minorBidi"/>
              <w:b w:val="0"/>
              <w:color w:val="auto"/>
            </w:rPr>
          </w:pPr>
          <w:hyperlink w:anchor="_Toc415660890" w:history="1">
            <w:r w:rsidR="004D060B" w:rsidRPr="00510B41">
              <w:rPr>
                <w:rStyle w:val="Hyperlink"/>
              </w:rPr>
              <w:t>5</w:t>
            </w:r>
            <w:r w:rsidR="004D060B">
              <w:rPr>
                <w:rFonts w:asciiTheme="minorHAnsi" w:eastAsiaTheme="minorEastAsia" w:hAnsiTheme="minorHAnsi" w:cstheme="minorBidi"/>
                <w:b w:val="0"/>
                <w:color w:val="auto"/>
              </w:rPr>
              <w:tab/>
            </w:r>
            <w:r w:rsidR="004D060B" w:rsidRPr="00510B41">
              <w:rPr>
                <w:rStyle w:val="Hyperlink"/>
              </w:rPr>
              <w:t>Assessment of CBD future costs and benefits</w:t>
            </w:r>
            <w:r w:rsidR="004D060B">
              <w:rPr>
                <w:webHidden/>
              </w:rPr>
              <w:tab/>
            </w:r>
            <w:r w:rsidR="004D060B">
              <w:rPr>
                <w:webHidden/>
              </w:rPr>
              <w:fldChar w:fldCharType="begin"/>
            </w:r>
            <w:r w:rsidR="004D060B">
              <w:rPr>
                <w:webHidden/>
              </w:rPr>
              <w:instrText xml:space="preserve"> PAGEREF _Toc415660890 \h </w:instrText>
            </w:r>
            <w:r w:rsidR="004D060B">
              <w:rPr>
                <w:webHidden/>
              </w:rPr>
            </w:r>
            <w:r w:rsidR="004D060B">
              <w:rPr>
                <w:webHidden/>
              </w:rPr>
              <w:fldChar w:fldCharType="separate"/>
            </w:r>
            <w:r w:rsidR="004D060B">
              <w:rPr>
                <w:webHidden/>
              </w:rPr>
              <w:t>65</w:t>
            </w:r>
            <w:r w:rsidR="004D060B">
              <w:rPr>
                <w:webHidden/>
              </w:rPr>
              <w:fldChar w:fldCharType="end"/>
            </w:r>
          </w:hyperlink>
        </w:p>
        <w:p w14:paraId="14476A5E" w14:textId="77777777" w:rsidR="004D060B" w:rsidRDefault="00366ADF">
          <w:pPr>
            <w:pStyle w:val="TOC2"/>
            <w:rPr>
              <w:rFonts w:asciiTheme="minorHAnsi" w:eastAsiaTheme="minorEastAsia" w:hAnsiTheme="minorHAnsi" w:cstheme="minorBidi"/>
              <w:szCs w:val="22"/>
            </w:rPr>
          </w:pPr>
          <w:hyperlink w:anchor="_Toc415660891" w:history="1">
            <w:r w:rsidR="004D060B" w:rsidRPr="00510B41">
              <w:rPr>
                <w:rStyle w:val="Hyperlink"/>
              </w:rPr>
              <w:t>5.1</w:t>
            </w:r>
            <w:r w:rsidR="004D060B">
              <w:rPr>
                <w:rFonts w:asciiTheme="minorHAnsi" w:eastAsiaTheme="minorEastAsia" w:hAnsiTheme="minorHAnsi" w:cstheme="minorBidi"/>
                <w:szCs w:val="22"/>
              </w:rPr>
              <w:tab/>
            </w:r>
            <w:r w:rsidR="004D060B" w:rsidRPr="00510B41">
              <w:rPr>
                <w:rStyle w:val="Hyperlink"/>
              </w:rPr>
              <w:t>Methodology</w:t>
            </w:r>
            <w:r w:rsidR="004D060B">
              <w:rPr>
                <w:webHidden/>
              </w:rPr>
              <w:tab/>
            </w:r>
            <w:r w:rsidR="004D060B">
              <w:rPr>
                <w:webHidden/>
              </w:rPr>
              <w:fldChar w:fldCharType="begin"/>
            </w:r>
            <w:r w:rsidR="004D060B">
              <w:rPr>
                <w:webHidden/>
              </w:rPr>
              <w:instrText xml:space="preserve"> PAGEREF _Toc415660891 \h </w:instrText>
            </w:r>
            <w:r w:rsidR="004D060B">
              <w:rPr>
                <w:webHidden/>
              </w:rPr>
            </w:r>
            <w:r w:rsidR="004D060B">
              <w:rPr>
                <w:webHidden/>
              </w:rPr>
              <w:fldChar w:fldCharType="separate"/>
            </w:r>
            <w:r w:rsidR="004D060B">
              <w:rPr>
                <w:webHidden/>
              </w:rPr>
              <w:t>65</w:t>
            </w:r>
            <w:r w:rsidR="004D060B">
              <w:rPr>
                <w:webHidden/>
              </w:rPr>
              <w:fldChar w:fldCharType="end"/>
            </w:r>
          </w:hyperlink>
        </w:p>
        <w:p w14:paraId="12C85D89" w14:textId="77777777" w:rsidR="004D060B" w:rsidRDefault="00366ADF">
          <w:pPr>
            <w:pStyle w:val="TOC3"/>
            <w:rPr>
              <w:rFonts w:asciiTheme="minorHAnsi" w:eastAsiaTheme="minorEastAsia" w:hAnsiTheme="minorHAnsi" w:cstheme="minorBidi"/>
              <w:szCs w:val="22"/>
            </w:rPr>
          </w:pPr>
          <w:hyperlink w:anchor="_Toc415660892" w:history="1">
            <w:r w:rsidR="004D060B" w:rsidRPr="00510B41">
              <w:rPr>
                <w:rStyle w:val="Hyperlink"/>
              </w:rPr>
              <w:t>5.1.1</w:t>
            </w:r>
            <w:r w:rsidR="004D060B">
              <w:rPr>
                <w:rFonts w:asciiTheme="minorHAnsi" w:eastAsiaTheme="minorEastAsia" w:hAnsiTheme="minorHAnsi" w:cstheme="minorBidi"/>
                <w:szCs w:val="22"/>
              </w:rPr>
              <w:tab/>
            </w:r>
            <w:r w:rsidR="004D060B" w:rsidRPr="00510B41">
              <w:rPr>
                <w:rStyle w:val="Hyperlink"/>
              </w:rPr>
              <w:t>Overview</w:t>
            </w:r>
            <w:r w:rsidR="004D060B">
              <w:rPr>
                <w:webHidden/>
              </w:rPr>
              <w:tab/>
            </w:r>
            <w:r w:rsidR="004D060B">
              <w:rPr>
                <w:webHidden/>
              </w:rPr>
              <w:fldChar w:fldCharType="begin"/>
            </w:r>
            <w:r w:rsidR="004D060B">
              <w:rPr>
                <w:webHidden/>
              </w:rPr>
              <w:instrText xml:space="preserve"> PAGEREF _Toc415660892 \h </w:instrText>
            </w:r>
            <w:r w:rsidR="004D060B">
              <w:rPr>
                <w:webHidden/>
              </w:rPr>
            </w:r>
            <w:r w:rsidR="004D060B">
              <w:rPr>
                <w:webHidden/>
              </w:rPr>
              <w:fldChar w:fldCharType="separate"/>
            </w:r>
            <w:r w:rsidR="004D060B">
              <w:rPr>
                <w:webHidden/>
              </w:rPr>
              <w:t>65</w:t>
            </w:r>
            <w:r w:rsidR="004D060B">
              <w:rPr>
                <w:webHidden/>
              </w:rPr>
              <w:fldChar w:fldCharType="end"/>
            </w:r>
          </w:hyperlink>
        </w:p>
        <w:p w14:paraId="2BB90BE4" w14:textId="77777777" w:rsidR="004D060B" w:rsidRDefault="00366ADF">
          <w:pPr>
            <w:pStyle w:val="TOC3"/>
            <w:rPr>
              <w:rFonts w:asciiTheme="minorHAnsi" w:eastAsiaTheme="minorEastAsia" w:hAnsiTheme="minorHAnsi" w:cstheme="minorBidi"/>
              <w:szCs w:val="22"/>
            </w:rPr>
          </w:pPr>
          <w:hyperlink w:anchor="_Toc415660893" w:history="1">
            <w:r w:rsidR="004D060B" w:rsidRPr="00510B41">
              <w:rPr>
                <w:rStyle w:val="Hyperlink"/>
              </w:rPr>
              <w:t>5.1.2</w:t>
            </w:r>
            <w:r w:rsidR="004D060B">
              <w:rPr>
                <w:rFonts w:asciiTheme="minorHAnsi" w:eastAsiaTheme="minorEastAsia" w:hAnsiTheme="minorHAnsi" w:cstheme="minorBidi"/>
                <w:szCs w:val="22"/>
              </w:rPr>
              <w:tab/>
            </w:r>
            <w:r w:rsidR="004D060B" w:rsidRPr="00510B41">
              <w:rPr>
                <w:rStyle w:val="Hyperlink"/>
              </w:rPr>
              <w:t>Assessment of NABERS component</w:t>
            </w:r>
            <w:r w:rsidR="004D060B">
              <w:rPr>
                <w:webHidden/>
              </w:rPr>
              <w:tab/>
            </w:r>
            <w:r w:rsidR="004D060B">
              <w:rPr>
                <w:webHidden/>
              </w:rPr>
              <w:fldChar w:fldCharType="begin"/>
            </w:r>
            <w:r w:rsidR="004D060B">
              <w:rPr>
                <w:webHidden/>
              </w:rPr>
              <w:instrText xml:space="preserve"> PAGEREF _Toc415660893 \h </w:instrText>
            </w:r>
            <w:r w:rsidR="004D060B">
              <w:rPr>
                <w:webHidden/>
              </w:rPr>
            </w:r>
            <w:r w:rsidR="004D060B">
              <w:rPr>
                <w:webHidden/>
              </w:rPr>
              <w:fldChar w:fldCharType="separate"/>
            </w:r>
            <w:r w:rsidR="004D060B">
              <w:rPr>
                <w:webHidden/>
              </w:rPr>
              <w:t>65</w:t>
            </w:r>
            <w:r w:rsidR="004D060B">
              <w:rPr>
                <w:webHidden/>
              </w:rPr>
              <w:fldChar w:fldCharType="end"/>
            </w:r>
          </w:hyperlink>
        </w:p>
        <w:p w14:paraId="7509E95D" w14:textId="77777777" w:rsidR="004D060B" w:rsidRDefault="00366ADF">
          <w:pPr>
            <w:pStyle w:val="TOC3"/>
            <w:rPr>
              <w:rFonts w:asciiTheme="minorHAnsi" w:eastAsiaTheme="minorEastAsia" w:hAnsiTheme="minorHAnsi" w:cstheme="minorBidi"/>
              <w:szCs w:val="22"/>
            </w:rPr>
          </w:pPr>
          <w:hyperlink w:anchor="_Toc415660894" w:history="1">
            <w:r w:rsidR="004D060B" w:rsidRPr="00510B41">
              <w:rPr>
                <w:rStyle w:val="Hyperlink"/>
              </w:rPr>
              <w:t>5.1.3</w:t>
            </w:r>
            <w:r w:rsidR="004D060B">
              <w:rPr>
                <w:rFonts w:asciiTheme="minorHAnsi" w:eastAsiaTheme="minorEastAsia" w:hAnsiTheme="minorHAnsi" w:cstheme="minorBidi"/>
                <w:szCs w:val="22"/>
              </w:rPr>
              <w:tab/>
            </w:r>
            <w:r w:rsidR="004D060B" w:rsidRPr="00510B41">
              <w:rPr>
                <w:rStyle w:val="Hyperlink"/>
              </w:rPr>
              <w:t>Assessment of TLA component</w:t>
            </w:r>
            <w:r w:rsidR="004D060B">
              <w:rPr>
                <w:webHidden/>
              </w:rPr>
              <w:tab/>
            </w:r>
            <w:r w:rsidR="004D060B">
              <w:rPr>
                <w:webHidden/>
              </w:rPr>
              <w:fldChar w:fldCharType="begin"/>
            </w:r>
            <w:r w:rsidR="004D060B">
              <w:rPr>
                <w:webHidden/>
              </w:rPr>
              <w:instrText xml:space="preserve"> PAGEREF _Toc415660894 \h </w:instrText>
            </w:r>
            <w:r w:rsidR="004D060B">
              <w:rPr>
                <w:webHidden/>
              </w:rPr>
            </w:r>
            <w:r w:rsidR="004D060B">
              <w:rPr>
                <w:webHidden/>
              </w:rPr>
              <w:fldChar w:fldCharType="separate"/>
            </w:r>
            <w:r w:rsidR="004D060B">
              <w:rPr>
                <w:webHidden/>
              </w:rPr>
              <w:t>67</w:t>
            </w:r>
            <w:r w:rsidR="004D060B">
              <w:rPr>
                <w:webHidden/>
              </w:rPr>
              <w:fldChar w:fldCharType="end"/>
            </w:r>
          </w:hyperlink>
        </w:p>
        <w:p w14:paraId="184A9630" w14:textId="77777777" w:rsidR="004D060B" w:rsidRDefault="00366ADF">
          <w:pPr>
            <w:pStyle w:val="TOC2"/>
            <w:rPr>
              <w:rFonts w:asciiTheme="minorHAnsi" w:eastAsiaTheme="minorEastAsia" w:hAnsiTheme="minorHAnsi" w:cstheme="minorBidi"/>
              <w:szCs w:val="22"/>
            </w:rPr>
          </w:pPr>
          <w:hyperlink w:anchor="_Toc415660895" w:history="1">
            <w:r w:rsidR="004D060B" w:rsidRPr="00510B41">
              <w:rPr>
                <w:rStyle w:val="Hyperlink"/>
              </w:rPr>
              <w:t>5.2</w:t>
            </w:r>
            <w:r w:rsidR="004D060B">
              <w:rPr>
                <w:rFonts w:asciiTheme="minorHAnsi" w:eastAsiaTheme="minorEastAsia" w:hAnsiTheme="minorHAnsi" w:cstheme="minorBidi"/>
                <w:szCs w:val="22"/>
              </w:rPr>
              <w:tab/>
            </w:r>
            <w:r w:rsidR="004D060B" w:rsidRPr="00510B41">
              <w:rPr>
                <w:rStyle w:val="Hyperlink"/>
              </w:rPr>
              <w:t>Assessment of future costs and benefits of retaining NABERS component</w:t>
            </w:r>
            <w:r w:rsidR="004D060B">
              <w:rPr>
                <w:webHidden/>
              </w:rPr>
              <w:tab/>
            </w:r>
            <w:r w:rsidR="004D060B">
              <w:rPr>
                <w:webHidden/>
              </w:rPr>
              <w:fldChar w:fldCharType="begin"/>
            </w:r>
            <w:r w:rsidR="004D060B">
              <w:rPr>
                <w:webHidden/>
              </w:rPr>
              <w:instrText xml:space="preserve"> PAGEREF _Toc415660895 \h </w:instrText>
            </w:r>
            <w:r w:rsidR="004D060B">
              <w:rPr>
                <w:webHidden/>
              </w:rPr>
            </w:r>
            <w:r w:rsidR="004D060B">
              <w:rPr>
                <w:webHidden/>
              </w:rPr>
              <w:fldChar w:fldCharType="separate"/>
            </w:r>
            <w:r w:rsidR="004D060B">
              <w:rPr>
                <w:webHidden/>
              </w:rPr>
              <w:t>70</w:t>
            </w:r>
            <w:r w:rsidR="004D060B">
              <w:rPr>
                <w:webHidden/>
              </w:rPr>
              <w:fldChar w:fldCharType="end"/>
            </w:r>
          </w:hyperlink>
        </w:p>
        <w:p w14:paraId="00707D98" w14:textId="77777777" w:rsidR="004D060B" w:rsidRDefault="00366ADF">
          <w:pPr>
            <w:pStyle w:val="TOC3"/>
            <w:rPr>
              <w:rFonts w:asciiTheme="minorHAnsi" w:eastAsiaTheme="minorEastAsia" w:hAnsiTheme="minorHAnsi" w:cstheme="minorBidi"/>
              <w:szCs w:val="22"/>
            </w:rPr>
          </w:pPr>
          <w:hyperlink w:anchor="_Toc415660896" w:history="1">
            <w:r w:rsidR="004D060B" w:rsidRPr="00510B41">
              <w:rPr>
                <w:rStyle w:val="Hyperlink"/>
              </w:rPr>
              <w:t>5.2.1</w:t>
            </w:r>
            <w:r w:rsidR="004D060B">
              <w:rPr>
                <w:rFonts w:asciiTheme="minorHAnsi" w:eastAsiaTheme="minorEastAsia" w:hAnsiTheme="minorHAnsi" w:cstheme="minorBidi"/>
                <w:szCs w:val="22"/>
              </w:rPr>
              <w:tab/>
            </w:r>
            <w:r w:rsidR="004D060B" w:rsidRPr="00510B41">
              <w:rPr>
                <w:rStyle w:val="Hyperlink"/>
              </w:rPr>
              <w:t>Projection of total base building energy efficiency benefits</w:t>
            </w:r>
            <w:r w:rsidR="004D060B">
              <w:rPr>
                <w:webHidden/>
              </w:rPr>
              <w:tab/>
            </w:r>
            <w:r w:rsidR="004D060B">
              <w:rPr>
                <w:webHidden/>
              </w:rPr>
              <w:fldChar w:fldCharType="begin"/>
            </w:r>
            <w:r w:rsidR="004D060B">
              <w:rPr>
                <w:webHidden/>
              </w:rPr>
              <w:instrText xml:space="preserve"> PAGEREF _Toc415660896 \h </w:instrText>
            </w:r>
            <w:r w:rsidR="004D060B">
              <w:rPr>
                <w:webHidden/>
              </w:rPr>
            </w:r>
            <w:r w:rsidR="004D060B">
              <w:rPr>
                <w:webHidden/>
              </w:rPr>
              <w:fldChar w:fldCharType="separate"/>
            </w:r>
            <w:r w:rsidR="004D060B">
              <w:rPr>
                <w:webHidden/>
              </w:rPr>
              <w:t>70</w:t>
            </w:r>
            <w:r w:rsidR="004D060B">
              <w:rPr>
                <w:webHidden/>
              </w:rPr>
              <w:fldChar w:fldCharType="end"/>
            </w:r>
          </w:hyperlink>
        </w:p>
        <w:p w14:paraId="768ECEA3" w14:textId="77777777" w:rsidR="004D060B" w:rsidRDefault="00366ADF">
          <w:pPr>
            <w:pStyle w:val="TOC3"/>
            <w:rPr>
              <w:rFonts w:asciiTheme="minorHAnsi" w:eastAsiaTheme="minorEastAsia" w:hAnsiTheme="minorHAnsi" w:cstheme="minorBidi"/>
              <w:szCs w:val="22"/>
            </w:rPr>
          </w:pPr>
          <w:hyperlink w:anchor="_Toc415660897" w:history="1">
            <w:r w:rsidR="004D060B" w:rsidRPr="00510B41">
              <w:rPr>
                <w:rStyle w:val="Hyperlink"/>
              </w:rPr>
              <w:t>5.2.2</w:t>
            </w:r>
            <w:r w:rsidR="004D060B">
              <w:rPr>
                <w:rFonts w:asciiTheme="minorHAnsi" w:eastAsiaTheme="minorEastAsia" w:hAnsiTheme="minorHAnsi" w:cstheme="minorBidi"/>
                <w:szCs w:val="22"/>
              </w:rPr>
              <w:tab/>
            </w:r>
            <w:r w:rsidR="004D060B" w:rsidRPr="00510B41">
              <w:rPr>
                <w:rStyle w:val="Hyperlink"/>
              </w:rPr>
              <w:t>Projection of benefits attributable to mandatory disclosure of NABERS</w:t>
            </w:r>
            <w:r w:rsidR="004D060B">
              <w:rPr>
                <w:webHidden/>
              </w:rPr>
              <w:tab/>
            </w:r>
            <w:r w:rsidR="004D060B">
              <w:rPr>
                <w:webHidden/>
              </w:rPr>
              <w:fldChar w:fldCharType="begin"/>
            </w:r>
            <w:r w:rsidR="004D060B">
              <w:rPr>
                <w:webHidden/>
              </w:rPr>
              <w:instrText xml:space="preserve"> PAGEREF _Toc415660897 \h </w:instrText>
            </w:r>
            <w:r w:rsidR="004D060B">
              <w:rPr>
                <w:webHidden/>
              </w:rPr>
            </w:r>
            <w:r w:rsidR="004D060B">
              <w:rPr>
                <w:webHidden/>
              </w:rPr>
              <w:fldChar w:fldCharType="separate"/>
            </w:r>
            <w:r w:rsidR="004D060B">
              <w:rPr>
                <w:webHidden/>
              </w:rPr>
              <w:t>71</w:t>
            </w:r>
            <w:r w:rsidR="004D060B">
              <w:rPr>
                <w:webHidden/>
              </w:rPr>
              <w:fldChar w:fldCharType="end"/>
            </w:r>
          </w:hyperlink>
        </w:p>
        <w:p w14:paraId="5F9A39AD" w14:textId="77777777" w:rsidR="004D060B" w:rsidRDefault="00366ADF">
          <w:pPr>
            <w:pStyle w:val="TOC3"/>
            <w:rPr>
              <w:rFonts w:asciiTheme="minorHAnsi" w:eastAsiaTheme="minorEastAsia" w:hAnsiTheme="minorHAnsi" w:cstheme="minorBidi"/>
              <w:szCs w:val="22"/>
            </w:rPr>
          </w:pPr>
          <w:hyperlink w:anchor="_Toc415660898" w:history="1">
            <w:r w:rsidR="004D060B" w:rsidRPr="00510B41">
              <w:rPr>
                <w:rStyle w:val="Hyperlink"/>
              </w:rPr>
              <w:t>5.2.3</w:t>
            </w:r>
            <w:r w:rsidR="004D060B">
              <w:rPr>
                <w:rFonts w:asciiTheme="minorHAnsi" w:eastAsiaTheme="minorEastAsia" w:hAnsiTheme="minorHAnsi" w:cstheme="minorBidi"/>
                <w:szCs w:val="22"/>
              </w:rPr>
              <w:tab/>
            </w:r>
            <w:r w:rsidR="004D060B" w:rsidRPr="00510B41">
              <w:rPr>
                <w:rStyle w:val="Hyperlink"/>
              </w:rPr>
              <w:t>Associated GHG reduction and productivity benefits</w:t>
            </w:r>
            <w:r w:rsidR="004D060B">
              <w:rPr>
                <w:webHidden/>
              </w:rPr>
              <w:tab/>
            </w:r>
            <w:r w:rsidR="004D060B">
              <w:rPr>
                <w:webHidden/>
              </w:rPr>
              <w:fldChar w:fldCharType="begin"/>
            </w:r>
            <w:r w:rsidR="004D060B">
              <w:rPr>
                <w:webHidden/>
              </w:rPr>
              <w:instrText xml:space="preserve"> PAGEREF _Toc415660898 \h </w:instrText>
            </w:r>
            <w:r w:rsidR="004D060B">
              <w:rPr>
                <w:webHidden/>
              </w:rPr>
            </w:r>
            <w:r w:rsidR="004D060B">
              <w:rPr>
                <w:webHidden/>
              </w:rPr>
              <w:fldChar w:fldCharType="separate"/>
            </w:r>
            <w:r w:rsidR="004D060B">
              <w:rPr>
                <w:webHidden/>
              </w:rPr>
              <w:t>72</w:t>
            </w:r>
            <w:r w:rsidR="004D060B">
              <w:rPr>
                <w:webHidden/>
              </w:rPr>
              <w:fldChar w:fldCharType="end"/>
            </w:r>
          </w:hyperlink>
        </w:p>
        <w:p w14:paraId="3AA38DF8" w14:textId="77777777" w:rsidR="004D060B" w:rsidRDefault="00366ADF">
          <w:pPr>
            <w:pStyle w:val="TOC3"/>
            <w:rPr>
              <w:rFonts w:asciiTheme="minorHAnsi" w:eastAsiaTheme="minorEastAsia" w:hAnsiTheme="minorHAnsi" w:cstheme="minorBidi"/>
              <w:szCs w:val="22"/>
            </w:rPr>
          </w:pPr>
          <w:hyperlink w:anchor="_Toc415660899" w:history="1">
            <w:r w:rsidR="004D060B" w:rsidRPr="00510B41">
              <w:rPr>
                <w:rStyle w:val="Hyperlink"/>
              </w:rPr>
              <w:t>5.2.4</w:t>
            </w:r>
            <w:r w:rsidR="004D060B">
              <w:rPr>
                <w:rFonts w:asciiTheme="minorHAnsi" w:eastAsiaTheme="minorEastAsia" w:hAnsiTheme="minorHAnsi" w:cstheme="minorBidi"/>
                <w:szCs w:val="22"/>
              </w:rPr>
              <w:tab/>
            </w:r>
            <w:r w:rsidR="004D060B" w:rsidRPr="00510B41">
              <w:rPr>
                <w:rStyle w:val="Hyperlink"/>
              </w:rPr>
              <w:t>Sensitivity analysis for assessment of NABERS benefits</w:t>
            </w:r>
            <w:r w:rsidR="004D060B">
              <w:rPr>
                <w:webHidden/>
              </w:rPr>
              <w:tab/>
            </w:r>
            <w:r w:rsidR="004D060B">
              <w:rPr>
                <w:webHidden/>
              </w:rPr>
              <w:fldChar w:fldCharType="begin"/>
            </w:r>
            <w:r w:rsidR="004D060B">
              <w:rPr>
                <w:webHidden/>
              </w:rPr>
              <w:instrText xml:space="preserve"> PAGEREF _Toc415660899 \h </w:instrText>
            </w:r>
            <w:r w:rsidR="004D060B">
              <w:rPr>
                <w:webHidden/>
              </w:rPr>
            </w:r>
            <w:r w:rsidR="004D060B">
              <w:rPr>
                <w:webHidden/>
              </w:rPr>
              <w:fldChar w:fldCharType="separate"/>
            </w:r>
            <w:r w:rsidR="004D060B">
              <w:rPr>
                <w:webHidden/>
              </w:rPr>
              <w:t>72</w:t>
            </w:r>
            <w:r w:rsidR="004D060B">
              <w:rPr>
                <w:webHidden/>
              </w:rPr>
              <w:fldChar w:fldCharType="end"/>
            </w:r>
          </w:hyperlink>
        </w:p>
        <w:p w14:paraId="2F8A410E" w14:textId="77777777" w:rsidR="004D060B" w:rsidRDefault="00366ADF">
          <w:pPr>
            <w:pStyle w:val="TOC2"/>
            <w:rPr>
              <w:rFonts w:asciiTheme="minorHAnsi" w:eastAsiaTheme="minorEastAsia" w:hAnsiTheme="minorHAnsi" w:cstheme="minorBidi"/>
              <w:szCs w:val="22"/>
            </w:rPr>
          </w:pPr>
          <w:hyperlink w:anchor="_Toc415660900" w:history="1">
            <w:r w:rsidR="004D060B" w:rsidRPr="00510B41">
              <w:rPr>
                <w:rStyle w:val="Hyperlink"/>
              </w:rPr>
              <w:t>5.3</w:t>
            </w:r>
            <w:r w:rsidR="004D060B">
              <w:rPr>
                <w:rFonts w:asciiTheme="minorHAnsi" w:eastAsiaTheme="minorEastAsia" w:hAnsiTheme="minorHAnsi" w:cstheme="minorBidi"/>
                <w:szCs w:val="22"/>
              </w:rPr>
              <w:tab/>
            </w:r>
            <w:r w:rsidR="004D060B" w:rsidRPr="00510B41">
              <w:rPr>
                <w:rStyle w:val="Hyperlink"/>
              </w:rPr>
              <w:t>Assessment of future costs and benefits of retaining TLA component</w:t>
            </w:r>
            <w:r w:rsidR="004D060B">
              <w:rPr>
                <w:webHidden/>
              </w:rPr>
              <w:tab/>
            </w:r>
            <w:r w:rsidR="004D060B">
              <w:rPr>
                <w:webHidden/>
              </w:rPr>
              <w:fldChar w:fldCharType="begin"/>
            </w:r>
            <w:r w:rsidR="004D060B">
              <w:rPr>
                <w:webHidden/>
              </w:rPr>
              <w:instrText xml:space="preserve"> PAGEREF _Toc415660900 \h </w:instrText>
            </w:r>
            <w:r w:rsidR="004D060B">
              <w:rPr>
                <w:webHidden/>
              </w:rPr>
            </w:r>
            <w:r w:rsidR="004D060B">
              <w:rPr>
                <w:webHidden/>
              </w:rPr>
              <w:fldChar w:fldCharType="separate"/>
            </w:r>
            <w:r w:rsidR="004D060B">
              <w:rPr>
                <w:webHidden/>
              </w:rPr>
              <w:t>75</w:t>
            </w:r>
            <w:r w:rsidR="004D060B">
              <w:rPr>
                <w:webHidden/>
              </w:rPr>
              <w:fldChar w:fldCharType="end"/>
            </w:r>
          </w:hyperlink>
        </w:p>
        <w:p w14:paraId="65EE8762" w14:textId="77777777" w:rsidR="004D060B" w:rsidRDefault="00366ADF">
          <w:pPr>
            <w:pStyle w:val="TOC3"/>
            <w:rPr>
              <w:rFonts w:asciiTheme="minorHAnsi" w:eastAsiaTheme="minorEastAsia" w:hAnsiTheme="minorHAnsi" w:cstheme="minorBidi"/>
              <w:szCs w:val="22"/>
            </w:rPr>
          </w:pPr>
          <w:hyperlink w:anchor="_Toc415660901" w:history="1">
            <w:r w:rsidR="004D060B" w:rsidRPr="00510B41">
              <w:rPr>
                <w:rStyle w:val="Hyperlink"/>
              </w:rPr>
              <w:t>5.3.1</w:t>
            </w:r>
            <w:r w:rsidR="004D060B">
              <w:rPr>
                <w:rFonts w:asciiTheme="minorHAnsi" w:eastAsiaTheme="minorEastAsia" w:hAnsiTheme="minorHAnsi" w:cstheme="minorBidi"/>
                <w:szCs w:val="22"/>
              </w:rPr>
              <w:tab/>
            </w:r>
            <w:r w:rsidR="004D060B" w:rsidRPr="00510B41">
              <w:rPr>
                <w:rStyle w:val="Hyperlink"/>
              </w:rPr>
              <w:t>Projection of benefits from TLA component</w:t>
            </w:r>
            <w:r w:rsidR="004D060B">
              <w:rPr>
                <w:webHidden/>
              </w:rPr>
              <w:tab/>
            </w:r>
            <w:r w:rsidR="004D060B">
              <w:rPr>
                <w:webHidden/>
              </w:rPr>
              <w:fldChar w:fldCharType="begin"/>
            </w:r>
            <w:r w:rsidR="004D060B">
              <w:rPr>
                <w:webHidden/>
              </w:rPr>
              <w:instrText xml:space="preserve"> PAGEREF _Toc415660901 \h </w:instrText>
            </w:r>
            <w:r w:rsidR="004D060B">
              <w:rPr>
                <w:webHidden/>
              </w:rPr>
            </w:r>
            <w:r w:rsidR="004D060B">
              <w:rPr>
                <w:webHidden/>
              </w:rPr>
              <w:fldChar w:fldCharType="separate"/>
            </w:r>
            <w:r w:rsidR="004D060B">
              <w:rPr>
                <w:webHidden/>
              </w:rPr>
              <w:t>75</w:t>
            </w:r>
            <w:r w:rsidR="004D060B">
              <w:rPr>
                <w:webHidden/>
              </w:rPr>
              <w:fldChar w:fldCharType="end"/>
            </w:r>
          </w:hyperlink>
        </w:p>
        <w:p w14:paraId="0ACC9784" w14:textId="77777777" w:rsidR="004D060B" w:rsidRDefault="00366ADF">
          <w:pPr>
            <w:pStyle w:val="TOC3"/>
            <w:rPr>
              <w:rFonts w:asciiTheme="minorHAnsi" w:eastAsiaTheme="minorEastAsia" w:hAnsiTheme="minorHAnsi" w:cstheme="minorBidi"/>
              <w:szCs w:val="22"/>
            </w:rPr>
          </w:pPr>
          <w:hyperlink w:anchor="_Toc415660902" w:history="1">
            <w:r w:rsidR="004D060B" w:rsidRPr="00510B41">
              <w:rPr>
                <w:rStyle w:val="Hyperlink"/>
              </w:rPr>
              <w:t>5.3.2</w:t>
            </w:r>
            <w:r w:rsidR="004D060B">
              <w:rPr>
                <w:rFonts w:asciiTheme="minorHAnsi" w:eastAsiaTheme="minorEastAsia" w:hAnsiTheme="minorHAnsi" w:cstheme="minorBidi"/>
                <w:szCs w:val="22"/>
              </w:rPr>
              <w:tab/>
            </w:r>
            <w:r w:rsidR="004D060B" w:rsidRPr="00510B41">
              <w:rPr>
                <w:rStyle w:val="Hyperlink"/>
              </w:rPr>
              <w:t>Sensitivity analysis for assessment of TLA benefits</w:t>
            </w:r>
            <w:r w:rsidR="004D060B">
              <w:rPr>
                <w:webHidden/>
              </w:rPr>
              <w:tab/>
            </w:r>
            <w:r w:rsidR="004D060B">
              <w:rPr>
                <w:webHidden/>
              </w:rPr>
              <w:fldChar w:fldCharType="begin"/>
            </w:r>
            <w:r w:rsidR="004D060B">
              <w:rPr>
                <w:webHidden/>
              </w:rPr>
              <w:instrText xml:space="preserve"> PAGEREF _Toc415660902 \h </w:instrText>
            </w:r>
            <w:r w:rsidR="004D060B">
              <w:rPr>
                <w:webHidden/>
              </w:rPr>
            </w:r>
            <w:r w:rsidR="004D060B">
              <w:rPr>
                <w:webHidden/>
              </w:rPr>
              <w:fldChar w:fldCharType="separate"/>
            </w:r>
            <w:r w:rsidR="004D060B">
              <w:rPr>
                <w:webHidden/>
              </w:rPr>
              <w:t>75</w:t>
            </w:r>
            <w:r w:rsidR="004D060B">
              <w:rPr>
                <w:webHidden/>
              </w:rPr>
              <w:fldChar w:fldCharType="end"/>
            </w:r>
          </w:hyperlink>
        </w:p>
        <w:p w14:paraId="65DD5F6B" w14:textId="77777777" w:rsidR="004D060B" w:rsidRDefault="00366ADF">
          <w:pPr>
            <w:pStyle w:val="TOC2"/>
            <w:rPr>
              <w:rFonts w:asciiTheme="minorHAnsi" w:eastAsiaTheme="minorEastAsia" w:hAnsiTheme="minorHAnsi" w:cstheme="minorBidi"/>
              <w:szCs w:val="22"/>
            </w:rPr>
          </w:pPr>
          <w:hyperlink w:anchor="_Toc415660903" w:history="1">
            <w:r w:rsidR="004D060B" w:rsidRPr="00510B41">
              <w:rPr>
                <w:rStyle w:val="Hyperlink"/>
              </w:rPr>
              <w:t>5.4</w:t>
            </w:r>
            <w:r w:rsidR="004D060B">
              <w:rPr>
                <w:rFonts w:asciiTheme="minorHAnsi" w:eastAsiaTheme="minorEastAsia" w:hAnsiTheme="minorHAnsi" w:cstheme="minorBidi"/>
                <w:szCs w:val="22"/>
              </w:rPr>
              <w:tab/>
            </w:r>
            <w:r w:rsidR="004D060B" w:rsidRPr="00510B41">
              <w:rPr>
                <w:rStyle w:val="Hyperlink"/>
              </w:rPr>
              <w:t>Combined assessment of NABERS and TLA</w:t>
            </w:r>
            <w:r w:rsidR="004D060B">
              <w:rPr>
                <w:webHidden/>
              </w:rPr>
              <w:tab/>
            </w:r>
            <w:r w:rsidR="004D060B">
              <w:rPr>
                <w:webHidden/>
              </w:rPr>
              <w:fldChar w:fldCharType="begin"/>
            </w:r>
            <w:r w:rsidR="004D060B">
              <w:rPr>
                <w:webHidden/>
              </w:rPr>
              <w:instrText xml:space="preserve"> PAGEREF _Toc415660903 \h </w:instrText>
            </w:r>
            <w:r w:rsidR="004D060B">
              <w:rPr>
                <w:webHidden/>
              </w:rPr>
            </w:r>
            <w:r w:rsidR="004D060B">
              <w:rPr>
                <w:webHidden/>
              </w:rPr>
              <w:fldChar w:fldCharType="separate"/>
            </w:r>
            <w:r w:rsidR="004D060B">
              <w:rPr>
                <w:webHidden/>
              </w:rPr>
              <w:t>80</w:t>
            </w:r>
            <w:r w:rsidR="004D060B">
              <w:rPr>
                <w:webHidden/>
              </w:rPr>
              <w:fldChar w:fldCharType="end"/>
            </w:r>
          </w:hyperlink>
        </w:p>
        <w:p w14:paraId="78A27C1C" w14:textId="77777777" w:rsidR="004D060B" w:rsidRDefault="00366ADF">
          <w:pPr>
            <w:pStyle w:val="TOC2"/>
            <w:rPr>
              <w:rFonts w:asciiTheme="minorHAnsi" w:eastAsiaTheme="minorEastAsia" w:hAnsiTheme="minorHAnsi" w:cstheme="minorBidi"/>
              <w:szCs w:val="22"/>
            </w:rPr>
          </w:pPr>
          <w:hyperlink w:anchor="_Toc415660904" w:history="1">
            <w:r w:rsidR="004D060B" w:rsidRPr="00510B41">
              <w:rPr>
                <w:rStyle w:val="Hyperlink"/>
              </w:rPr>
              <w:t>5.5</w:t>
            </w:r>
            <w:r w:rsidR="004D060B">
              <w:rPr>
                <w:rFonts w:asciiTheme="minorHAnsi" w:eastAsiaTheme="minorEastAsia" w:hAnsiTheme="minorHAnsi" w:cstheme="minorBidi"/>
                <w:szCs w:val="22"/>
              </w:rPr>
              <w:tab/>
            </w:r>
            <w:r w:rsidR="004D060B" w:rsidRPr="00510B41">
              <w:rPr>
                <w:rStyle w:val="Hyperlink"/>
              </w:rPr>
              <w:t>Assessment of potential interactions with Emissions Reduction Fund</w:t>
            </w:r>
            <w:r w:rsidR="004D060B">
              <w:rPr>
                <w:webHidden/>
              </w:rPr>
              <w:tab/>
            </w:r>
            <w:r w:rsidR="004D060B">
              <w:rPr>
                <w:webHidden/>
              </w:rPr>
              <w:fldChar w:fldCharType="begin"/>
            </w:r>
            <w:r w:rsidR="004D060B">
              <w:rPr>
                <w:webHidden/>
              </w:rPr>
              <w:instrText xml:space="preserve"> PAGEREF _Toc415660904 \h </w:instrText>
            </w:r>
            <w:r w:rsidR="004D060B">
              <w:rPr>
                <w:webHidden/>
              </w:rPr>
            </w:r>
            <w:r w:rsidR="004D060B">
              <w:rPr>
                <w:webHidden/>
              </w:rPr>
              <w:fldChar w:fldCharType="separate"/>
            </w:r>
            <w:r w:rsidR="004D060B">
              <w:rPr>
                <w:webHidden/>
              </w:rPr>
              <w:t>80</w:t>
            </w:r>
            <w:r w:rsidR="004D060B">
              <w:rPr>
                <w:webHidden/>
              </w:rPr>
              <w:fldChar w:fldCharType="end"/>
            </w:r>
          </w:hyperlink>
        </w:p>
        <w:p w14:paraId="0C804220" w14:textId="77777777" w:rsidR="004D060B" w:rsidRDefault="00366ADF">
          <w:pPr>
            <w:pStyle w:val="TOC1"/>
            <w:rPr>
              <w:rFonts w:asciiTheme="minorHAnsi" w:eastAsiaTheme="minorEastAsia" w:hAnsiTheme="minorHAnsi" w:cstheme="minorBidi"/>
              <w:b w:val="0"/>
              <w:color w:val="auto"/>
            </w:rPr>
          </w:pPr>
          <w:hyperlink w:anchor="_Toc415660905" w:history="1">
            <w:r w:rsidR="004D060B" w:rsidRPr="00510B41">
              <w:rPr>
                <w:rStyle w:val="Hyperlink"/>
              </w:rPr>
              <w:t>6</w:t>
            </w:r>
            <w:r w:rsidR="004D060B">
              <w:rPr>
                <w:rFonts w:asciiTheme="minorHAnsi" w:eastAsiaTheme="minorEastAsia" w:hAnsiTheme="minorHAnsi" w:cstheme="minorBidi"/>
                <w:b w:val="0"/>
                <w:color w:val="auto"/>
              </w:rPr>
              <w:tab/>
            </w:r>
            <w:r w:rsidR="004D060B" w:rsidRPr="00510B41">
              <w:rPr>
                <w:rStyle w:val="Hyperlink"/>
              </w:rPr>
              <w:t>Assessment of potential changes to the CBD program</w:t>
            </w:r>
            <w:r w:rsidR="004D060B">
              <w:rPr>
                <w:webHidden/>
              </w:rPr>
              <w:tab/>
            </w:r>
            <w:r w:rsidR="004D060B">
              <w:rPr>
                <w:webHidden/>
              </w:rPr>
              <w:fldChar w:fldCharType="begin"/>
            </w:r>
            <w:r w:rsidR="004D060B">
              <w:rPr>
                <w:webHidden/>
              </w:rPr>
              <w:instrText xml:space="preserve"> PAGEREF _Toc415660905 \h </w:instrText>
            </w:r>
            <w:r w:rsidR="004D060B">
              <w:rPr>
                <w:webHidden/>
              </w:rPr>
            </w:r>
            <w:r w:rsidR="004D060B">
              <w:rPr>
                <w:webHidden/>
              </w:rPr>
              <w:fldChar w:fldCharType="separate"/>
            </w:r>
            <w:r w:rsidR="004D060B">
              <w:rPr>
                <w:webHidden/>
              </w:rPr>
              <w:t>82</w:t>
            </w:r>
            <w:r w:rsidR="004D060B">
              <w:rPr>
                <w:webHidden/>
              </w:rPr>
              <w:fldChar w:fldCharType="end"/>
            </w:r>
          </w:hyperlink>
        </w:p>
        <w:p w14:paraId="2F757428" w14:textId="77777777" w:rsidR="004D060B" w:rsidRDefault="00366ADF">
          <w:pPr>
            <w:pStyle w:val="TOC2"/>
            <w:rPr>
              <w:rFonts w:asciiTheme="minorHAnsi" w:eastAsiaTheme="minorEastAsia" w:hAnsiTheme="minorHAnsi" w:cstheme="minorBidi"/>
              <w:szCs w:val="22"/>
            </w:rPr>
          </w:pPr>
          <w:hyperlink w:anchor="_Toc415660906" w:history="1">
            <w:r w:rsidR="004D060B" w:rsidRPr="00510B41">
              <w:rPr>
                <w:rStyle w:val="Hyperlink"/>
              </w:rPr>
              <w:t>6.1</w:t>
            </w:r>
            <w:r w:rsidR="004D060B">
              <w:rPr>
                <w:rFonts w:asciiTheme="minorHAnsi" w:eastAsiaTheme="minorEastAsia" w:hAnsiTheme="minorHAnsi" w:cstheme="minorBidi"/>
                <w:szCs w:val="22"/>
              </w:rPr>
              <w:tab/>
            </w:r>
            <w:r w:rsidR="004D060B" w:rsidRPr="00510B41">
              <w:rPr>
                <w:rStyle w:val="Hyperlink"/>
              </w:rPr>
              <w:t>Extension of the program to smaller office spaces</w:t>
            </w:r>
            <w:r w:rsidR="004D060B">
              <w:rPr>
                <w:webHidden/>
              </w:rPr>
              <w:tab/>
            </w:r>
            <w:r w:rsidR="004D060B">
              <w:rPr>
                <w:webHidden/>
              </w:rPr>
              <w:fldChar w:fldCharType="begin"/>
            </w:r>
            <w:r w:rsidR="004D060B">
              <w:rPr>
                <w:webHidden/>
              </w:rPr>
              <w:instrText xml:space="preserve"> PAGEREF _Toc415660906 \h </w:instrText>
            </w:r>
            <w:r w:rsidR="004D060B">
              <w:rPr>
                <w:webHidden/>
              </w:rPr>
            </w:r>
            <w:r w:rsidR="004D060B">
              <w:rPr>
                <w:webHidden/>
              </w:rPr>
              <w:fldChar w:fldCharType="separate"/>
            </w:r>
            <w:r w:rsidR="004D060B">
              <w:rPr>
                <w:webHidden/>
              </w:rPr>
              <w:t>82</w:t>
            </w:r>
            <w:r w:rsidR="004D060B">
              <w:rPr>
                <w:webHidden/>
              </w:rPr>
              <w:fldChar w:fldCharType="end"/>
            </w:r>
          </w:hyperlink>
        </w:p>
        <w:p w14:paraId="47F5F4A7" w14:textId="77777777" w:rsidR="004D060B" w:rsidRDefault="00366ADF">
          <w:pPr>
            <w:pStyle w:val="TOC3"/>
            <w:rPr>
              <w:rFonts w:asciiTheme="minorHAnsi" w:eastAsiaTheme="minorEastAsia" w:hAnsiTheme="minorHAnsi" w:cstheme="minorBidi"/>
              <w:szCs w:val="22"/>
            </w:rPr>
          </w:pPr>
          <w:hyperlink w:anchor="_Toc415660907" w:history="1">
            <w:r w:rsidR="004D060B" w:rsidRPr="00510B41">
              <w:rPr>
                <w:rStyle w:val="Hyperlink"/>
              </w:rPr>
              <w:t>6.1.1</w:t>
            </w:r>
            <w:r w:rsidR="004D060B">
              <w:rPr>
                <w:rFonts w:asciiTheme="minorHAnsi" w:eastAsiaTheme="minorEastAsia" w:hAnsiTheme="minorHAnsi" w:cstheme="minorBidi"/>
                <w:szCs w:val="22"/>
              </w:rPr>
              <w:tab/>
            </w:r>
            <w:r w:rsidR="004D060B" w:rsidRPr="00510B41">
              <w:rPr>
                <w:rStyle w:val="Hyperlink"/>
              </w:rPr>
              <w:t>Rationale for extending program to smaller office spaces</w:t>
            </w:r>
            <w:r w:rsidR="004D060B">
              <w:rPr>
                <w:webHidden/>
              </w:rPr>
              <w:tab/>
            </w:r>
            <w:r w:rsidR="004D060B">
              <w:rPr>
                <w:webHidden/>
              </w:rPr>
              <w:fldChar w:fldCharType="begin"/>
            </w:r>
            <w:r w:rsidR="004D060B">
              <w:rPr>
                <w:webHidden/>
              </w:rPr>
              <w:instrText xml:space="preserve"> PAGEREF _Toc415660907 \h </w:instrText>
            </w:r>
            <w:r w:rsidR="004D060B">
              <w:rPr>
                <w:webHidden/>
              </w:rPr>
            </w:r>
            <w:r w:rsidR="004D060B">
              <w:rPr>
                <w:webHidden/>
              </w:rPr>
              <w:fldChar w:fldCharType="separate"/>
            </w:r>
            <w:r w:rsidR="004D060B">
              <w:rPr>
                <w:webHidden/>
              </w:rPr>
              <w:t>82</w:t>
            </w:r>
            <w:r w:rsidR="004D060B">
              <w:rPr>
                <w:webHidden/>
              </w:rPr>
              <w:fldChar w:fldCharType="end"/>
            </w:r>
          </w:hyperlink>
        </w:p>
        <w:p w14:paraId="41B78781" w14:textId="77777777" w:rsidR="004D060B" w:rsidRDefault="00366ADF">
          <w:pPr>
            <w:pStyle w:val="TOC3"/>
            <w:rPr>
              <w:rFonts w:asciiTheme="minorHAnsi" w:eastAsiaTheme="minorEastAsia" w:hAnsiTheme="minorHAnsi" w:cstheme="minorBidi"/>
              <w:szCs w:val="22"/>
            </w:rPr>
          </w:pPr>
          <w:hyperlink w:anchor="_Toc415660908" w:history="1">
            <w:r w:rsidR="004D060B" w:rsidRPr="00510B41">
              <w:rPr>
                <w:rStyle w:val="Hyperlink"/>
              </w:rPr>
              <w:t>6.1.2</w:t>
            </w:r>
            <w:r w:rsidR="004D060B">
              <w:rPr>
                <w:rFonts w:asciiTheme="minorHAnsi" w:eastAsiaTheme="minorEastAsia" w:hAnsiTheme="minorHAnsi" w:cstheme="minorBidi"/>
                <w:szCs w:val="22"/>
              </w:rPr>
              <w:tab/>
            </w:r>
            <w:r w:rsidR="004D060B" w:rsidRPr="00510B41">
              <w:rPr>
                <w:rStyle w:val="Hyperlink"/>
              </w:rPr>
              <w:t>Effect of lowering disclosure threshold</w:t>
            </w:r>
            <w:r w:rsidR="004D060B">
              <w:rPr>
                <w:webHidden/>
              </w:rPr>
              <w:tab/>
            </w:r>
            <w:r w:rsidR="004D060B">
              <w:rPr>
                <w:webHidden/>
              </w:rPr>
              <w:fldChar w:fldCharType="begin"/>
            </w:r>
            <w:r w:rsidR="004D060B">
              <w:rPr>
                <w:webHidden/>
              </w:rPr>
              <w:instrText xml:space="preserve"> PAGEREF _Toc415660908 \h </w:instrText>
            </w:r>
            <w:r w:rsidR="004D060B">
              <w:rPr>
                <w:webHidden/>
              </w:rPr>
            </w:r>
            <w:r w:rsidR="004D060B">
              <w:rPr>
                <w:webHidden/>
              </w:rPr>
              <w:fldChar w:fldCharType="separate"/>
            </w:r>
            <w:r w:rsidR="004D060B">
              <w:rPr>
                <w:webHidden/>
              </w:rPr>
              <w:t>82</w:t>
            </w:r>
            <w:r w:rsidR="004D060B">
              <w:rPr>
                <w:webHidden/>
              </w:rPr>
              <w:fldChar w:fldCharType="end"/>
            </w:r>
          </w:hyperlink>
        </w:p>
        <w:p w14:paraId="38D63BBA" w14:textId="77777777" w:rsidR="004D060B" w:rsidRDefault="00366ADF">
          <w:pPr>
            <w:pStyle w:val="TOC3"/>
            <w:rPr>
              <w:rFonts w:asciiTheme="minorHAnsi" w:eastAsiaTheme="minorEastAsia" w:hAnsiTheme="minorHAnsi" w:cstheme="minorBidi"/>
              <w:szCs w:val="22"/>
            </w:rPr>
          </w:pPr>
          <w:hyperlink w:anchor="_Toc415660909" w:history="1">
            <w:r w:rsidR="004D060B" w:rsidRPr="00510B41">
              <w:rPr>
                <w:rStyle w:val="Hyperlink"/>
              </w:rPr>
              <w:t>6.1.3</w:t>
            </w:r>
            <w:r w:rsidR="004D060B">
              <w:rPr>
                <w:rFonts w:asciiTheme="minorHAnsi" w:eastAsiaTheme="minorEastAsia" w:hAnsiTheme="minorHAnsi" w:cstheme="minorBidi"/>
                <w:szCs w:val="22"/>
              </w:rPr>
              <w:tab/>
            </w:r>
            <w:r w:rsidR="004D060B" w:rsidRPr="00510B41">
              <w:rPr>
                <w:rStyle w:val="Hyperlink"/>
              </w:rPr>
              <w:t>Estimate of costs and benefits of lowering disclosure threshold</w:t>
            </w:r>
            <w:r w:rsidR="004D060B">
              <w:rPr>
                <w:webHidden/>
              </w:rPr>
              <w:tab/>
            </w:r>
            <w:r w:rsidR="004D060B">
              <w:rPr>
                <w:webHidden/>
              </w:rPr>
              <w:fldChar w:fldCharType="begin"/>
            </w:r>
            <w:r w:rsidR="004D060B">
              <w:rPr>
                <w:webHidden/>
              </w:rPr>
              <w:instrText xml:space="preserve"> PAGEREF _Toc415660909 \h </w:instrText>
            </w:r>
            <w:r w:rsidR="004D060B">
              <w:rPr>
                <w:webHidden/>
              </w:rPr>
            </w:r>
            <w:r w:rsidR="004D060B">
              <w:rPr>
                <w:webHidden/>
              </w:rPr>
              <w:fldChar w:fldCharType="separate"/>
            </w:r>
            <w:r w:rsidR="004D060B">
              <w:rPr>
                <w:webHidden/>
              </w:rPr>
              <w:t>83</w:t>
            </w:r>
            <w:r w:rsidR="004D060B">
              <w:rPr>
                <w:webHidden/>
              </w:rPr>
              <w:fldChar w:fldCharType="end"/>
            </w:r>
          </w:hyperlink>
        </w:p>
        <w:p w14:paraId="0DBE1C93" w14:textId="77777777" w:rsidR="004D060B" w:rsidRDefault="00366ADF">
          <w:pPr>
            <w:pStyle w:val="TOC3"/>
            <w:rPr>
              <w:rFonts w:asciiTheme="minorHAnsi" w:eastAsiaTheme="minorEastAsia" w:hAnsiTheme="minorHAnsi" w:cstheme="minorBidi"/>
              <w:szCs w:val="22"/>
            </w:rPr>
          </w:pPr>
          <w:hyperlink w:anchor="_Toc415660910" w:history="1">
            <w:r w:rsidR="004D060B" w:rsidRPr="00510B41">
              <w:rPr>
                <w:rStyle w:val="Hyperlink"/>
              </w:rPr>
              <w:t>6.1.4</w:t>
            </w:r>
            <w:r w:rsidR="004D060B">
              <w:rPr>
                <w:rFonts w:asciiTheme="minorHAnsi" w:eastAsiaTheme="minorEastAsia" w:hAnsiTheme="minorHAnsi" w:cstheme="minorBidi"/>
                <w:szCs w:val="22"/>
              </w:rPr>
              <w:tab/>
            </w:r>
            <w:r w:rsidR="004D060B" w:rsidRPr="00510B41">
              <w:rPr>
                <w:rStyle w:val="Hyperlink"/>
              </w:rPr>
              <w:t>Stakeholder support for lowering the disclosure threshold</w:t>
            </w:r>
            <w:r w:rsidR="004D060B">
              <w:rPr>
                <w:webHidden/>
              </w:rPr>
              <w:tab/>
            </w:r>
            <w:r w:rsidR="004D060B">
              <w:rPr>
                <w:webHidden/>
              </w:rPr>
              <w:fldChar w:fldCharType="begin"/>
            </w:r>
            <w:r w:rsidR="004D060B">
              <w:rPr>
                <w:webHidden/>
              </w:rPr>
              <w:instrText xml:space="preserve"> PAGEREF _Toc415660910 \h </w:instrText>
            </w:r>
            <w:r w:rsidR="004D060B">
              <w:rPr>
                <w:webHidden/>
              </w:rPr>
            </w:r>
            <w:r w:rsidR="004D060B">
              <w:rPr>
                <w:webHidden/>
              </w:rPr>
              <w:fldChar w:fldCharType="separate"/>
            </w:r>
            <w:r w:rsidR="004D060B">
              <w:rPr>
                <w:webHidden/>
              </w:rPr>
              <w:t>83</w:t>
            </w:r>
            <w:r w:rsidR="004D060B">
              <w:rPr>
                <w:webHidden/>
              </w:rPr>
              <w:fldChar w:fldCharType="end"/>
            </w:r>
          </w:hyperlink>
        </w:p>
        <w:p w14:paraId="515AEA40" w14:textId="77777777" w:rsidR="004D060B" w:rsidRDefault="00366ADF">
          <w:pPr>
            <w:pStyle w:val="TOC2"/>
            <w:rPr>
              <w:rFonts w:asciiTheme="minorHAnsi" w:eastAsiaTheme="minorEastAsia" w:hAnsiTheme="minorHAnsi" w:cstheme="minorBidi"/>
              <w:szCs w:val="22"/>
            </w:rPr>
          </w:pPr>
          <w:hyperlink w:anchor="_Toc415660911" w:history="1">
            <w:r w:rsidR="004D060B" w:rsidRPr="00510B41">
              <w:rPr>
                <w:rStyle w:val="Hyperlink"/>
              </w:rPr>
              <w:t>6.2</w:t>
            </w:r>
            <w:r w:rsidR="004D060B">
              <w:rPr>
                <w:rFonts w:asciiTheme="minorHAnsi" w:eastAsiaTheme="minorEastAsia" w:hAnsiTheme="minorHAnsi" w:cstheme="minorBidi"/>
                <w:szCs w:val="22"/>
              </w:rPr>
              <w:tab/>
            </w:r>
            <w:r w:rsidR="004D060B" w:rsidRPr="00510B41">
              <w:rPr>
                <w:rStyle w:val="Hyperlink"/>
              </w:rPr>
              <w:t>Extension of the program to other building types</w:t>
            </w:r>
            <w:r w:rsidR="004D060B">
              <w:rPr>
                <w:webHidden/>
              </w:rPr>
              <w:tab/>
            </w:r>
            <w:r w:rsidR="004D060B">
              <w:rPr>
                <w:webHidden/>
              </w:rPr>
              <w:fldChar w:fldCharType="begin"/>
            </w:r>
            <w:r w:rsidR="004D060B">
              <w:rPr>
                <w:webHidden/>
              </w:rPr>
              <w:instrText xml:space="preserve"> PAGEREF _Toc415660911 \h </w:instrText>
            </w:r>
            <w:r w:rsidR="004D060B">
              <w:rPr>
                <w:webHidden/>
              </w:rPr>
            </w:r>
            <w:r w:rsidR="004D060B">
              <w:rPr>
                <w:webHidden/>
              </w:rPr>
              <w:fldChar w:fldCharType="separate"/>
            </w:r>
            <w:r w:rsidR="004D060B">
              <w:rPr>
                <w:webHidden/>
              </w:rPr>
              <w:t>84</w:t>
            </w:r>
            <w:r w:rsidR="004D060B">
              <w:rPr>
                <w:webHidden/>
              </w:rPr>
              <w:fldChar w:fldCharType="end"/>
            </w:r>
          </w:hyperlink>
        </w:p>
        <w:p w14:paraId="27D97198" w14:textId="77777777" w:rsidR="004D060B" w:rsidRDefault="00366ADF">
          <w:pPr>
            <w:pStyle w:val="TOC3"/>
            <w:rPr>
              <w:rFonts w:asciiTheme="minorHAnsi" w:eastAsiaTheme="minorEastAsia" w:hAnsiTheme="minorHAnsi" w:cstheme="minorBidi"/>
              <w:szCs w:val="22"/>
            </w:rPr>
          </w:pPr>
          <w:hyperlink w:anchor="_Toc415660912" w:history="1">
            <w:r w:rsidR="004D060B" w:rsidRPr="00510B41">
              <w:rPr>
                <w:rStyle w:val="Hyperlink"/>
              </w:rPr>
              <w:t>6.2.1</w:t>
            </w:r>
            <w:r w:rsidR="004D060B">
              <w:rPr>
                <w:rFonts w:asciiTheme="minorHAnsi" w:eastAsiaTheme="minorEastAsia" w:hAnsiTheme="minorHAnsi" w:cstheme="minorBidi"/>
                <w:szCs w:val="22"/>
              </w:rPr>
              <w:tab/>
            </w:r>
            <w:r w:rsidR="004D060B" w:rsidRPr="00510B41">
              <w:rPr>
                <w:rStyle w:val="Hyperlink"/>
              </w:rPr>
              <w:t>Extension to data centres</w:t>
            </w:r>
            <w:r w:rsidR="004D060B">
              <w:rPr>
                <w:webHidden/>
              </w:rPr>
              <w:tab/>
            </w:r>
            <w:r w:rsidR="004D060B">
              <w:rPr>
                <w:webHidden/>
              </w:rPr>
              <w:fldChar w:fldCharType="begin"/>
            </w:r>
            <w:r w:rsidR="004D060B">
              <w:rPr>
                <w:webHidden/>
              </w:rPr>
              <w:instrText xml:space="preserve"> PAGEREF _Toc415660912 \h </w:instrText>
            </w:r>
            <w:r w:rsidR="004D060B">
              <w:rPr>
                <w:webHidden/>
              </w:rPr>
            </w:r>
            <w:r w:rsidR="004D060B">
              <w:rPr>
                <w:webHidden/>
              </w:rPr>
              <w:fldChar w:fldCharType="separate"/>
            </w:r>
            <w:r w:rsidR="004D060B">
              <w:rPr>
                <w:webHidden/>
              </w:rPr>
              <w:t>84</w:t>
            </w:r>
            <w:r w:rsidR="004D060B">
              <w:rPr>
                <w:webHidden/>
              </w:rPr>
              <w:fldChar w:fldCharType="end"/>
            </w:r>
          </w:hyperlink>
        </w:p>
        <w:p w14:paraId="5BE78D9D" w14:textId="77777777" w:rsidR="004D060B" w:rsidRDefault="00366ADF">
          <w:pPr>
            <w:pStyle w:val="TOC3"/>
            <w:rPr>
              <w:rFonts w:asciiTheme="minorHAnsi" w:eastAsiaTheme="minorEastAsia" w:hAnsiTheme="minorHAnsi" w:cstheme="minorBidi"/>
              <w:szCs w:val="22"/>
            </w:rPr>
          </w:pPr>
          <w:hyperlink w:anchor="_Toc415660913" w:history="1">
            <w:r w:rsidR="004D060B" w:rsidRPr="00510B41">
              <w:rPr>
                <w:rStyle w:val="Hyperlink"/>
              </w:rPr>
              <w:t>6.2.2</w:t>
            </w:r>
            <w:r w:rsidR="004D060B">
              <w:rPr>
                <w:rFonts w:asciiTheme="minorHAnsi" w:eastAsiaTheme="minorEastAsia" w:hAnsiTheme="minorHAnsi" w:cstheme="minorBidi"/>
                <w:szCs w:val="22"/>
              </w:rPr>
              <w:tab/>
            </w:r>
            <w:r w:rsidR="004D060B" w:rsidRPr="00510B41">
              <w:rPr>
                <w:rStyle w:val="Hyperlink"/>
              </w:rPr>
              <w:t>Extension to retail buildings</w:t>
            </w:r>
            <w:r w:rsidR="004D060B">
              <w:rPr>
                <w:webHidden/>
              </w:rPr>
              <w:tab/>
            </w:r>
            <w:r w:rsidR="004D060B">
              <w:rPr>
                <w:webHidden/>
              </w:rPr>
              <w:fldChar w:fldCharType="begin"/>
            </w:r>
            <w:r w:rsidR="004D060B">
              <w:rPr>
                <w:webHidden/>
              </w:rPr>
              <w:instrText xml:space="preserve"> PAGEREF _Toc415660913 \h </w:instrText>
            </w:r>
            <w:r w:rsidR="004D060B">
              <w:rPr>
                <w:webHidden/>
              </w:rPr>
            </w:r>
            <w:r w:rsidR="004D060B">
              <w:rPr>
                <w:webHidden/>
              </w:rPr>
              <w:fldChar w:fldCharType="separate"/>
            </w:r>
            <w:r w:rsidR="004D060B">
              <w:rPr>
                <w:webHidden/>
              </w:rPr>
              <w:t>85</w:t>
            </w:r>
            <w:r w:rsidR="004D060B">
              <w:rPr>
                <w:webHidden/>
              </w:rPr>
              <w:fldChar w:fldCharType="end"/>
            </w:r>
          </w:hyperlink>
        </w:p>
        <w:p w14:paraId="5D309F1E" w14:textId="77777777" w:rsidR="004D060B" w:rsidRDefault="00366ADF">
          <w:pPr>
            <w:pStyle w:val="TOC3"/>
            <w:rPr>
              <w:rFonts w:asciiTheme="minorHAnsi" w:eastAsiaTheme="minorEastAsia" w:hAnsiTheme="minorHAnsi" w:cstheme="minorBidi"/>
              <w:szCs w:val="22"/>
            </w:rPr>
          </w:pPr>
          <w:hyperlink w:anchor="_Toc415660914" w:history="1">
            <w:r w:rsidR="004D060B" w:rsidRPr="00510B41">
              <w:rPr>
                <w:rStyle w:val="Hyperlink"/>
              </w:rPr>
              <w:t>6.2.3</w:t>
            </w:r>
            <w:r w:rsidR="004D060B">
              <w:rPr>
                <w:rFonts w:asciiTheme="minorHAnsi" w:eastAsiaTheme="minorEastAsia" w:hAnsiTheme="minorHAnsi" w:cstheme="minorBidi"/>
                <w:szCs w:val="22"/>
              </w:rPr>
              <w:tab/>
            </w:r>
            <w:r w:rsidR="004D060B" w:rsidRPr="00510B41">
              <w:rPr>
                <w:rStyle w:val="Hyperlink"/>
              </w:rPr>
              <w:t>Extension to hotel buildings</w:t>
            </w:r>
            <w:r w:rsidR="004D060B">
              <w:rPr>
                <w:webHidden/>
              </w:rPr>
              <w:tab/>
            </w:r>
            <w:r w:rsidR="004D060B">
              <w:rPr>
                <w:webHidden/>
              </w:rPr>
              <w:fldChar w:fldCharType="begin"/>
            </w:r>
            <w:r w:rsidR="004D060B">
              <w:rPr>
                <w:webHidden/>
              </w:rPr>
              <w:instrText xml:space="preserve"> PAGEREF _Toc415660914 \h </w:instrText>
            </w:r>
            <w:r w:rsidR="004D060B">
              <w:rPr>
                <w:webHidden/>
              </w:rPr>
            </w:r>
            <w:r w:rsidR="004D060B">
              <w:rPr>
                <w:webHidden/>
              </w:rPr>
              <w:fldChar w:fldCharType="separate"/>
            </w:r>
            <w:r w:rsidR="004D060B">
              <w:rPr>
                <w:webHidden/>
              </w:rPr>
              <w:t>86</w:t>
            </w:r>
            <w:r w:rsidR="004D060B">
              <w:rPr>
                <w:webHidden/>
              </w:rPr>
              <w:fldChar w:fldCharType="end"/>
            </w:r>
          </w:hyperlink>
        </w:p>
        <w:p w14:paraId="2D552EFF" w14:textId="77777777" w:rsidR="004D060B" w:rsidRDefault="00366ADF">
          <w:pPr>
            <w:pStyle w:val="TOC2"/>
            <w:rPr>
              <w:rFonts w:asciiTheme="minorHAnsi" w:eastAsiaTheme="minorEastAsia" w:hAnsiTheme="minorHAnsi" w:cstheme="minorBidi"/>
              <w:szCs w:val="22"/>
            </w:rPr>
          </w:pPr>
          <w:hyperlink w:anchor="_Toc415660915" w:history="1">
            <w:r w:rsidR="004D060B" w:rsidRPr="00510B41">
              <w:rPr>
                <w:rStyle w:val="Hyperlink"/>
              </w:rPr>
              <w:t>6.3</w:t>
            </w:r>
            <w:r w:rsidR="004D060B">
              <w:rPr>
                <w:rFonts w:asciiTheme="minorHAnsi" w:eastAsiaTheme="minorEastAsia" w:hAnsiTheme="minorHAnsi" w:cstheme="minorBidi"/>
                <w:szCs w:val="22"/>
              </w:rPr>
              <w:tab/>
            </w:r>
            <w:r w:rsidR="004D060B" w:rsidRPr="00510B41">
              <w:rPr>
                <w:rStyle w:val="Hyperlink"/>
              </w:rPr>
              <w:t>Cost recovery options</w:t>
            </w:r>
            <w:r w:rsidR="004D060B">
              <w:rPr>
                <w:webHidden/>
              </w:rPr>
              <w:tab/>
            </w:r>
            <w:r w:rsidR="004D060B">
              <w:rPr>
                <w:webHidden/>
              </w:rPr>
              <w:fldChar w:fldCharType="begin"/>
            </w:r>
            <w:r w:rsidR="004D060B">
              <w:rPr>
                <w:webHidden/>
              </w:rPr>
              <w:instrText xml:space="preserve"> PAGEREF _Toc415660915 \h </w:instrText>
            </w:r>
            <w:r w:rsidR="004D060B">
              <w:rPr>
                <w:webHidden/>
              </w:rPr>
            </w:r>
            <w:r w:rsidR="004D060B">
              <w:rPr>
                <w:webHidden/>
              </w:rPr>
              <w:fldChar w:fldCharType="separate"/>
            </w:r>
            <w:r w:rsidR="004D060B">
              <w:rPr>
                <w:webHidden/>
              </w:rPr>
              <w:t>87</w:t>
            </w:r>
            <w:r w:rsidR="004D060B">
              <w:rPr>
                <w:webHidden/>
              </w:rPr>
              <w:fldChar w:fldCharType="end"/>
            </w:r>
          </w:hyperlink>
        </w:p>
        <w:p w14:paraId="37F8B219" w14:textId="77777777" w:rsidR="004D060B" w:rsidRDefault="00366ADF">
          <w:pPr>
            <w:pStyle w:val="TOC3"/>
            <w:rPr>
              <w:rFonts w:asciiTheme="minorHAnsi" w:eastAsiaTheme="minorEastAsia" w:hAnsiTheme="minorHAnsi" w:cstheme="minorBidi"/>
              <w:szCs w:val="22"/>
            </w:rPr>
          </w:pPr>
          <w:hyperlink w:anchor="_Toc415660916" w:history="1">
            <w:r w:rsidR="004D060B" w:rsidRPr="00510B41">
              <w:rPr>
                <w:rStyle w:val="Hyperlink"/>
              </w:rPr>
              <w:t>6.3.1</w:t>
            </w:r>
            <w:r w:rsidR="004D060B">
              <w:rPr>
                <w:rFonts w:asciiTheme="minorHAnsi" w:eastAsiaTheme="minorEastAsia" w:hAnsiTheme="minorHAnsi" w:cstheme="minorBidi"/>
                <w:szCs w:val="22"/>
              </w:rPr>
              <w:tab/>
            </w:r>
            <w:r w:rsidR="004D060B" w:rsidRPr="00510B41">
              <w:rPr>
                <w:rStyle w:val="Hyperlink"/>
              </w:rPr>
              <w:t>Background</w:t>
            </w:r>
            <w:r w:rsidR="004D060B">
              <w:rPr>
                <w:webHidden/>
              </w:rPr>
              <w:tab/>
            </w:r>
            <w:r w:rsidR="004D060B">
              <w:rPr>
                <w:webHidden/>
              </w:rPr>
              <w:fldChar w:fldCharType="begin"/>
            </w:r>
            <w:r w:rsidR="004D060B">
              <w:rPr>
                <w:webHidden/>
              </w:rPr>
              <w:instrText xml:space="preserve"> PAGEREF _Toc415660916 \h </w:instrText>
            </w:r>
            <w:r w:rsidR="004D060B">
              <w:rPr>
                <w:webHidden/>
              </w:rPr>
            </w:r>
            <w:r w:rsidR="004D060B">
              <w:rPr>
                <w:webHidden/>
              </w:rPr>
              <w:fldChar w:fldCharType="separate"/>
            </w:r>
            <w:r w:rsidR="004D060B">
              <w:rPr>
                <w:webHidden/>
              </w:rPr>
              <w:t>87</w:t>
            </w:r>
            <w:r w:rsidR="004D060B">
              <w:rPr>
                <w:webHidden/>
              </w:rPr>
              <w:fldChar w:fldCharType="end"/>
            </w:r>
          </w:hyperlink>
        </w:p>
        <w:p w14:paraId="5AD52B2B" w14:textId="77777777" w:rsidR="004D060B" w:rsidRDefault="00366ADF">
          <w:pPr>
            <w:pStyle w:val="TOC3"/>
            <w:rPr>
              <w:rFonts w:asciiTheme="minorHAnsi" w:eastAsiaTheme="minorEastAsia" w:hAnsiTheme="minorHAnsi" w:cstheme="minorBidi"/>
              <w:szCs w:val="22"/>
            </w:rPr>
          </w:pPr>
          <w:hyperlink w:anchor="_Toc415660917" w:history="1">
            <w:r w:rsidR="004D060B" w:rsidRPr="00510B41">
              <w:rPr>
                <w:rStyle w:val="Hyperlink"/>
              </w:rPr>
              <w:t>6.3.2</w:t>
            </w:r>
            <w:r w:rsidR="004D060B">
              <w:rPr>
                <w:rFonts w:asciiTheme="minorHAnsi" w:eastAsiaTheme="minorEastAsia" w:hAnsiTheme="minorHAnsi" w:cstheme="minorBidi"/>
                <w:szCs w:val="22"/>
              </w:rPr>
              <w:tab/>
            </w:r>
            <w:r w:rsidR="004D060B" w:rsidRPr="00510B41">
              <w:rPr>
                <w:rStyle w:val="Hyperlink"/>
              </w:rPr>
              <w:t>Options considered</w:t>
            </w:r>
            <w:r w:rsidR="004D060B">
              <w:rPr>
                <w:webHidden/>
              </w:rPr>
              <w:tab/>
            </w:r>
            <w:r w:rsidR="004D060B">
              <w:rPr>
                <w:webHidden/>
              </w:rPr>
              <w:fldChar w:fldCharType="begin"/>
            </w:r>
            <w:r w:rsidR="004D060B">
              <w:rPr>
                <w:webHidden/>
              </w:rPr>
              <w:instrText xml:space="preserve"> PAGEREF _Toc415660917 \h </w:instrText>
            </w:r>
            <w:r w:rsidR="004D060B">
              <w:rPr>
                <w:webHidden/>
              </w:rPr>
            </w:r>
            <w:r w:rsidR="004D060B">
              <w:rPr>
                <w:webHidden/>
              </w:rPr>
              <w:fldChar w:fldCharType="separate"/>
            </w:r>
            <w:r w:rsidR="004D060B">
              <w:rPr>
                <w:webHidden/>
              </w:rPr>
              <w:t>87</w:t>
            </w:r>
            <w:r w:rsidR="004D060B">
              <w:rPr>
                <w:webHidden/>
              </w:rPr>
              <w:fldChar w:fldCharType="end"/>
            </w:r>
          </w:hyperlink>
        </w:p>
        <w:p w14:paraId="3EE5F267" w14:textId="77777777" w:rsidR="004D060B" w:rsidRDefault="00366ADF">
          <w:pPr>
            <w:pStyle w:val="TOC3"/>
            <w:rPr>
              <w:rFonts w:asciiTheme="minorHAnsi" w:eastAsiaTheme="minorEastAsia" w:hAnsiTheme="minorHAnsi" w:cstheme="minorBidi"/>
              <w:szCs w:val="22"/>
            </w:rPr>
          </w:pPr>
          <w:hyperlink w:anchor="_Toc415660918" w:history="1">
            <w:r w:rsidR="004D060B" w:rsidRPr="00510B41">
              <w:rPr>
                <w:rStyle w:val="Hyperlink"/>
              </w:rPr>
              <w:t>6.3.3</w:t>
            </w:r>
            <w:r w:rsidR="004D060B">
              <w:rPr>
                <w:rFonts w:asciiTheme="minorHAnsi" w:eastAsiaTheme="minorEastAsia" w:hAnsiTheme="minorHAnsi" w:cstheme="minorBidi"/>
                <w:szCs w:val="22"/>
              </w:rPr>
              <w:tab/>
            </w:r>
            <w:r w:rsidR="004D060B" w:rsidRPr="00510B41">
              <w:rPr>
                <w:rStyle w:val="Hyperlink"/>
              </w:rPr>
              <w:t>Assessment of options</w:t>
            </w:r>
            <w:r w:rsidR="004D060B">
              <w:rPr>
                <w:webHidden/>
              </w:rPr>
              <w:tab/>
            </w:r>
            <w:r w:rsidR="004D060B">
              <w:rPr>
                <w:webHidden/>
              </w:rPr>
              <w:fldChar w:fldCharType="begin"/>
            </w:r>
            <w:r w:rsidR="004D060B">
              <w:rPr>
                <w:webHidden/>
              </w:rPr>
              <w:instrText xml:space="preserve"> PAGEREF _Toc415660918 \h </w:instrText>
            </w:r>
            <w:r w:rsidR="004D060B">
              <w:rPr>
                <w:webHidden/>
              </w:rPr>
            </w:r>
            <w:r w:rsidR="004D060B">
              <w:rPr>
                <w:webHidden/>
              </w:rPr>
              <w:fldChar w:fldCharType="separate"/>
            </w:r>
            <w:r w:rsidR="004D060B">
              <w:rPr>
                <w:webHidden/>
              </w:rPr>
              <w:t>88</w:t>
            </w:r>
            <w:r w:rsidR="004D060B">
              <w:rPr>
                <w:webHidden/>
              </w:rPr>
              <w:fldChar w:fldCharType="end"/>
            </w:r>
          </w:hyperlink>
        </w:p>
        <w:p w14:paraId="169134D5" w14:textId="77777777" w:rsidR="004D060B" w:rsidRDefault="00366ADF">
          <w:pPr>
            <w:pStyle w:val="TOC2"/>
            <w:rPr>
              <w:rFonts w:asciiTheme="minorHAnsi" w:eastAsiaTheme="minorEastAsia" w:hAnsiTheme="minorHAnsi" w:cstheme="minorBidi"/>
              <w:szCs w:val="22"/>
            </w:rPr>
          </w:pPr>
          <w:hyperlink w:anchor="_Toc415660919" w:history="1">
            <w:r w:rsidR="004D060B" w:rsidRPr="00510B41">
              <w:rPr>
                <w:rStyle w:val="Hyperlink"/>
              </w:rPr>
              <w:t>6.4</w:t>
            </w:r>
            <w:r w:rsidR="004D060B">
              <w:rPr>
                <w:rFonts w:asciiTheme="minorHAnsi" w:eastAsiaTheme="minorEastAsia" w:hAnsiTheme="minorHAnsi" w:cstheme="minorBidi"/>
                <w:szCs w:val="22"/>
              </w:rPr>
              <w:tab/>
            </w:r>
            <w:r w:rsidR="004D060B" w:rsidRPr="00510B41">
              <w:rPr>
                <w:rStyle w:val="Hyperlink"/>
              </w:rPr>
              <w:t>Changes to the scheme design</w:t>
            </w:r>
            <w:r w:rsidR="004D060B">
              <w:rPr>
                <w:webHidden/>
              </w:rPr>
              <w:tab/>
            </w:r>
            <w:r w:rsidR="004D060B">
              <w:rPr>
                <w:webHidden/>
              </w:rPr>
              <w:fldChar w:fldCharType="begin"/>
            </w:r>
            <w:r w:rsidR="004D060B">
              <w:rPr>
                <w:webHidden/>
              </w:rPr>
              <w:instrText xml:space="preserve"> PAGEREF _Toc415660919 \h </w:instrText>
            </w:r>
            <w:r w:rsidR="004D060B">
              <w:rPr>
                <w:webHidden/>
              </w:rPr>
            </w:r>
            <w:r w:rsidR="004D060B">
              <w:rPr>
                <w:webHidden/>
              </w:rPr>
              <w:fldChar w:fldCharType="separate"/>
            </w:r>
            <w:r w:rsidR="004D060B">
              <w:rPr>
                <w:webHidden/>
              </w:rPr>
              <w:t>89</w:t>
            </w:r>
            <w:r w:rsidR="004D060B">
              <w:rPr>
                <w:webHidden/>
              </w:rPr>
              <w:fldChar w:fldCharType="end"/>
            </w:r>
          </w:hyperlink>
        </w:p>
        <w:p w14:paraId="5BA499EE" w14:textId="77777777" w:rsidR="004D060B" w:rsidRDefault="00366ADF">
          <w:pPr>
            <w:pStyle w:val="TOC3"/>
            <w:rPr>
              <w:rFonts w:asciiTheme="minorHAnsi" w:eastAsiaTheme="minorEastAsia" w:hAnsiTheme="minorHAnsi" w:cstheme="minorBidi"/>
              <w:szCs w:val="22"/>
            </w:rPr>
          </w:pPr>
          <w:hyperlink w:anchor="_Toc415660920" w:history="1">
            <w:r w:rsidR="004D060B" w:rsidRPr="00510B41">
              <w:rPr>
                <w:rStyle w:val="Hyperlink"/>
              </w:rPr>
              <w:t>6.4.1</w:t>
            </w:r>
            <w:r w:rsidR="004D060B">
              <w:rPr>
                <w:rFonts w:asciiTheme="minorHAnsi" w:eastAsiaTheme="minorEastAsia" w:hAnsiTheme="minorHAnsi" w:cstheme="minorBidi"/>
                <w:szCs w:val="22"/>
              </w:rPr>
              <w:tab/>
            </w:r>
            <w:r w:rsidR="004D060B" w:rsidRPr="00510B41">
              <w:rPr>
                <w:rStyle w:val="Hyperlink"/>
              </w:rPr>
              <w:t>Raising the visibility of Tenancy Lighting Assessments</w:t>
            </w:r>
            <w:r w:rsidR="004D060B">
              <w:rPr>
                <w:webHidden/>
              </w:rPr>
              <w:tab/>
            </w:r>
            <w:r w:rsidR="004D060B">
              <w:rPr>
                <w:webHidden/>
              </w:rPr>
              <w:fldChar w:fldCharType="begin"/>
            </w:r>
            <w:r w:rsidR="004D060B">
              <w:rPr>
                <w:webHidden/>
              </w:rPr>
              <w:instrText xml:space="preserve"> PAGEREF _Toc415660920 \h </w:instrText>
            </w:r>
            <w:r w:rsidR="004D060B">
              <w:rPr>
                <w:webHidden/>
              </w:rPr>
            </w:r>
            <w:r w:rsidR="004D060B">
              <w:rPr>
                <w:webHidden/>
              </w:rPr>
              <w:fldChar w:fldCharType="separate"/>
            </w:r>
            <w:r w:rsidR="004D060B">
              <w:rPr>
                <w:webHidden/>
              </w:rPr>
              <w:t>89</w:t>
            </w:r>
            <w:r w:rsidR="004D060B">
              <w:rPr>
                <w:webHidden/>
              </w:rPr>
              <w:fldChar w:fldCharType="end"/>
            </w:r>
          </w:hyperlink>
        </w:p>
        <w:p w14:paraId="54B23566" w14:textId="77777777" w:rsidR="004D060B" w:rsidRDefault="00366ADF">
          <w:pPr>
            <w:pStyle w:val="TOC3"/>
            <w:rPr>
              <w:rFonts w:asciiTheme="minorHAnsi" w:eastAsiaTheme="minorEastAsia" w:hAnsiTheme="minorHAnsi" w:cstheme="minorBidi"/>
              <w:szCs w:val="22"/>
            </w:rPr>
          </w:pPr>
          <w:hyperlink w:anchor="_Toc415660921" w:history="1">
            <w:r w:rsidR="004D060B" w:rsidRPr="00510B41">
              <w:rPr>
                <w:rStyle w:val="Hyperlink"/>
              </w:rPr>
              <w:t>6.4.2</w:t>
            </w:r>
            <w:r w:rsidR="004D060B">
              <w:rPr>
                <w:rFonts w:asciiTheme="minorHAnsi" w:eastAsiaTheme="minorEastAsia" w:hAnsiTheme="minorHAnsi" w:cstheme="minorBidi"/>
                <w:szCs w:val="22"/>
              </w:rPr>
              <w:tab/>
            </w:r>
            <w:r w:rsidR="004D060B" w:rsidRPr="00510B41">
              <w:rPr>
                <w:rStyle w:val="Hyperlink"/>
              </w:rPr>
              <w:t>Extending validity period of Tenancy Lighting Assessments</w:t>
            </w:r>
            <w:r w:rsidR="004D060B">
              <w:rPr>
                <w:webHidden/>
              </w:rPr>
              <w:tab/>
            </w:r>
            <w:r w:rsidR="004D060B">
              <w:rPr>
                <w:webHidden/>
              </w:rPr>
              <w:fldChar w:fldCharType="begin"/>
            </w:r>
            <w:r w:rsidR="004D060B">
              <w:rPr>
                <w:webHidden/>
              </w:rPr>
              <w:instrText xml:space="preserve"> PAGEREF _Toc415660921 \h </w:instrText>
            </w:r>
            <w:r w:rsidR="004D060B">
              <w:rPr>
                <w:webHidden/>
              </w:rPr>
            </w:r>
            <w:r w:rsidR="004D060B">
              <w:rPr>
                <w:webHidden/>
              </w:rPr>
              <w:fldChar w:fldCharType="separate"/>
            </w:r>
            <w:r w:rsidR="004D060B">
              <w:rPr>
                <w:webHidden/>
              </w:rPr>
              <w:t>90</w:t>
            </w:r>
            <w:r w:rsidR="004D060B">
              <w:rPr>
                <w:webHidden/>
              </w:rPr>
              <w:fldChar w:fldCharType="end"/>
            </w:r>
          </w:hyperlink>
        </w:p>
        <w:p w14:paraId="53B76025" w14:textId="77777777" w:rsidR="004D060B" w:rsidRDefault="00366ADF">
          <w:pPr>
            <w:pStyle w:val="TOC2"/>
            <w:rPr>
              <w:rFonts w:asciiTheme="minorHAnsi" w:eastAsiaTheme="minorEastAsia" w:hAnsiTheme="minorHAnsi" w:cstheme="minorBidi"/>
              <w:szCs w:val="22"/>
            </w:rPr>
          </w:pPr>
          <w:hyperlink w:anchor="_Toc415660922" w:history="1">
            <w:r w:rsidR="004D060B" w:rsidRPr="00510B41">
              <w:rPr>
                <w:rStyle w:val="Hyperlink"/>
              </w:rPr>
              <w:t>6.5</w:t>
            </w:r>
            <w:r w:rsidR="004D060B">
              <w:rPr>
                <w:rFonts w:asciiTheme="minorHAnsi" w:eastAsiaTheme="minorEastAsia" w:hAnsiTheme="minorHAnsi" w:cstheme="minorBidi"/>
                <w:szCs w:val="22"/>
              </w:rPr>
              <w:tab/>
            </w:r>
            <w:r w:rsidR="004D060B" w:rsidRPr="00510B41">
              <w:rPr>
                <w:rStyle w:val="Hyperlink"/>
              </w:rPr>
              <w:t>Other potential improvements</w:t>
            </w:r>
            <w:r w:rsidR="004D060B">
              <w:rPr>
                <w:webHidden/>
              </w:rPr>
              <w:tab/>
            </w:r>
            <w:r w:rsidR="004D060B">
              <w:rPr>
                <w:webHidden/>
              </w:rPr>
              <w:fldChar w:fldCharType="begin"/>
            </w:r>
            <w:r w:rsidR="004D060B">
              <w:rPr>
                <w:webHidden/>
              </w:rPr>
              <w:instrText xml:space="preserve"> PAGEREF _Toc415660922 \h </w:instrText>
            </w:r>
            <w:r w:rsidR="004D060B">
              <w:rPr>
                <w:webHidden/>
              </w:rPr>
            </w:r>
            <w:r w:rsidR="004D060B">
              <w:rPr>
                <w:webHidden/>
              </w:rPr>
              <w:fldChar w:fldCharType="separate"/>
            </w:r>
            <w:r w:rsidR="004D060B">
              <w:rPr>
                <w:webHidden/>
              </w:rPr>
              <w:t>91</w:t>
            </w:r>
            <w:r w:rsidR="004D060B">
              <w:rPr>
                <w:webHidden/>
              </w:rPr>
              <w:fldChar w:fldCharType="end"/>
            </w:r>
          </w:hyperlink>
        </w:p>
        <w:p w14:paraId="3CF06054" w14:textId="77777777" w:rsidR="004D060B" w:rsidRDefault="00366ADF">
          <w:pPr>
            <w:pStyle w:val="TOC3"/>
            <w:rPr>
              <w:rFonts w:asciiTheme="minorHAnsi" w:eastAsiaTheme="minorEastAsia" w:hAnsiTheme="minorHAnsi" w:cstheme="minorBidi"/>
              <w:szCs w:val="22"/>
            </w:rPr>
          </w:pPr>
          <w:hyperlink w:anchor="_Toc415660923" w:history="1">
            <w:r w:rsidR="004D060B" w:rsidRPr="00510B41">
              <w:rPr>
                <w:rStyle w:val="Hyperlink"/>
              </w:rPr>
              <w:t>6.5.1</w:t>
            </w:r>
            <w:r w:rsidR="004D060B">
              <w:rPr>
                <w:rFonts w:asciiTheme="minorHAnsi" w:eastAsiaTheme="minorEastAsia" w:hAnsiTheme="minorHAnsi" w:cstheme="minorBidi"/>
                <w:szCs w:val="22"/>
              </w:rPr>
              <w:tab/>
            </w:r>
            <w:r w:rsidR="004D060B" w:rsidRPr="00510B41">
              <w:rPr>
                <w:rStyle w:val="Hyperlink"/>
              </w:rPr>
              <w:t>Ongoing process improvements</w:t>
            </w:r>
            <w:r w:rsidR="004D060B">
              <w:rPr>
                <w:webHidden/>
              </w:rPr>
              <w:tab/>
            </w:r>
            <w:r w:rsidR="004D060B">
              <w:rPr>
                <w:webHidden/>
              </w:rPr>
              <w:fldChar w:fldCharType="begin"/>
            </w:r>
            <w:r w:rsidR="004D060B">
              <w:rPr>
                <w:webHidden/>
              </w:rPr>
              <w:instrText xml:space="preserve"> PAGEREF _Toc415660923 \h </w:instrText>
            </w:r>
            <w:r w:rsidR="004D060B">
              <w:rPr>
                <w:webHidden/>
              </w:rPr>
            </w:r>
            <w:r w:rsidR="004D060B">
              <w:rPr>
                <w:webHidden/>
              </w:rPr>
              <w:fldChar w:fldCharType="separate"/>
            </w:r>
            <w:r w:rsidR="004D060B">
              <w:rPr>
                <w:webHidden/>
              </w:rPr>
              <w:t>91</w:t>
            </w:r>
            <w:r w:rsidR="004D060B">
              <w:rPr>
                <w:webHidden/>
              </w:rPr>
              <w:fldChar w:fldCharType="end"/>
            </w:r>
          </w:hyperlink>
        </w:p>
        <w:p w14:paraId="6CAC5E24" w14:textId="77777777" w:rsidR="004D060B" w:rsidRDefault="00366ADF">
          <w:pPr>
            <w:pStyle w:val="TOC3"/>
            <w:rPr>
              <w:rFonts w:asciiTheme="minorHAnsi" w:eastAsiaTheme="minorEastAsia" w:hAnsiTheme="minorHAnsi" w:cstheme="minorBidi"/>
              <w:szCs w:val="22"/>
            </w:rPr>
          </w:pPr>
          <w:hyperlink w:anchor="_Toc415660924" w:history="1">
            <w:r w:rsidR="004D060B" w:rsidRPr="00510B41">
              <w:rPr>
                <w:rStyle w:val="Hyperlink"/>
              </w:rPr>
              <w:t>6.5.2</w:t>
            </w:r>
            <w:r w:rsidR="004D060B">
              <w:rPr>
                <w:rFonts w:asciiTheme="minorHAnsi" w:eastAsiaTheme="minorEastAsia" w:hAnsiTheme="minorHAnsi" w:cstheme="minorBidi"/>
                <w:szCs w:val="22"/>
              </w:rPr>
              <w:tab/>
            </w:r>
            <w:r w:rsidR="004D060B" w:rsidRPr="00510B41">
              <w:rPr>
                <w:rStyle w:val="Hyperlink"/>
              </w:rPr>
              <w:t>Closing data gaps</w:t>
            </w:r>
            <w:r w:rsidR="004D060B">
              <w:rPr>
                <w:webHidden/>
              </w:rPr>
              <w:tab/>
            </w:r>
            <w:r w:rsidR="004D060B">
              <w:rPr>
                <w:webHidden/>
              </w:rPr>
              <w:fldChar w:fldCharType="begin"/>
            </w:r>
            <w:r w:rsidR="004D060B">
              <w:rPr>
                <w:webHidden/>
              </w:rPr>
              <w:instrText xml:space="preserve"> PAGEREF _Toc415660924 \h </w:instrText>
            </w:r>
            <w:r w:rsidR="004D060B">
              <w:rPr>
                <w:webHidden/>
              </w:rPr>
            </w:r>
            <w:r w:rsidR="004D060B">
              <w:rPr>
                <w:webHidden/>
              </w:rPr>
              <w:fldChar w:fldCharType="separate"/>
            </w:r>
            <w:r w:rsidR="004D060B">
              <w:rPr>
                <w:webHidden/>
              </w:rPr>
              <w:t>92</w:t>
            </w:r>
            <w:r w:rsidR="004D060B">
              <w:rPr>
                <w:webHidden/>
              </w:rPr>
              <w:fldChar w:fldCharType="end"/>
            </w:r>
          </w:hyperlink>
        </w:p>
        <w:p w14:paraId="2BA46CF0" w14:textId="77777777" w:rsidR="004D060B" w:rsidRDefault="00366ADF">
          <w:pPr>
            <w:pStyle w:val="TOC1"/>
            <w:rPr>
              <w:rFonts w:asciiTheme="minorHAnsi" w:eastAsiaTheme="minorEastAsia" w:hAnsiTheme="minorHAnsi" w:cstheme="minorBidi"/>
              <w:b w:val="0"/>
              <w:color w:val="auto"/>
            </w:rPr>
          </w:pPr>
          <w:hyperlink w:anchor="_Toc415660925" w:history="1">
            <w:r w:rsidR="004D060B" w:rsidRPr="00510B41">
              <w:rPr>
                <w:rStyle w:val="Hyperlink"/>
              </w:rPr>
              <w:t>7</w:t>
            </w:r>
            <w:r w:rsidR="004D060B">
              <w:rPr>
                <w:rFonts w:asciiTheme="minorHAnsi" w:eastAsiaTheme="minorEastAsia" w:hAnsiTheme="minorHAnsi" w:cstheme="minorBidi"/>
                <w:b w:val="0"/>
                <w:color w:val="auto"/>
              </w:rPr>
              <w:tab/>
            </w:r>
            <w:r w:rsidR="004D060B" w:rsidRPr="00510B41">
              <w:rPr>
                <w:rStyle w:val="Hyperlink"/>
              </w:rPr>
              <w:t>Summary of key findings from the review</w:t>
            </w:r>
            <w:r w:rsidR="004D060B">
              <w:rPr>
                <w:webHidden/>
              </w:rPr>
              <w:tab/>
            </w:r>
            <w:r w:rsidR="004D060B">
              <w:rPr>
                <w:webHidden/>
              </w:rPr>
              <w:fldChar w:fldCharType="begin"/>
            </w:r>
            <w:r w:rsidR="004D060B">
              <w:rPr>
                <w:webHidden/>
              </w:rPr>
              <w:instrText xml:space="preserve"> PAGEREF _Toc415660925 \h </w:instrText>
            </w:r>
            <w:r w:rsidR="004D060B">
              <w:rPr>
                <w:webHidden/>
              </w:rPr>
            </w:r>
            <w:r w:rsidR="004D060B">
              <w:rPr>
                <w:webHidden/>
              </w:rPr>
              <w:fldChar w:fldCharType="separate"/>
            </w:r>
            <w:r w:rsidR="004D060B">
              <w:rPr>
                <w:webHidden/>
              </w:rPr>
              <w:t>93</w:t>
            </w:r>
            <w:r w:rsidR="004D060B">
              <w:rPr>
                <w:webHidden/>
              </w:rPr>
              <w:fldChar w:fldCharType="end"/>
            </w:r>
          </w:hyperlink>
        </w:p>
        <w:p w14:paraId="5DF3EF5A" w14:textId="77777777" w:rsidR="004D060B" w:rsidRDefault="00366ADF">
          <w:pPr>
            <w:pStyle w:val="TOC2"/>
            <w:rPr>
              <w:rFonts w:asciiTheme="minorHAnsi" w:eastAsiaTheme="minorEastAsia" w:hAnsiTheme="minorHAnsi" w:cstheme="minorBidi"/>
              <w:szCs w:val="22"/>
            </w:rPr>
          </w:pPr>
          <w:hyperlink w:anchor="_Toc415660926" w:history="1">
            <w:r w:rsidR="004D060B" w:rsidRPr="00510B41">
              <w:rPr>
                <w:rStyle w:val="Hyperlink"/>
              </w:rPr>
              <w:t>7.1</w:t>
            </w:r>
            <w:r w:rsidR="004D060B">
              <w:rPr>
                <w:rFonts w:asciiTheme="minorHAnsi" w:eastAsiaTheme="minorEastAsia" w:hAnsiTheme="minorHAnsi" w:cstheme="minorBidi"/>
                <w:szCs w:val="22"/>
              </w:rPr>
              <w:tab/>
            </w:r>
            <w:r w:rsidR="004D060B" w:rsidRPr="00510B41">
              <w:rPr>
                <w:rStyle w:val="Hyperlink"/>
              </w:rPr>
              <w:t>Impacts of the program to date</w:t>
            </w:r>
            <w:r w:rsidR="004D060B">
              <w:rPr>
                <w:webHidden/>
              </w:rPr>
              <w:tab/>
            </w:r>
            <w:r w:rsidR="004D060B">
              <w:rPr>
                <w:webHidden/>
              </w:rPr>
              <w:fldChar w:fldCharType="begin"/>
            </w:r>
            <w:r w:rsidR="004D060B">
              <w:rPr>
                <w:webHidden/>
              </w:rPr>
              <w:instrText xml:space="preserve"> PAGEREF _Toc415660926 \h </w:instrText>
            </w:r>
            <w:r w:rsidR="004D060B">
              <w:rPr>
                <w:webHidden/>
              </w:rPr>
            </w:r>
            <w:r w:rsidR="004D060B">
              <w:rPr>
                <w:webHidden/>
              </w:rPr>
              <w:fldChar w:fldCharType="separate"/>
            </w:r>
            <w:r w:rsidR="004D060B">
              <w:rPr>
                <w:webHidden/>
              </w:rPr>
              <w:t>93</w:t>
            </w:r>
            <w:r w:rsidR="004D060B">
              <w:rPr>
                <w:webHidden/>
              </w:rPr>
              <w:fldChar w:fldCharType="end"/>
            </w:r>
          </w:hyperlink>
        </w:p>
        <w:p w14:paraId="72324A6D" w14:textId="77777777" w:rsidR="004D060B" w:rsidRDefault="00366ADF">
          <w:pPr>
            <w:pStyle w:val="TOC3"/>
            <w:rPr>
              <w:rFonts w:asciiTheme="minorHAnsi" w:eastAsiaTheme="minorEastAsia" w:hAnsiTheme="minorHAnsi" w:cstheme="minorBidi"/>
              <w:szCs w:val="22"/>
            </w:rPr>
          </w:pPr>
          <w:hyperlink w:anchor="_Toc415660927" w:history="1">
            <w:r w:rsidR="004D060B" w:rsidRPr="00510B41">
              <w:rPr>
                <w:rStyle w:val="Hyperlink"/>
              </w:rPr>
              <w:t>7.1.1</w:t>
            </w:r>
            <w:r w:rsidR="004D060B">
              <w:rPr>
                <w:rFonts w:asciiTheme="minorHAnsi" w:eastAsiaTheme="minorEastAsia" w:hAnsiTheme="minorHAnsi" w:cstheme="minorBidi"/>
                <w:szCs w:val="22"/>
              </w:rPr>
              <w:tab/>
            </w:r>
            <w:r w:rsidR="004D060B" w:rsidRPr="00510B41">
              <w:rPr>
                <w:rStyle w:val="Hyperlink"/>
              </w:rPr>
              <w:t>Appropriateness of the CBD program</w:t>
            </w:r>
            <w:r w:rsidR="004D060B">
              <w:rPr>
                <w:webHidden/>
              </w:rPr>
              <w:tab/>
            </w:r>
            <w:r w:rsidR="004D060B">
              <w:rPr>
                <w:webHidden/>
              </w:rPr>
              <w:fldChar w:fldCharType="begin"/>
            </w:r>
            <w:r w:rsidR="004D060B">
              <w:rPr>
                <w:webHidden/>
              </w:rPr>
              <w:instrText xml:space="preserve"> PAGEREF _Toc415660927 \h </w:instrText>
            </w:r>
            <w:r w:rsidR="004D060B">
              <w:rPr>
                <w:webHidden/>
              </w:rPr>
            </w:r>
            <w:r w:rsidR="004D060B">
              <w:rPr>
                <w:webHidden/>
              </w:rPr>
              <w:fldChar w:fldCharType="separate"/>
            </w:r>
            <w:r w:rsidR="004D060B">
              <w:rPr>
                <w:webHidden/>
              </w:rPr>
              <w:t>93</w:t>
            </w:r>
            <w:r w:rsidR="004D060B">
              <w:rPr>
                <w:webHidden/>
              </w:rPr>
              <w:fldChar w:fldCharType="end"/>
            </w:r>
          </w:hyperlink>
        </w:p>
        <w:p w14:paraId="0E5E25AC" w14:textId="77777777" w:rsidR="004D060B" w:rsidRDefault="00366ADF">
          <w:pPr>
            <w:pStyle w:val="TOC3"/>
            <w:rPr>
              <w:rFonts w:asciiTheme="minorHAnsi" w:eastAsiaTheme="minorEastAsia" w:hAnsiTheme="minorHAnsi" w:cstheme="minorBidi"/>
              <w:szCs w:val="22"/>
            </w:rPr>
          </w:pPr>
          <w:hyperlink w:anchor="_Toc415660928" w:history="1">
            <w:r w:rsidR="004D060B" w:rsidRPr="00510B41">
              <w:rPr>
                <w:rStyle w:val="Hyperlink"/>
              </w:rPr>
              <w:t>7.1.2</w:t>
            </w:r>
            <w:r w:rsidR="004D060B">
              <w:rPr>
                <w:rFonts w:asciiTheme="minorHAnsi" w:eastAsiaTheme="minorEastAsia" w:hAnsiTheme="minorHAnsi" w:cstheme="minorBidi"/>
                <w:szCs w:val="22"/>
              </w:rPr>
              <w:tab/>
            </w:r>
            <w:r w:rsidR="004D060B" w:rsidRPr="00510B41">
              <w:rPr>
                <w:rStyle w:val="Hyperlink"/>
              </w:rPr>
              <w:t>Effectiveness of the CBD program</w:t>
            </w:r>
            <w:r w:rsidR="004D060B">
              <w:rPr>
                <w:webHidden/>
              </w:rPr>
              <w:tab/>
            </w:r>
            <w:r w:rsidR="004D060B">
              <w:rPr>
                <w:webHidden/>
              </w:rPr>
              <w:fldChar w:fldCharType="begin"/>
            </w:r>
            <w:r w:rsidR="004D060B">
              <w:rPr>
                <w:webHidden/>
              </w:rPr>
              <w:instrText xml:space="preserve"> PAGEREF _Toc415660928 \h </w:instrText>
            </w:r>
            <w:r w:rsidR="004D060B">
              <w:rPr>
                <w:webHidden/>
              </w:rPr>
            </w:r>
            <w:r w:rsidR="004D060B">
              <w:rPr>
                <w:webHidden/>
              </w:rPr>
              <w:fldChar w:fldCharType="separate"/>
            </w:r>
            <w:r w:rsidR="004D060B">
              <w:rPr>
                <w:webHidden/>
              </w:rPr>
              <w:t>93</w:t>
            </w:r>
            <w:r w:rsidR="004D060B">
              <w:rPr>
                <w:webHidden/>
              </w:rPr>
              <w:fldChar w:fldCharType="end"/>
            </w:r>
          </w:hyperlink>
        </w:p>
        <w:p w14:paraId="4CD7E484" w14:textId="77777777" w:rsidR="004D060B" w:rsidRDefault="00366ADF">
          <w:pPr>
            <w:pStyle w:val="TOC3"/>
            <w:rPr>
              <w:rFonts w:asciiTheme="minorHAnsi" w:eastAsiaTheme="minorEastAsia" w:hAnsiTheme="minorHAnsi" w:cstheme="minorBidi"/>
              <w:szCs w:val="22"/>
            </w:rPr>
          </w:pPr>
          <w:hyperlink w:anchor="_Toc415660929" w:history="1">
            <w:r w:rsidR="004D060B" w:rsidRPr="00510B41">
              <w:rPr>
                <w:rStyle w:val="Hyperlink"/>
              </w:rPr>
              <w:t>7.1.3</w:t>
            </w:r>
            <w:r w:rsidR="004D060B">
              <w:rPr>
                <w:rFonts w:asciiTheme="minorHAnsi" w:eastAsiaTheme="minorEastAsia" w:hAnsiTheme="minorHAnsi" w:cstheme="minorBidi"/>
                <w:szCs w:val="22"/>
              </w:rPr>
              <w:tab/>
            </w:r>
            <w:r w:rsidR="004D060B" w:rsidRPr="00510B41">
              <w:rPr>
                <w:rStyle w:val="Hyperlink"/>
              </w:rPr>
              <w:t>Interactions with other energy efficiency programs</w:t>
            </w:r>
            <w:r w:rsidR="004D060B">
              <w:rPr>
                <w:webHidden/>
              </w:rPr>
              <w:tab/>
            </w:r>
            <w:r w:rsidR="004D060B">
              <w:rPr>
                <w:webHidden/>
              </w:rPr>
              <w:fldChar w:fldCharType="begin"/>
            </w:r>
            <w:r w:rsidR="004D060B">
              <w:rPr>
                <w:webHidden/>
              </w:rPr>
              <w:instrText xml:space="preserve"> PAGEREF _Toc415660929 \h </w:instrText>
            </w:r>
            <w:r w:rsidR="004D060B">
              <w:rPr>
                <w:webHidden/>
              </w:rPr>
            </w:r>
            <w:r w:rsidR="004D060B">
              <w:rPr>
                <w:webHidden/>
              </w:rPr>
              <w:fldChar w:fldCharType="separate"/>
            </w:r>
            <w:r w:rsidR="004D060B">
              <w:rPr>
                <w:webHidden/>
              </w:rPr>
              <w:t>94</w:t>
            </w:r>
            <w:r w:rsidR="004D060B">
              <w:rPr>
                <w:webHidden/>
              </w:rPr>
              <w:fldChar w:fldCharType="end"/>
            </w:r>
          </w:hyperlink>
        </w:p>
        <w:p w14:paraId="11667C2A" w14:textId="77777777" w:rsidR="004D060B" w:rsidRDefault="00366ADF">
          <w:pPr>
            <w:pStyle w:val="TOC2"/>
            <w:rPr>
              <w:rFonts w:asciiTheme="minorHAnsi" w:eastAsiaTheme="minorEastAsia" w:hAnsiTheme="minorHAnsi" w:cstheme="minorBidi"/>
              <w:szCs w:val="22"/>
            </w:rPr>
          </w:pPr>
          <w:hyperlink w:anchor="_Toc415660930" w:history="1">
            <w:r w:rsidR="004D060B" w:rsidRPr="00510B41">
              <w:rPr>
                <w:rStyle w:val="Hyperlink"/>
              </w:rPr>
              <w:t>7.2</w:t>
            </w:r>
            <w:r w:rsidR="004D060B">
              <w:rPr>
                <w:rFonts w:asciiTheme="minorHAnsi" w:eastAsiaTheme="minorEastAsia" w:hAnsiTheme="minorHAnsi" w:cstheme="minorBidi"/>
                <w:szCs w:val="22"/>
              </w:rPr>
              <w:tab/>
            </w:r>
            <w:r w:rsidR="004D060B" w:rsidRPr="00510B41">
              <w:rPr>
                <w:rStyle w:val="Hyperlink"/>
              </w:rPr>
              <w:t>Likely impacts of continuing the program</w:t>
            </w:r>
            <w:r w:rsidR="004D060B">
              <w:rPr>
                <w:webHidden/>
              </w:rPr>
              <w:tab/>
            </w:r>
            <w:r w:rsidR="004D060B">
              <w:rPr>
                <w:webHidden/>
              </w:rPr>
              <w:fldChar w:fldCharType="begin"/>
            </w:r>
            <w:r w:rsidR="004D060B">
              <w:rPr>
                <w:webHidden/>
              </w:rPr>
              <w:instrText xml:space="preserve"> PAGEREF _Toc415660930 \h </w:instrText>
            </w:r>
            <w:r w:rsidR="004D060B">
              <w:rPr>
                <w:webHidden/>
              </w:rPr>
            </w:r>
            <w:r w:rsidR="004D060B">
              <w:rPr>
                <w:webHidden/>
              </w:rPr>
              <w:fldChar w:fldCharType="separate"/>
            </w:r>
            <w:r w:rsidR="004D060B">
              <w:rPr>
                <w:webHidden/>
              </w:rPr>
              <w:t>94</w:t>
            </w:r>
            <w:r w:rsidR="004D060B">
              <w:rPr>
                <w:webHidden/>
              </w:rPr>
              <w:fldChar w:fldCharType="end"/>
            </w:r>
          </w:hyperlink>
        </w:p>
        <w:p w14:paraId="23B6136D" w14:textId="77777777" w:rsidR="004D060B" w:rsidRDefault="00366ADF">
          <w:pPr>
            <w:pStyle w:val="TOC3"/>
            <w:rPr>
              <w:rFonts w:asciiTheme="minorHAnsi" w:eastAsiaTheme="minorEastAsia" w:hAnsiTheme="minorHAnsi" w:cstheme="minorBidi"/>
              <w:szCs w:val="22"/>
            </w:rPr>
          </w:pPr>
          <w:hyperlink w:anchor="_Toc415660931" w:history="1">
            <w:r w:rsidR="004D060B" w:rsidRPr="00510B41">
              <w:rPr>
                <w:rStyle w:val="Hyperlink"/>
              </w:rPr>
              <w:t>7.2.1</w:t>
            </w:r>
            <w:r w:rsidR="004D060B">
              <w:rPr>
                <w:rFonts w:asciiTheme="minorHAnsi" w:eastAsiaTheme="minorEastAsia" w:hAnsiTheme="minorHAnsi" w:cstheme="minorBidi"/>
                <w:szCs w:val="22"/>
              </w:rPr>
              <w:tab/>
            </w:r>
            <w:r w:rsidR="004D060B" w:rsidRPr="00510B41">
              <w:rPr>
                <w:rStyle w:val="Hyperlink"/>
              </w:rPr>
              <w:t>NABERS</w:t>
            </w:r>
            <w:r w:rsidR="004D060B">
              <w:rPr>
                <w:webHidden/>
              </w:rPr>
              <w:tab/>
            </w:r>
            <w:r w:rsidR="004D060B">
              <w:rPr>
                <w:webHidden/>
              </w:rPr>
              <w:fldChar w:fldCharType="begin"/>
            </w:r>
            <w:r w:rsidR="004D060B">
              <w:rPr>
                <w:webHidden/>
              </w:rPr>
              <w:instrText xml:space="preserve"> PAGEREF _Toc415660931 \h </w:instrText>
            </w:r>
            <w:r w:rsidR="004D060B">
              <w:rPr>
                <w:webHidden/>
              </w:rPr>
            </w:r>
            <w:r w:rsidR="004D060B">
              <w:rPr>
                <w:webHidden/>
              </w:rPr>
              <w:fldChar w:fldCharType="separate"/>
            </w:r>
            <w:r w:rsidR="004D060B">
              <w:rPr>
                <w:webHidden/>
              </w:rPr>
              <w:t>94</w:t>
            </w:r>
            <w:r w:rsidR="004D060B">
              <w:rPr>
                <w:webHidden/>
              </w:rPr>
              <w:fldChar w:fldCharType="end"/>
            </w:r>
          </w:hyperlink>
        </w:p>
        <w:p w14:paraId="1B1410F8" w14:textId="77777777" w:rsidR="004D060B" w:rsidRDefault="00366ADF">
          <w:pPr>
            <w:pStyle w:val="TOC3"/>
            <w:rPr>
              <w:rFonts w:asciiTheme="minorHAnsi" w:eastAsiaTheme="minorEastAsia" w:hAnsiTheme="minorHAnsi" w:cstheme="minorBidi"/>
              <w:szCs w:val="22"/>
            </w:rPr>
          </w:pPr>
          <w:hyperlink w:anchor="_Toc415660932" w:history="1">
            <w:r w:rsidR="004D060B" w:rsidRPr="00510B41">
              <w:rPr>
                <w:rStyle w:val="Hyperlink"/>
              </w:rPr>
              <w:t>7.2.2</w:t>
            </w:r>
            <w:r w:rsidR="004D060B">
              <w:rPr>
                <w:rFonts w:asciiTheme="minorHAnsi" w:eastAsiaTheme="minorEastAsia" w:hAnsiTheme="minorHAnsi" w:cstheme="minorBidi"/>
                <w:szCs w:val="22"/>
              </w:rPr>
              <w:tab/>
            </w:r>
            <w:r w:rsidR="004D060B" w:rsidRPr="00510B41">
              <w:rPr>
                <w:rStyle w:val="Hyperlink"/>
              </w:rPr>
              <w:t>TLA</w:t>
            </w:r>
            <w:r w:rsidR="004D060B">
              <w:rPr>
                <w:webHidden/>
              </w:rPr>
              <w:tab/>
            </w:r>
            <w:r w:rsidR="004D060B">
              <w:rPr>
                <w:webHidden/>
              </w:rPr>
              <w:fldChar w:fldCharType="begin"/>
            </w:r>
            <w:r w:rsidR="004D060B">
              <w:rPr>
                <w:webHidden/>
              </w:rPr>
              <w:instrText xml:space="preserve"> PAGEREF _Toc415660932 \h </w:instrText>
            </w:r>
            <w:r w:rsidR="004D060B">
              <w:rPr>
                <w:webHidden/>
              </w:rPr>
            </w:r>
            <w:r w:rsidR="004D060B">
              <w:rPr>
                <w:webHidden/>
              </w:rPr>
              <w:fldChar w:fldCharType="separate"/>
            </w:r>
            <w:r w:rsidR="004D060B">
              <w:rPr>
                <w:webHidden/>
              </w:rPr>
              <w:t>94</w:t>
            </w:r>
            <w:r w:rsidR="004D060B">
              <w:rPr>
                <w:webHidden/>
              </w:rPr>
              <w:fldChar w:fldCharType="end"/>
            </w:r>
          </w:hyperlink>
        </w:p>
        <w:p w14:paraId="6BDBC1CC" w14:textId="77777777" w:rsidR="004D060B" w:rsidRDefault="00366ADF">
          <w:pPr>
            <w:pStyle w:val="TOC3"/>
            <w:rPr>
              <w:rFonts w:asciiTheme="minorHAnsi" w:eastAsiaTheme="minorEastAsia" w:hAnsiTheme="minorHAnsi" w:cstheme="minorBidi"/>
              <w:szCs w:val="22"/>
            </w:rPr>
          </w:pPr>
          <w:hyperlink w:anchor="_Toc415660933" w:history="1">
            <w:r w:rsidR="004D060B" w:rsidRPr="00510B41">
              <w:rPr>
                <w:rStyle w:val="Hyperlink"/>
              </w:rPr>
              <w:t>7.2.3</w:t>
            </w:r>
            <w:r w:rsidR="004D060B">
              <w:rPr>
                <w:rFonts w:asciiTheme="minorHAnsi" w:eastAsiaTheme="minorEastAsia" w:hAnsiTheme="minorHAnsi" w:cstheme="minorBidi"/>
                <w:szCs w:val="22"/>
              </w:rPr>
              <w:tab/>
            </w:r>
            <w:r w:rsidR="004D060B" w:rsidRPr="00510B41">
              <w:rPr>
                <w:rStyle w:val="Hyperlink"/>
              </w:rPr>
              <w:t>Energy and GHG reductions</w:t>
            </w:r>
            <w:r w:rsidR="004D060B">
              <w:rPr>
                <w:webHidden/>
              </w:rPr>
              <w:tab/>
            </w:r>
            <w:r w:rsidR="004D060B">
              <w:rPr>
                <w:webHidden/>
              </w:rPr>
              <w:fldChar w:fldCharType="begin"/>
            </w:r>
            <w:r w:rsidR="004D060B">
              <w:rPr>
                <w:webHidden/>
              </w:rPr>
              <w:instrText xml:space="preserve"> PAGEREF _Toc415660933 \h </w:instrText>
            </w:r>
            <w:r w:rsidR="004D060B">
              <w:rPr>
                <w:webHidden/>
              </w:rPr>
            </w:r>
            <w:r w:rsidR="004D060B">
              <w:rPr>
                <w:webHidden/>
              </w:rPr>
              <w:fldChar w:fldCharType="separate"/>
            </w:r>
            <w:r w:rsidR="004D060B">
              <w:rPr>
                <w:webHidden/>
              </w:rPr>
              <w:t>94</w:t>
            </w:r>
            <w:r w:rsidR="004D060B">
              <w:rPr>
                <w:webHidden/>
              </w:rPr>
              <w:fldChar w:fldCharType="end"/>
            </w:r>
          </w:hyperlink>
        </w:p>
        <w:p w14:paraId="68A6A8CA" w14:textId="77777777" w:rsidR="004D060B" w:rsidRDefault="00366ADF">
          <w:pPr>
            <w:pStyle w:val="TOC3"/>
            <w:rPr>
              <w:rFonts w:asciiTheme="minorHAnsi" w:eastAsiaTheme="minorEastAsia" w:hAnsiTheme="minorHAnsi" w:cstheme="minorBidi"/>
              <w:szCs w:val="22"/>
            </w:rPr>
          </w:pPr>
          <w:hyperlink w:anchor="_Toc415660934" w:history="1">
            <w:r w:rsidR="004D060B" w:rsidRPr="00510B41">
              <w:rPr>
                <w:rStyle w:val="Hyperlink"/>
              </w:rPr>
              <w:t>7.2.4</w:t>
            </w:r>
            <w:r w:rsidR="004D060B">
              <w:rPr>
                <w:rFonts w:asciiTheme="minorHAnsi" w:eastAsiaTheme="minorEastAsia" w:hAnsiTheme="minorHAnsi" w:cstheme="minorBidi"/>
                <w:szCs w:val="22"/>
              </w:rPr>
              <w:tab/>
            </w:r>
            <w:r w:rsidR="004D060B" w:rsidRPr="00510B41">
              <w:rPr>
                <w:rStyle w:val="Hyperlink"/>
              </w:rPr>
              <w:t>Interaction with the ERF</w:t>
            </w:r>
            <w:r w:rsidR="004D060B">
              <w:rPr>
                <w:webHidden/>
              </w:rPr>
              <w:tab/>
            </w:r>
            <w:r w:rsidR="004D060B">
              <w:rPr>
                <w:webHidden/>
              </w:rPr>
              <w:fldChar w:fldCharType="begin"/>
            </w:r>
            <w:r w:rsidR="004D060B">
              <w:rPr>
                <w:webHidden/>
              </w:rPr>
              <w:instrText xml:space="preserve"> PAGEREF _Toc415660934 \h </w:instrText>
            </w:r>
            <w:r w:rsidR="004D060B">
              <w:rPr>
                <w:webHidden/>
              </w:rPr>
            </w:r>
            <w:r w:rsidR="004D060B">
              <w:rPr>
                <w:webHidden/>
              </w:rPr>
              <w:fldChar w:fldCharType="separate"/>
            </w:r>
            <w:r w:rsidR="004D060B">
              <w:rPr>
                <w:webHidden/>
              </w:rPr>
              <w:t>95</w:t>
            </w:r>
            <w:r w:rsidR="004D060B">
              <w:rPr>
                <w:webHidden/>
              </w:rPr>
              <w:fldChar w:fldCharType="end"/>
            </w:r>
          </w:hyperlink>
        </w:p>
        <w:p w14:paraId="5CA64CFC" w14:textId="77777777" w:rsidR="004D060B" w:rsidRDefault="00366ADF">
          <w:pPr>
            <w:pStyle w:val="TOC2"/>
            <w:rPr>
              <w:rFonts w:asciiTheme="minorHAnsi" w:eastAsiaTheme="minorEastAsia" w:hAnsiTheme="minorHAnsi" w:cstheme="minorBidi"/>
              <w:szCs w:val="22"/>
            </w:rPr>
          </w:pPr>
          <w:hyperlink w:anchor="_Toc415660935" w:history="1">
            <w:r w:rsidR="004D060B" w:rsidRPr="00510B41">
              <w:rPr>
                <w:rStyle w:val="Hyperlink"/>
              </w:rPr>
              <w:t>7.3</w:t>
            </w:r>
            <w:r w:rsidR="004D060B">
              <w:rPr>
                <w:rFonts w:asciiTheme="minorHAnsi" w:eastAsiaTheme="minorEastAsia" w:hAnsiTheme="minorHAnsi" w:cstheme="minorBidi"/>
                <w:szCs w:val="22"/>
              </w:rPr>
              <w:tab/>
            </w:r>
            <w:r w:rsidR="004D060B" w:rsidRPr="00510B41">
              <w:rPr>
                <w:rStyle w:val="Hyperlink"/>
              </w:rPr>
              <w:t>Potential program changes and improvements</w:t>
            </w:r>
            <w:r w:rsidR="004D060B">
              <w:rPr>
                <w:webHidden/>
              </w:rPr>
              <w:tab/>
            </w:r>
            <w:r w:rsidR="004D060B">
              <w:rPr>
                <w:webHidden/>
              </w:rPr>
              <w:fldChar w:fldCharType="begin"/>
            </w:r>
            <w:r w:rsidR="004D060B">
              <w:rPr>
                <w:webHidden/>
              </w:rPr>
              <w:instrText xml:space="preserve"> PAGEREF _Toc415660935 \h </w:instrText>
            </w:r>
            <w:r w:rsidR="004D060B">
              <w:rPr>
                <w:webHidden/>
              </w:rPr>
            </w:r>
            <w:r w:rsidR="004D060B">
              <w:rPr>
                <w:webHidden/>
              </w:rPr>
              <w:fldChar w:fldCharType="separate"/>
            </w:r>
            <w:r w:rsidR="004D060B">
              <w:rPr>
                <w:webHidden/>
              </w:rPr>
              <w:t>95</w:t>
            </w:r>
            <w:r w:rsidR="004D060B">
              <w:rPr>
                <w:webHidden/>
              </w:rPr>
              <w:fldChar w:fldCharType="end"/>
            </w:r>
          </w:hyperlink>
        </w:p>
        <w:p w14:paraId="72E44632" w14:textId="77777777" w:rsidR="004D060B" w:rsidRDefault="00366ADF">
          <w:pPr>
            <w:pStyle w:val="TOC3"/>
            <w:rPr>
              <w:rFonts w:asciiTheme="minorHAnsi" w:eastAsiaTheme="minorEastAsia" w:hAnsiTheme="minorHAnsi" w:cstheme="minorBidi"/>
              <w:szCs w:val="22"/>
            </w:rPr>
          </w:pPr>
          <w:hyperlink w:anchor="_Toc415660936" w:history="1">
            <w:r w:rsidR="004D060B" w:rsidRPr="00510B41">
              <w:rPr>
                <w:rStyle w:val="Hyperlink"/>
              </w:rPr>
              <w:t>7.3.1</w:t>
            </w:r>
            <w:r w:rsidR="004D060B">
              <w:rPr>
                <w:rFonts w:asciiTheme="minorHAnsi" w:eastAsiaTheme="minorEastAsia" w:hAnsiTheme="minorHAnsi" w:cstheme="minorBidi"/>
                <w:szCs w:val="22"/>
              </w:rPr>
              <w:tab/>
            </w:r>
            <w:r w:rsidR="004D060B" w:rsidRPr="00510B41">
              <w:rPr>
                <w:rStyle w:val="Hyperlink"/>
              </w:rPr>
              <w:t>Extension to smaller buildings</w:t>
            </w:r>
            <w:r w:rsidR="004D060B">
              <w:rPr>
                <w:webHidden/>
              </w:rPr>
              <w:tab/>
            </w:r>
            <w:r w:rsidR="004D060B">
              <w:rPr>
                <w:webHidden/>
              </w:rPr>
              <w:fldChar w:fldCharType="begin"/>
            </w:r>
            <w:r w:rsidR="004D060B">
              <w:rPr>
                <w:webHidden/>
              </w:rPr>
              <w:instrText xml:space="preserve"> PAGEREF _Toc415660936 \h </w:instrText>
            </w:r>
            <w:r w:rsidR="004D060B">
              <w:rPr>
                <w:webHidden/>
              </w:rPr>
            </w:r>
            <w:r w:rsidR="004D060B">
              <w:rPr>
                <w:webHidden/>
              </w:rPr>
              <w:fldChar w:fldCharType="separate"/>
            </w:r>
            <w:r w:rsidR="004D060B">
              <w:rPr>
                <w:webHidden/>
              </w:rPr>
              <w:t>95</w:t>
            </w:r>
            <w:r w:rsidR="004D060B">
              <w:rPr>
                <w:webHidden/>
              </w:rPr>
              <w:fldChar w:fldCharType="end"/>
            </w:r>
          </w:hyperlink>
        </w:p>
        <w:p w14:paraId="3A65E686" w14:textId="77777777" w:rsidR="004D060B" w:rsidRDefault="00366ADF">
          <w:pPr>
            <w:pStyle w:val="TOC3"/>
            <w:rPr>
              <w:rFonts w:asciiTheme="minorHAnsi" w:eastAsiaTheme="minorEastAsia" w:hAnsiTheme="minorHAnsi" w:cstheme="minorBidi"/>
              <w:szCs w:val="22"/>
            </w:rPr>
          </w:pPr>
          <w:hyperlink w:anchor="_Toc415660937" w:history="1">
            <w:r w:rsidR="004D060B" w:rsidRPr="00510B41">
              <w:rPr>
                <w:rStyle w:val="Hyperlink"/>
              </w:rPr>
              <w:t>7.3.2</w:t>
            </w:r>
            <w:r w:rsidR="004D060B">
              <w:rPr>
                <w:rFonts w:asciiTheme="minorHAnsi" w:eastAsiaTheme="minorEastAsia" w:hAnsiTheme="minorHAnsi" w:cstheme="minorBidi"/>
                <w:szCs w:val="22"/>
              </w:rPr>
              <w:tab/>
            </w:r>
            <w:r w:rsidR="004D060B" w:rsidRPr="00510B41">
              <w:rPr>
                <w:rStyle w:val="Hyperlink"/>
              </w:rPr>
              <w:t>Extension to other building types</w:t>
            </w:r>
            <w:r w:rsidR="004D060B">
              <w:rPr>
                <w:webHidden/>
              </w:rPr>
              <w:tab/>
            </w:r>
            <w:r w:rsidR="004D060B">
              <w:rPr>
                <w:webHidden/>
              </w:rPr>
              <w:fldChar w:fldCharType="begin"/>
            </w:r>
            <w:r w:rsidR="004D060B">
              <w:rPr>
                <w:webHidden/>
              </w:rPr>
              <w:instrText xml:space="preserve"> PAGEREF _Toc415660937 \h </w:instrText>
            </w:r>
            <w:r w:rsidR="004D060B">
              <w:rPr>
                <w:webHidden/>
              </w:rPr>
            </w:r>
            <w:r w:rsidR="004D060B">
              <w:rPr>
                <w:webHidden/>
              </w:rPr>
              <w:fldChar w:fldCharType="separate"/>
            </w:r>
            <w:r w:rsidR="004D060B">
              <w:rPr>
                <w:webHidden/>
              </w:rPr>
              <w:t>95</w:t>
            </w:r>
            <w:r w:rsidR="004D060B">
              <w:rPr>
                <w:webHidden/>
              </w:rPr>
              <w:fldChar w:fldCharType="end"/>
            </w:r>
          </w:hyperlink>
        </w:p>
        <w:p w14:paraId="72496DFB" w14:textId="77777777" w:rsidR="004D060B" w:rsidRDefault="00366ADF">
          <w:pPr>
            <w:pStyle w:val="TOC3"/>
            <w:rPr>
              <w:rFonts w:asciiTheme="minorHAnsi" w:eastAsiaTheme="minorEastAsia" w:hAnsiTheme="minorHAnsi" w:cstheme="minorBidi"/>
              <w:szCs w:val="22"/>
            </w:rPr>
          </w:pPr>
          <w:hyperlink w:anchor="_Toc415660938" w:history="1">
            <w:r w:rsidR="004D060B" w:rsidRPr="00510B41">
              <w:rPr>
                <w:rStyle w:val="Hyperlink"/>
              </w:rPr>
              <w:t>7.3.3</w:t>
            </w:r>
            <w:r w:rsidR="004D060B">
              <w:rPr>
                <w:rFonts w:asciiTheme="minorHAnsi" w:eastAsiaTheme="minorEastAsia" w:hAnsiTheme="minorHAnsi" w:cstheme="minorBidi"/>
                <w:szCs w:val="22"/>
              </w:rPr>
              <w:tab/>
            </w:r>
            <w:r w:rsidR="004D060B" w:rsidRPr="00510B41">
              <w:rPr>
                <w:rStyle w:val="Hyperlink"/>
              </w:rPr>
              <w:t>Cost recovery</w:t>
            </w:r>
            <w:r w:rsidR="004D060B">
              <w:rPr>
                <w:webHidden/>
              </w:rPr>
              <w:tab/>
            </w:r>
            <w:r w:rsidR="004D060B">
              <w:rPr>
                <w:webHidden/>
              </w:rPr>
              <w:fldChar w:fldCharType="begin"/>
            </w:r>
            <w:r w:rsidR="004D060B">
              <w:rPr>
                <w:webHidden/>
              </w:rPr>
              <w:instrText xml:space="preserve"> PAGEREF _Toc415660938 \h </w:instrText>
            </w:r>
            <w:r w:rsidR="004D060B">
              <w:rPr>
                <w:webHidden/>
              </w:rPr>
            </w:r>
            <w:r w:rsidR="004D060B">
              <w:rPr>
                <w:webHidden/>
              </w:rPr>
              <w:fldChar w:fldCharType="separate"/>
            </w:r>
            <w:r w:rsidR="004D060B">
              <w:rPr>
                <w:webHidden/>
              </w:rPr>
              <w:t>96</w:t>
            </w:r>
            <w:r w:rsidR="004D060B">
              <w:rPr>
                <w:webHidden/>
              </w:rPr>
              <w:fldChar w:fldCharType="end"/>
            </w:r>
          </w:hyperlink>
        </w:p>
        <w:p w14:paraId="060D2515" w14:textId="77777777" w:rsidR="004D060B" w:rsidRDefault="00366ADF">
          <w:pPr>
            <w:pStyle w:val="TOC3"/>
            <w:rPr>
              <w:rFonts w:asciiTheme="minorHAnsi" w:eastAsiaTheme="minorEastAsia" w:hAnsiTheme="minorHAnsi" w:cstheme="minorBidi"/>
              <w:szCs w:val="22"/>
            </w:rPr>
          </w:pPr>
          <w:hyperlink w:anchor="_Toc415660939" w:history="1">
            <w:r w:rsidR="004D060B" w:rsidRPr="00510B41">
              <w:rPr>
                <w:rStyle w:val="Hyperlink"/>
              </w:rPr>
              <w:t>7.3.4</w:t>
            </w:r>
            <w:r w:rsidR="004D060B">
              <w:rPr>
                <w:rFonts w:asciiTheme="minorHAnsi" w:eastAsiaTheme="minorEastAsia" w:hAnsiTheme="minorHAnsi" w:cstheme="minorBidi"/>
                <w:szCs w:val="22"/>
              </w:rPr>
              <w:tab/>
            </w:r>
            <w:r w:rsidR="004D060B" w:rsidRPr="00510B41">
              <w:rPr>
                <w:rStyle w:val="Hyperlink"/>
              </w:rPr>
              <w:t>Changes to the TLA</w:t>
            </w:r>
            <w:r w:rsidR="004D060B">
              <w:rPr>
                <w:webHidden/>
              </w:rPr>
              <w:tab/>
            </w:r>
            <w:r w:rsidR="004D060B">
              <w:rPr>
                <w:webHidden/>
              </w:rPr>
              <w:fldChar w:fldCharType="begin"/>
            </w:r>
            <w:r w:rsidR="004D060B">
              <w:rPr>
                <w:webHidden/>
              </w:rPr>
              <w:instrText xml:space="preserve"> PAGEREF _Toc415660939 \h </w:instrText>
            </w:r>
            <w:r w:rsidR="004D060B">
              <w:rPr>
                <w:webHidden/>
              </w:rPr>
            </w:r>
            <w:r w:rsidR="004D060B">
              <w:rPr>
                <w:webHidden/>
              </w:rPr>
              <w:fldChar w:fldCharType="separate"/>
            </w:r>
            <w:r w:rsidR="004D060B">
              <w:rPr>
                <w:webHidden/>
              </w:rPr>
              <w:t>96</w:t>
            </w:r>
            <w:r w:rsidR="004D060B">
              <w:rPr>
                <w:webHidden/>
              </w:rPr>
              <w:fldChar w:fldCharType="end"/>
            </w:r>
          </w:hyperlink>
        </w:p>
        <w:p w14:paraId="41544383" w14:textId="77777777" w:rsidR="004D060B" w:rsidRDefault="00366ADF">
          <w:pPr>
            <w:pStyle w:val="TOC3"/>
            <w:rPr>
              <w:rFonts w:asciiTheme="minorHAnsi" w:eastAsiaTheme="minorEastAsia" w:hAnsiTheme="minorHAnsi" w:cstheme="minorBidi"/>
              <w:szCs w:val="22"/>
            </w:rPr>
          </w:pPr>
          <w:hyperlink w:anchor="_Toc415660940" w:history="1">
            <w:r w:rsidR="004D060B" w:rsidRPr="00510B41">
              <w:rPr>
                <w:rStyle w:val="Hyperlink"/>
              </w:rPr>
              <w:t>7.3.5</w:t>
            </w:r>
            <w:r w:rsidR="004D060B">
              <w:rPr>
                <w:rFonts w:asciiTheme="minorHAnsi" w:eastAsiaTheme="minorEastAsia" w:hAnsiTheme="minorHAnsi" w:cstheme="minorBidi"/>
                <w:szCs w:val="22"/>
              </w:rPr>
              <w:tab/>
            </w:r>
            <w:r w:rsidR="004D060B" w:rsidRPr="00510B41">
              <w:rPr>
                <w:rStyle w:val="Hyperlink"/>
              </w:rPr>
              <w:t>Ongoing process improvements</w:t>
            </w:r>
            <w:r w:rsidR="004D060B">
              <w:rPr>
                <w:webHidden/>
              </w:rPr>
              <w:tab/>
            </w:r>
            <w:r w:rsidR="004D060B">
              <w:rPr>
                <w:webHidden/>
              </w:rPr>
              <w:fldChar w:fldCharType="begin"/>
            </w:r>
            <w:r w:rsidR="004D060B">
              <w:rPr>
                <w:webHidden/>
              </w:rPr>
              <w:instrText xml:space="preserve"> PAGEREF _Toc415660940 \h </w:instrText>
            </w:r>
            <w:r w:rsidR="004D060B">
              <w:rPr>
                <w:webHidden/>
              </w:rPr>
            </w:r>
            <w:r w:rsidR="004D060B">
              <w:rPr>
                <w:webHidden/>
              </w:rPr>
              <w:fldChar w:fldCharType="separate"/>
            </w:r>
            <w:r w:rsidR="004D060B">
              <w:rPr>
                <w:webHidden/>
              </w:rPr>
              <w:t>96</w:t>
            </w:r>
            <w:r w:rsidR="004D060B">
              <w:rPr>
                <w:webHidden/>
              </w:rPr>
              <w:fldChar w:fldCharType="end"/>
            </w:r>
          </w:hyperlink>
        </w:p>
        <w:p w14:paraId="58AECADC" w14:textId="77777777" w:rsidR="004D060B" w:rsidRDefault="00366ADF">
          <w:pPr>
            <w:pStyle w:val="TOC3"/>
            <w:rPr>
              <w:rFonts w:asciiTheme="minorHAnsi" w:eastAsiaTheme="minorEastAsia" w:hAnsiTheme="minorHAnsi" w:cstheme="minorBidi"/>
              <w:szCs w:val="22"/>
            </w:rPr>
          </w:pPr>
          <w:hyperlink w:anchor="_Toc415660941" w:history="1">
            <w:r w:rsidR="004D060B" w:rsidRPr="00510B41">
              <w:rPr>
                <w:rStyle w:val="Hyperlink"/>
              </w:rPr>
              <w:t>7.3.6</w:t>
            </w:r>
            <w:r w:rsidR="004D060B">
              <w:rPr>
                <w:rFonts w:asciiTheme="minorHAnsi" w:eastAsiaTheme="minorEastAsia" w:hAnsiTheme="minorHAnsi" w:cstheme="minorBidi"/>
                <w:szCs w:val="22"/>
              </w:rPr>
              <w:tab/>
            </w:r>
            <w:r w:rsidR="004D060B" w:rsidRPr="00510B41">
              <w:rPr>
                <w:rStyle w:val="Hyperlink"/>
              </w:rPr>
              <w:t>Closing data gaps</w:t>
            </w:r>
            <w:r w:rsidR="004D060B">
              <w:rPr>
                <w:webHidden/>
              </w:rPr>
              <w:tab/>
            </w:r>
            <w:r w:rsidR="004D060B">
              <w:rPr>
                <w:webHidden/>
              </w:rPr>
              <w:fldChar w:fldCharType="begin"/>
            </w:r>
            <w:r w:rsidR="004D060B">
              <w:rPr>
                <w:webHidden/>
              </w:rPr>
              <w:instrText xml:space="preserve"> PAGEREF _Toc415660941 \h </w:instrText>
            </w:r>
            <w:r w:rsidR="004D060B">
              <w:rPr>
                <w:webHidden/>
              </w:rPr>
            </w:r>
            <w:r w:rsidR="004D060B">
              <w:rPr>
                <w:webHidden/>
              </w:rPr>
              <w:fldChar w:fldCharType="separate"/>
            </w:r>
            <w:r w:rsidR="004D060B">
              <w:rPr>
                <w:webHidden/>
              </w:rPr>
              <w:t>97</w:t>
            </w:r>
            <w:r w:rsidR="004D060B">
              <w:rPr>
                <w:webHidden/>
              </w:rPr>
              <w:fldChar w:fldCharType="end"/>
            </w:r>
          </w:hyperlink>
        </w:p>
        <w:p w14:paraId="44A944B2" w14:textId="77777777" w:rsidR="004D060B" w:rsidRDefault="00366ADF">
          <w:pPr>
            <w:pStyle w:val="TOC1"/>
            <w:rPr>
              <w:rFonts w:asciiTheme="minorHAnsi" w:eastAsiaTheme="minorEastAsia" w:hAnsiTheme="minorHAnsi" w:cstheme="minorBidi"/>
              <w:b w:val="0"/>
              <w:color w:val="auto"/>
            </w:rPr>
          </w:pPr>
          <w:hyperlink w:anchor="_Toc415660942" w:history="1">
            <w:r w:rsidR="004D060B" w:rsidRPr="00510B41">
              <w:rPr>
                <w:rStyle w:val="Hyperlink"/>
              </w:rPr>
              <w:t>8</w:t>
            </w:r>
            <w:r w:rsidR="004D060B">
              <w:rPr>
                <w:rFonts w:asciiTheme="minorHAnsi" w:eastAsiaTheme="minorEastAsia" w:hAnsiTheme="minorHAnsi" w:cstheme="minorBidi"/>
                <w:b w:val="0"/>
                <w:color w:val="auto"/>
              </w:rPr>
              <w:tab/>
            </w:r>
            <w:r w:rsidR="004D060B" w:rsidRPr="00510B41">
              <w:rPr>
                <w:rStyle w:val="Hyperlink"/>
              </w:rPr>
              <w:t>References</w:t>
            </w:r>
            <w:r w:rsidR="004D060B">
              <w:rPr>
                <w:webHidden/>
              </w:rPr>
              <w:tab/>
            </w:r>
            <w:r w:rsidR="004D060B">
              <w:rPr>
                <w:webHidden/>
              </w:rPr>
              <w:fldChar w:fldCharType="begin"/>
            </w:r>
            <w:r w:rsidR="004D060B">
              <w:rPr>
                <w:webHidden/>
              </w:rPr>
              <w:instrText xml:space="preserve"> PAGEREF _Toc415660942 \h </w:instrText>
            </w:r>
            <w:r w:rsidR="004D060B">
              <w:rPr>
                <w:webHidden/>
              </w:rPr>
            </w:r>
            <w:r w:rsidR="004D060B">
              <w:rPr>
                <w:webHidden/>
              </w:rPr>
              <w:fldChar w:fldCharType="separate"/>
            </w:r>
            <w:r w:rsidR="004D060B">
              <w:rPr>
                <w:webHidden/>
              </w:rPr>
              <w:t>99</w:t>
            </w:r>
            <w:r w:rsidR="004D060B">
              <w:rPr>
                <w:webHidden/>
              </w:rPr>
              <w:fldChar w:fldCharType="end"/>
            </w:r>
          </w:hyperlink>
        </w:p>
        <w:p w14:paraId="7A583BF9" w14:textId="77777777" w:rsidR="00F062BA" w:rsidRPr="00F370F2" w:rsidRDefault="00492194" w:rsidP="005609B3">
          <w:r>
            <w:fldChar w:fldCharType="end"/>
          </w:r>
        </w:p>
      </w:sdtContent>
    </w:sdt>
    <w:p w14:paraId="2601C056" w14:textId="77777777" w:rsidR="00F062BA" w:rsidRPr="00F370F2" w:rsidRDefault="00F062BA" w:rsidP="005609B3"/>
    <w:p w14:paraId="43497E6A" w14:textId="77777777" w:rsidR="00535216" w:rsidRDefault="00492194">
      <w:pPr>
        <w:pStyle w:val="TOC7"/>
        <w:rPr>
          <w:rFonts w:asciiTheme="minorHAnsi" w:eastAsiaTheme="minorEastAsia" w:hAnsiTheme="minorHAnsi" w:cstheme="minorBidi"/>
          <w:szCs w:val="22"/>
          <w:lang w:eastAsia="en-AU"/>
        </w:rPr>
      </w:pPr>
      <w:r>
        <w:fldChar w:fldCharType="begin"/>
      </w:r>
      <w:r w:rsidR="00F062BA">
        <w:instrText xml:space="preserve"> TOC \o "7-7" \h \z </w:instrText>
      </w:r>
      <w:r>
        <w:fldChar w:fldCharType="separate"/>
      </w:r>
      <w:hyperlink w:anchor="_Toc414882111" w:history="1">
        <w:r w:rsidR="00535216" w:rsidRPr="001723C9">
          <w:rPr>
            <w:rStyle w:val="Hyperlink"/>
          </w:rPr>
          <w:t>Appendix A</w:t>
        </w:r>
        <w:r w:rsidR="00535216">
          <w:rPr>
            <w:rFonts w:asciiTheme="minorHAnsi" w:eastAsiaTheme="minorEastAsia" w:hAnsiTheme="minorHAnsi" w:cstheme="minorBidi"/>
            <w:szCs w:val="22"/>
            <w:lang w:eastAsia="en-AU"/>
          </w:rPr>
          <w:tab/>
        </w:r>
        <w:r w:rsidR="00535216" w:rsidRPr="001723C9">
          <w:rPr>
            <w:rStyle w:val="Hyperlink"/>
          </w:rPr>
          <w:t>Cost benefit analysis assumptions</w:t>
        </w:r>
        <w:r w:rsidR="00535216">
          <w:rPr>
            <w:webHidden/>
          </w:rPr>
          <w:tab/>
        </w:r>
        <w:r w:rsidR="00535216">
          <w:rPr>
            <w:webHidden/>
          </w:rPr>
          <w:fldChar w:fldCharType="begin"/>
        </w:r>
        <w:r w:rsidR="00535216">
          <w:rPr>
            <w:webHidden/>
          </w:rPr>
          <w:instrText xml:space="preserve"> PAGEREF _Toc414882111 \h </w:instrText>
        </w:r>
        <w:r w:rsidR="00535216">
          <w:rPr>
            <w:webHidden/>
          </w:rPr>
        </w:r>
        <w:r w:rsidR="00535216">
          <w:rPr>
            <w:webHidden/>
          </w:rPr>
          <w:fldChar w:fldCharType="separate"/>
        </w:r>
        <w:r w:rsidR="006A273E">
          <w:rPr>
            <w:webHidden/>
          </w:rPr>
          <w:t>A-1</w:t>
        </w:r>
        <w:r w:rsidR="00535216">
          <w:rPr>
            <w:webHidden/>
          </w:rPr>
          <w:fldChar w:fldCharType="end"/>
        </w:r>
      </w:hyperlink>
    </w:p>
    <w:p w14:paraId="24448695" w14:textId="77777777" w:rsidR="00F062BA" w:rsidRPr="000504DD" w:rsidRDefault="00492194" w:rsidP="005609B3">
      <w:pPr>
        <w:pStyle w:val="BodyText"/>
      </w:pPr>
      <w:r>
        <w:rPr>
          <w:b/>
          <w:bCs/>
          <w:noProof/>
          <w:lang w:val="en-US"/>
        </w:rPr>
        <w:fldChar w:fldCharType="end"/>
      </w:r>
    </w:p>
    <w:p w14:paraId="73EBD3B9" w14:textId="77777777" w:rsidR="00F062BA" w:rsidRPr="00AA18E5" w:rsidRDefault="00F062BA" w:rsidP="005609B3">
      <w:pPr>
        <w:pStyle w:val="SpaceAboveInTOC"/>
      </w:pPr>
    </w:p>
    <w:p w14:paraId="392658FE" w14:textId="77777777" w:rsidR="00F062BA" w:rsidRPr="00BF4425" w:rsidRDefault="00F062BA" w:rsidP="005609B3">
      <w:pPr>
        <w:pStyle w:val="TOAHeading"/>
      </w:pPr>
      <w:r w:rsidRPr="00BF4425">
        <w:t>List of boxes</w:t>
      </w:r>
    </w:p>
    <w:p w14:paraId="0B30671D" w14:textId="77777777" w:rsidR="004D060B" w:rsidRDefault="00492194">
      <w:pPr>
        <w:pStyle w:val="TableofFigures"/>
        <w:rPr>
          <w:rFonts w:asciiTheme="minorHAnsi" w:eastAsiaTheme="minorEastAsia" w:hAnsiTheme="minorHAnsi" w:cstheme="minorBidi"/>
          <w:noProof/>
          <w:sz w:val="22"/>
        </w:rPr>
      </w:pPr>
      <w:r w:rsidRPr="004D18B4">
        <w:fldChar w:fldCharType="begin"/>
      </w:r>
      <w:r w:rsidR="00F062BA" w:rsidRPr="004D18B4">
        <w:instrText xml:space="preserve"> TOC </w:instrText>
      </w:r>
      <w:r w:rsidR="00F062BA">
        <w:instrText xml:space="preserve">\h \z </w:instrText>
      </w:r>
      <w:r w:rsidR="00F062BA" w:rsidRPr="004D18B4">
        <w:instrText xml:space="preserve">\c "Box" </w:instrText>
      </w:r>
      <w:r w:rsidR="00F062BA">
        <w:instrText>\*FirstCap</w:instrText>
      </w:r>
      <w:r w:rsidR="00F062BA" w:rsidRPr="004D18B4">
        <w:instrText xml:space="preserve"> </w:instrText>
      </w:r>
      <w:r w:rsidRPr="004D18B4">
        <w:fldChar w:fldCharType="separate"/>
      </w:r>
      <w:hyperlink w:anchor="_Toc415660943" w:history="1">
        <w:r w:rsidR="004D060B" w:rsidRPr="00033E28">
          <w:rPr>
            <w:rStyle w:val="Hyperlink"/>
            <w:noProof/>
          </w:rPr>
          <w:t>Box 1</w:t>
        </w:r>
        <w:r w:rsidR="004D060B">
          <w:rPr>
            <w:rFonts w:asciiTheme="minorHAnsi" w:eastAsiaTheme="minorEastAsia" w:hAnsiTheme="minorHAnsi" w:cstheme="minorBidi"/>
            <w:noProof/>
            <w:sz w:val="22"/>
          </w:rPr>
          <w:tab/>
        </w:r>
        <w:r w:rsidR="004D060B" w:rsidRPr="00033E28">
          <w:rPr>
            <w:rStyle w:val="Hyperlink"/>
            <w:b/>
            <w:noProof/>
          </w:rPr>
          <w:t>NABERS Energy calculations</w:t>
        </w:r>
        <w:r w:rsidR="004D060B">
          <w:rPr>
            <w:noProof/>
            <w:webHidden/>
          </w:rPr>
          <w:tab/>
        </w:r>
        <w:r w:rsidR="004D060B">
          <w:rPr>
            <w:noProof/>
            <w:webHidden/>
          </w:rPr>
          <w:fldChar w:fldCharType="begin"/>
        </w:r>
        <w:r w:rsidR="004D060B">
          <w:rPr>
            <w:noProof/>
            <w:webHidden/>
          </w:rPr>
          <w:instrText xml:space="preserve"> PAGEREF _Toc415660943 \h </w:instrText>
        </w:r>
        <w:r w:rsidR="004D060B">
          <w:rPr>
            <w:noProof/>
            <w:webHidden/>
          </w:rPr>
        </w:r>
        <w:r w:rsidR="004D060B">
          <w:rPr>
            <w:noProof/>
            <w:webHidden/>
          </w:rPr>
          <w:fldChar w:fldCharType="separate"/>
        </w:r>
        <w:r w:rsidR="004D060B">
          <w:rPr>
            <w:noProof/>
            <w:webHidden/>
          </w:rPr>
          <w:t>23</w:t>
        </w:r>
        <w:r w:rsidR="004D060B">
          <w:rPr>
            <w:noProof/>
            <w:webHidden/>
          </w:rPr>
          <w:fldChar w:fldCharType="end"/>
        </w:r>
      </w:hyperlink>
    </w:p>
    <w:p w14:paraId="5AF06C25" w14:textId="77777777" w:rsidR="004D060B" w:rsidRDefault="00366ADF">
      <w:pPr>
        <w:pStyle w:val="TableofFigures"/>
        <w:rPr>
          <w:rFonts w:asciiTheme="minorHAnsi" w:eastAsiaTheme="minorEastAsia" w:hAnsiTheme="minorHAnsi" w:cstheme="minorBidi"/>
          <w:noProof/>
          <w:sz w:val="22"/>
        </w:rPr>
      </w:pPr>
      <w:hyperlink w:anchor="_Toc415660944" w:history="1">
        <w:r w:rsidR="004D060B" w:rsidRPr="00033E28">
          <w:rPr>
            <w:rStyle w:val="Hyperlink"/>
            <w:noProof/>
          </w:rPr>
          <w:t>Box 2</w:t>
        </w:r>
        <w:r w:rsidR="004D060B">
          <w:rPr>
            <w:rFonts w:asciiTheme="minorHAnsi" w:eastAsiaTheme="minorEastAsia" w:hAnsiTheme="minorHAnsi" w:cstheme="minorBidi"/>
            <w:noProof/>
            <w:sz w:val="22"/>
          </w:rPr>
          <w:tab/>
        </w:r>
        <w:r w:rsidR="004D060B" w:rsidRPr="00033E28">
          <w:rPr>
            <w:rStyle w:val="Hyperlink"/>
            <w:b/>
            <w:noProof/>
          </w:rPr>
          <w:t>Productivity impacts of energy efficient buildings</w:t>
        </w:r>
        <w:r w:rsidR="004D060B">
          <w:rPr>
            <w:noProof/>
            <w:webHidden/>
          </w:rPr>
          <w:tab/>
        </w:r>
        <w:r w:rsidR="004D060B">
          <w:rPr>
            <w:noProof/>
            <w:webHidden/>
          </w:rPr>
          <w:fldChar w:fldCharType="begin"/>
        </w:r>
        <w:r w:rsidR="004D060B">
          <w:rPr>
            <w:noProof/>
            <w:webHidden/>
          </w:rPr>
          <w:instrText xml:space="preserve"> PAGEREF _Toc415660944 \h </w:instrText>
        </w:r>
        <w:r w:rsidR="004D060B">
          <w:rPr>
            <w:noProof/>
            <w:webHidden/>
          </w:rPr>
        </w:r>
        <w:r w:rsidR="004D060B">
          <w:rPr>
            <w:noProof/>
            <w:webHidden/>
          </w:rPr>
          <w:fldChar w:fldCharType="separate"/>
        </w:r>
        <w:r w:rsidR="004D060B">
          <w:rPr>
            <w:noProof/>
            <w:webHidden/>
          </w:rPr>
          <w:t>53</w:t>
        </w:r>
        <w:r w:rsidR="004D060B">
          <w:rPr>
            <w:noProof/>
            <w:webHidden/>
          </w:rPr>
          <w:fldChar w:fldCharType="end"/>
        </w:r>
      </w:hyperlink>
    </w:p>
    <w:p w14:paraId="5471B283" w14:textId="77777777" w:rsidR="004D060B" w:rsidRDefault="00366ADF">
      <w:pPr>
        <w:pStyle w:val="TableofFigures"/>
        <w:rPr>
          <w:rFonts w:asciiTheme="minorHAnsi" w:eastAsiaTheme="minorEastAsia" w:hAnsiTheme="minorHAnsi" w:cstheme="minorBidi"/>
          <w:noProof/>
          <w:sz w:val="22"/>
        </w:rPr>
      </w:pPr>
      <w:hyperlink w:anchor="_Toc415660945" w:history="1">
        <w:r w:rsidR="004D060B" w:rsidRPr="00033E28">
          <w:rPr>
            <w:rStyle w:val="Hyperlink"/>
            <w:noProof/>
          </w:rPr>
          <w:t>Box 3</w:t>
        </w:r>
        <w:r w:rsidR="004D060B">
          <w:rPr>
            <w:rFonts w:asciiTheme="minorHAnsi" w:eastAsiaTheme="minorEastAsia" w:hAnsiTheme="minorHAnsi" w:cstheme="minorBidi"/>
            <w:noProof/>
            <w:sz w:val="22"/>
          </w:rPr>
          <w:tab/>
        </w:r>
        <w:r w:rsidR="004D060B" w:rsidRPr="00033E28">
          <w:rPr>
            <w:rStyle w:val="Hyperlink"/>
            <w:b/>
            <w:noProof/>
          </w:rPr>
          <w:t>Threshold analysis compared with conventional sensitivity analysis</w:t>
        </w:r>
        <w:r w:rsidR="004D060B">
          <w:rPr>
            <w:noProof/>
            <w:webHidden/>
          </w:rPr>
          <w:tab/>
        </w:r>
        <w:r w:rsidR="004D060B">
          <w:rPr>
            <w:noProof/>
            <w:webHidden/>
          </w:rPr>
          <w:fldChar w:fldCharType="begin"/>
        </w:r>
        <w:r w:rsidR="004D060B">
          <w:rPr>
            <w:noProof/>
            <w:webHidden/>
          </w:rPr>
          <w:instrText xml:space="preserve"> PAGEREF _Toc415660945 \h </w:instrText>
        </w:r>
        <w:r w:rsidR="004D060B">
          <w:rPr>
            <w:noProof/>
            <w:webHidden/>
          </w:rPr>
        </w:r>
        <w:r w:rsidR="004D060B">
          <w:rPr>
            <w:noProof/>
            <w:webHidden/>
          </w:rPr>
          <w:fldChar w:fldCharType="separate"/>
        </w:r>
        <w:r w:rsidR="004D060B">
          <w:rPr>
            <w:noProof/>
            <w:webHidden/>
          </w:rPr>
          <w:t>55</w:t>
        </w:r>
        <w:r w:rsidR="004D060B">
          <w:rPr>
            <w:noProof/>
            <w:webHidden/>
          </w:rPr>
          <w:fldChar w:fldCharType="end"/>
        </w:r>
      </w:hyperlink>
    </w:p>
    <w:p w14:paraId="42DFF9E4" w14:textId="77777777" w:rsidR="00F062BA" w:rsidRDefault="00492194">
      <w:pPr>
        <w:pStyle w:val="TableofFigures"/>
      </w:pPr>
      <w:r w:rsidRPr="004D18B4">
        <w:fldChar w:fldCharType="end"/>
      </w:r>
    </w:p>
    <w:p w14:paraId="2582727A" w14:textId="77777777" w:rsidR="00F062BA" w:rsidRDefault="00F062BA" w:rsidP="005609B3">
      <w:pPr>
        <w:pStyle w:val="TOAHeading"/>
      </w:pPr>
      <w:r>
        <w:lastRenderedPageBreak/>
        <w:t>List of figures</w:t>
      </w:r>
    </w:p>
    <w:p w14:paraId="45F1C876" w14:textId="77777777" w:rsidR="004D060B" w:rsidRDefault="00492194">
      <w:pPr>
        <w:pStyle w:val="TableofFigures"/>
        <w:rPr>
          <w:rFonts w:asciiTheme="minorHAnsi" w:eastAsiaTheme="minorEastAsia" w:hAnsiTheme="minorHAnsi" w:cstheme="minorBidi"/>
          <w:noProof/>
          <w:sz w:val="22"/>
        </w:rPr>
      </w:pPr>
      <w:r w:rsidRPr="004D18B4">
        <w:fldChar w:fldCharType="begin"/>
      </w:r>
      <w:r w:rsidR="00F062BA" w:rsidRPr="004D18B4">
        <w:instrText xml:space="preserve"> TOC </w:instrText>
      </w:r>
      <w:r w:rsidR="00F062BA">
        <w:instrText>\h \z</w:instrText>
      </w:r>
      <w:r w:rsidR="00F062BA" w:rsidRPr="004D18B4">
        <w:instrText xml:space="preserve"> \c "Figure" </w:instrText>
      </w:r>
      <w:r w:rsidR="00F062BA">
        <w:instrText>\*FirstCap</w:instrText>
      </w:r>
      <w:r w:rsidR="00F062BA" w:rsidRPr="004D18B4">
        <w:instrText xml:space="preserve"> </w:instrText>
      </w:r>
      <w:r w:rsidRPr="004D18B4">
        <w:fldChar w:fldCharType="separate"/>
      </w:r>
      <w:hyperlink w:anchor="_Toc415660946" w:history="1">
        <w:r w:rsidR="004D060B" w:rsidRPr="004D4A7D">
          <w:rPr>
            <w:rStyle w:val="Hyperlink"/>
            <w:noProof/>
          </w:rPr>
          <w:t>Figure 1</w:t>
        </w:r>
        <w:r w:rsidR="004D060B">
          <w:rPr>
            <w:rFonts w:asciiTheme="minorHAnsi" w:eastAsiaTheme="minorEastAsia" w:hAnsiTheme="minorHAnsi" w:cstheme="minorBidi"/>
            <w:noProof/>
            <w:sz w:val="22"/>
          </w:rPr>
          <w:tab/>
        </w:r>
        <w:r w:rsidR="004D060B" w:rsidRPr="004D4A7D">
          <w:rPr>
            <w:rStyle w:val="Hyperlink"/>
            <w:b/>
            <w:noProof/>
          </w:rPr>
          <w:t>Project key tasks</w:t>
        </w:r>
        <w:r w:rsidR="004D060B">
          <w:rPr>
            <w:noProof/>
            <w:webHidden/>
          </w:rPr>
          <w:tab/>
        </w:r>
        <w:r w:rsidR="004D060B">
          <w:rPr>
            <w:noProof/>
            <w:webHidden/>
          </w:rPr>
          <w:fldChar w:fldCharType="begin"/>
        </w:r>
        <w:r w:rsidR="004D060B">
          <w:rPr>
            <w:noProof/>
            <w:webHidden/>
          </w:rPr>
          <w:instrText xml:space="preserve"> PAGEREF _Toc415660946 \h </w:instrText>
        </w:r>
        <w:r w:rsidR="004D060B">
          <w:rPr>
            <w:noProof/>
            <w:webHidden/>
          </w:rPr>
        </w:r>
        <w:r w:rsidR="004D060B">
          <w:rPr>
            <w:noProof/>
            <w:webHidden/>
          </w:rPr>
          <w:fldChar w:fldCharType="separate"/>
        </w:r>
        <w:r w:rsidR="004D060B">
          <w:rPr>
            <w:noProof/>
            <w:webHidden/>
          </w:rPr>
          <w:t>3</w:t>
        </w:r>
        <w:r w:rsidR="004D060B">
          <w:rPr>
            <w:noProof/>
            <w:webHidden/>
          </w:rPr>
          <w:fldChar w:fldCharType="end"/>
        </w:r>
      </w:hyperlink>
    </w:p>
    <w:p w14:paraId="67A42B9C" w14:textId="77777777" w:rsidR="004D060B" w:rsidRDefault="00366ADF">
      <w:pPr>
        <w:pStyle w:val="TableofFigures"/>
        <w:rPr>
          <w:rFonts w:asciiTheme="minorHAnsi" w:eastAsiaTheme="minorEastAsia" w:hAnsiTheme="minorHAnsi" w:cstheme="minorBidi"/>
          <w:noProof/>
          <w:sz w:val="22"/>
        </w:rPr>
      </w:pPr>
      <w:hyperlink w:anchor="_Toc415660947" w:history="1">
        <w:r w:rsidR="004D060B" w:rsidRPr="004D4A7D">
          <w:rPr>
            <w:rStyle w:val="Hyperlink"/>
            <w:noProof/>
          </w:rPr>
          <w:t>Figure 2</w:t>
        </w:r>
        <w:r w:rsidR="004D060B">
          <w:rPr>
            <w:rFonts w:asciiTheme="minorHAnsi" w:eastAsiaTheme="minorEastAsia" w:hAnsiTheme="minorHAnsi" w:cstheme="minorBidi"/>
            <w:noProof/>
            <w:sz w:val="22"/>
          </w:rPr>
          <w:tab/>
        </w:r>
        <w:r w:rsidR="004D060B" w:rsidRPr="004D4A7D">
          <w:rPr>
            <w:rStyle w:val="Hyperlink"/>
            <w:b/>
            <w:noProof/>
          </w:rPr>
          <w:t>Total energy consumption by building type, 2009 (PJ, % shares)</w:t>
        </w:r>
        <w:r w:rsidR="004D060B">
          <w:rPr>
            <w:noProof/>
            <w:webHidden/>
          </w:rPr>
          <w:tab/>
        </w:r>
        <w:r w:rsidR="004D060B">
          <w:rPr>
            <w:noProof/>
            <w:webHidden/>
          </w:rPr>
          <w:fldChar w:fldCharType="begin"/>
        </w:r>
        <w:r w:rsidR="004D060B">
          <w:rPr>
            <w:noProof/>
            <w:webHidden/>
          </w:rPr>
          <w:instrText xml:space="preserve"> PAGEREF _Toc415660947 \h </w:instrText>
        </w:r>
        <w:r w:rsidR="004D060B">
          <w:rPr>
            <w:noProof/>
            <w:webHidden/>
          </w:rPr>
        </w:r>
        <w:r w:rsidR="004D060B">
          <w:rPr>
            <w:noProof/>
            <w:webHidden/>
          </w:rPr>
          <w:fldChar w:fldCharType="separate"/>
        </w:r>
        <w:r w:rsidR="004D060B">
          <w:rPr>
            <w:noProof/>
            <w:webHidden/>
          </w:rPr>
          <w:t>6</w:t>
        </w:r>
        <w:r w:rsidR="004D060B">
          <w:rPr>
            <w:noProof/>
            <w:webHidden/>
          </w:rPr>
          <w:fldChar w:fldCharType="end"/>
        </w:r>
      </w:hyperlink>
    </w:p>
    <w:p w14:paraId="2029EA39" w14:textId="77777777" w:rsidR="004D060B" w:rsidRDefault="00366ADF">
      <w:pPr>
        <w:pStyle w:val="TableofFigures"/>
        <w:rPr>
          <w:rFonts w:asciiTheme="minorHAnsi" w:eastAsiaTheme="minorEastAsia" w:hAnsiTheme="minorHAnsi" w:cstheme="minorBidi"/>
          <w:noProof/>
          <w:sz w:val="22"/>
        </w:rPr>
      </w:pPr>
      <w:hyperlink w:anchor="_Toc415660948" w:history="1">
        <w:r w:rsidR="004D060B" w:rsidRPr="004D4A7D">
          <w:rPr>
            <w:rStyle w:val="Hyperlink"/>
            <w:noProof/>
          </w:rPr>
          <w:t>Figure 3</w:t>
        </w:r>
        <w:r w:rsidR="004D060B">
          <w:rPr>
            <w:rFonts w:asciiTheme="minorHAnsi" w:eastAsiaTheme="minorEastAsia" w:hAnsiTheme="minorHAnsi" w:cstheme="minorBidi"/>
            <w:noProof/>
            <w:sz w:val="22"/>
          </w:rPr>
          <w:tab/>
        </w:r>
        <w:r w:rsidR="004D060B" w:rsidRPr="004D4A7D">
          <w:rPr>
            <w:rStyle w:val="Hyperlink"/>
            <w:b/>
            <w:noProof/>
          </w:rPr>
          <w:t>Total energy intensity versus area, all offices</w:t>
        </w:r>
        <w:r w:rsidR="004D060B">
          <w:rPr>
            <w:noProof/>
            <w:webHidden/>
          </w:rPr>
          <w:tab/>
        </w:r>
        <w:r w:rsidR="004D060B">
          <w:rPr>
            <w:noProof/>
            <w:webHidden/>
          </w:rPr>
          <w:fldChar w:fldCharType="begin"/>
        </w:r>
        <w:r w:rsidR="004D060B">
          <w:rPr>
            <w:noProof/>
            <w:webHidden/>
          </w:rPr>
          <w:instrText xml:space="preserve"> PAGEREF _Toc415660948 \h </w:instrText>
        </w:r>
        <w:r w:rsidR="004D060B">
          <w:rPr>
            <w:noProof/>
            <w:webHidden/>
          </w:rPr>
        </w:r>
        <w:r w:rsidR="004D060B">
          <w:rPr>
            <w:noProof/>
            <w:webHidden/>
          </w:rPr>
          <w:fldChar w:fldCharType="separate"/>
        </w:r>
        <w:r w:rsidR="004D060B">
          <w:rPr>
            <w:noProof/>
            <w:webHidden/>
          </w:rPr>
          <w:t>8</w:t>
        </w:r>
        <w:r w:rsidR="004D060B">
          <w:rPr>
            <w:noProof/>
            <w:webHidden/>
          </w:rPr>
          <w:fldChar w:fldCharType="end"/>
        </w:r>
      </w:hyperlink>
    </w:p>
    <w:p w14:paraId="030B4B6D" w14:textId="77777777" w:rsidR="004D060B" w:rsidRDefault="00366ADF">
      <w:pPr>
        <w:pStyle w:val="TableofFigures"/>
        <w:rPr>
          <w:rFonts w:asciiTheme="minorHAnsi" w:eastAsiaTheme="minorEastAsia" w:hAnsiTheme="minorHAnsi" w:cstheme="minorBidi"/>
          <w:noProof/>
          <w:sz w:val="22"/>
        </w:rPr>
      </w:pPr>
      <w:hyperlink w:anchor="_Toc415660949" w:history="1">
        <w:r w:rsidR="004D060B" w:rsidRPr="004D4A7D">
          <w:rPr>
            <w:rStyle w:val="Hyperlink"/>
            <w:noProof/>
          </w:rPr>
          <w:t>Figure 4</w:t>
        </w:r>
        <w:r w:rsidR="004D060B">
          <w:rPr>
            <w:rFonts w:asciiTheme="minorHAnsi" w:eastAsiaTheme="minorEastAsia" w:hAnsiTheme="minorHAnsi" w:cstheme="minorBidi"/>
            <w:noProof/>
            <w:sz w:val="22"/>
          </w:rPr>
          <w:tab/>
        </w:r>
        <w:r w:rsidR="004D060B" w:rsidRPr="004D4A7D">
          <w:rPr>
            <w:rStyle w:val="Hyperlink"/>
            <w:b/>
            <w:noProof/>
          </w:rPr>
          <w:t>Average energy intensity, office tenancies, Australia</w:t>
        </w:r>
        <w:r w:rsidR="004D060B">
          <w:rPr>
            <w:noProof/>
            <w:webHidden/>
          </w:rPr>
          <w:tab/>
        </w:r>
        <w:r w:rsidR="004D060B">
          <w:rPr>
            <w:noProof/>
            <w:webHidden/>
          </w:rPr>
          <w:fldChar w:fldCharType="begin"/>
        </w:r>
        <w:r w:rsidR="004D060B">
          <w:rPr>
            <w:noProof/>
            <w:webHidden/>
          </w:rPr>
          <w:instrText xml:space="preserve"> PAGEREF _Toc415660949 \h </w:instrText>
        </w:r>
        <w:r w:rsidR="004D060B">
          <w:rPr>
            <w:noProof/>
            <w:webHidden/>
          </w:rPr>
        </w:r>
        <w:r w:rsidR="004D060B">
          <w:rPr>
            <w:noProof/>
            <w:webHidden/>
          </w:rPr>
          <w:fldChar w:fldCharType="separate"/>
        </w:r>
        <w:r w:rsidR="004D060B">
          <w:rPr>
            <w:noProof/>
            <w:webHidden/>
          </w:rPr>
          <w:t>9</w:t>
        </w:r>
        <w:r w:rsidR="004D060B">
          <w:rPr>
            <w:noProof/>
            <w:webHidden/>
          </w:rPr>
          <w:fldChar w:fldCharType="end"/>
        </w:r>
      </w:hyperlink>
    </w:p>
    <w:p w14:paraId="63594958" w14:textId="77777777" w:rsidR="004D060B" w:rsidRDefault="00366ADF">
      <w:pPr>
        <w:pStyle w:val="TableofFigures"/>
        <w:rPr>
          <w:rFonts w:asciiTheme="minorHAnsi" w:eastAsiaTheme="minorEastAsia" w:hAnsiTheme="minorHAnsi" w:cstheme="minorBidi"/>
          <w:noProof/>
          <w:sz w:val="22"/>
        </w:rPr>
      </w:pPr>
      <w:hyperlink w:anchor="_Toc415660950" w:history="1">
        <w:r w:rsidR="004D060B" w:rsidRPr="004D4A7D">
          <w:rPr>
            <w:rStyle w:val="Hyperlink"/>
            <w:noProof/>
          </w:rPr>
          <w:t>Figure 5</w:t>
        </w:r>
        <w:r w:rsidR="004D060B">
          <w:rPr>
            <w:rFonts w:asciiTheme="minorHAnsi" w:eastAsiaTheme="minorEastAsia" w:hAnsiTheme="minorHAnsi" w:cstheme="minorBidi"/>
            <w:noProof/>
            <w:sz w:val="22"/>
          </w:rPr>
          <w:tab/>
        </w:r>
        <w:r w:rsidR="004D060B" w:rsidRPr="004D4A7D">
          <w:rPr>
            <w:rStyle w:val="Hyperlink"/>
            <w:b/>
            <w:noProof/>
          </w:rPr>
          <w:t>Electricity end-use shares, base buildings, 1999-2012</w:t>
        </w:r>
        <w:r w:rsidR="004D060B">
          <w:rPr>
            <w:noProof/>
            <w:webHidden/>
          </w:rPr>
          <w:tab/>
        </w:r>
        <w:r w:rsidR="004D060B">
          <w:rPr>
            <w:noProof/>
            <w:webHidden/>
          </w:rPr>
          <w:fldChar w:fldCharType="begin"/>
        </w:r>
        <w:r w:rsidR="004D060B">
          <w:rPr>
            <w:noProof/>
            <w:webHidden/>
          </w:rPr>
          <w:instrText xml:space="preserve"> PAGEREF _Toc415660950 \h </w:instrText>
        </w:r>
        <w:r w:rsidR="004D060B">
          <w:rPr>
            <w:noProof/>
            <w:webHidden/>
          </w:rPr>
        </w:r>
        <w:r w:rsidR="004D060B">
          <w:rPr>
            <w:noProof/>
            <w:webHidden/>
          </w:rPr>
          <w:fldChar w:fldCharType="separate"/>
        </w:r>
        <w:r w:rsidR="004D060B">
          <w:rPr>
            <w:noProof/>
            <w:webHidden/>
          </w:rPr>
          <w:t>10</w:t>
        </w:r>
        <w:r w:rsidR="004D060B">
          <w:rPr>
            <w:noProof/>
            <w:webHidden/>
          </w:rPr>
          <w:fldChar w:fldCharType="end"/>
        </w:r>
      </w:hyperlink>
    </w:p>
    <w:p w14:paraId="735FB060" w14:textId="77777777" w:rsidR="004D060B" w:rsidRDefault="00366ADF">
      <w:pPr>
        <w:pStyle w:val="TableofFigures"/>
        <w:rPr>
          <w:rFonts w:asciiTheme="minorHAnsi" w:eastAsiaTheme="minorEastAsia" w:hAnsiTheme="minorHAnsi" w:cstheme="minorBidi"/>
          <w:noProof/>
          <w:sz w:val="22"/>
        </w:rPr>
      </w:pPr>
      <w:hyperlink w:anchor="_Toc415660951" w:history="1">
        <w:r w:rsidR="004D060B" w:rsidRPr="004D4A7D">
          <w:rPr>
            <w:rStyle w:val="Hyperlink"/>
            <w:noProof/>
          </w:rPr>
          <w:t>Figure 6</w:t>
        </w:r>
        <w:r w:rsidR="004D060B">
          <w:rPr>
            <w:rFonts w:asciiTheme="minorHAnsi" w:eastAsiaTheme="minorEastAsia" w:hAnsiTheme="minorHAnsi" w:cstheme="minorBidi"/>
            <w:noProof/>
            <w:sz w:val="22"/>
          </w:rPr>
          <w:tab/>
        </w:r>
        <w:r w:rsidR="004D060B" w:rsidRPr="004D4A7D">
          <w:rPr>
            <w:rStyle w:val="Hyperlink"/>
            <w:b/>
            <w:noProof/>
          </w:rPr>
          <w:t>Gas end-use shares, base buildings, 1999-2012</w:t>
        </w:r>
        <w:r w:rsidR="004D060B">
          <w:rPr>
            <w:noProof/>
            <w:webHidden/>
          </w:rPr>
          <w:tab/>
        </w:r>
        <w:r w:rsidR="004D060B">
          <w:rPr>
            <w:noProof/>
            <w:webHidden/>
          </w:rPr>
          <w:fldChar w:fldCharType="begin"/>
        </w:r>
        <w:r w:rsidR="004D060B">
          <w:rPr>
            <w:noProof/>
            <w:webHidden/>
          </w:rPr>
          <w:instrText xml:space="preserve"> PAGEREF _Toc415660951 \h </w:instrText>
        </w:r>
        <w:r w:rsidR="004D060B">
          <w:rPr>
            <w:noProof/>
            <w:webHidden/>
          </w:rPr>
        </w:r>
        <w:r w:rsidR="004D060B">
          <w:rPr>
            <w:noProof/>
            <w:webHidden/>
          </w:rPr>
          <w:fldChar w:fldCharType="separate"/>
        </w:r>
        <w:r w:rsidR="004D060B">
          <w:rPr>
            <w:noProof/>
            <w:webHidden/>
          </w:rPr>
          <w:t>10</w:t>
        </w:r>
        <w:r w:rsidR="004D060B">
          <w:rPr>
            <w:noProof/>
            <w:webHidden/>
          </w:rPr>
          <w:fldChar w:fldCharType="end"/>
        </w:r>
      </w:hyperlink>
    </w:p>
    <w:p w14:paraId="38FE49F0" w14:textId="77777777" w:rsidR="004D060B" w:rsidRDefault="00366ADF">
      <w:pPr>
        <w:pStyle w:val="TableofFigures"/>
        <w:rPr>
          <w:rFonts w:asciiTheme="minorHAnsi" w:eastAsiaTheme="minorEastAsia" w:hAnsiTheme="minorHAnsi" w:cstheme="minorBidi"/>
          <w:noProof/>
          <w:sz w:val="22"/>
        </w:rPr>
      </w:pPr>
      <w:hyperlink w:anchor="_Toc415660952" w:history="1">
        <w:r w:rsidR="004D060B" w:rsidRPr="004D4A7D">
          <w:rPr>
            <w:rStyle w:val="Hyperlink"/>
            <w:noProof/>
          </w:rPr>
          <w:t>Figure 7</w:t>
        </w:r>
        <w:r w:rsidR="004D060B">
          <w:rPr>
            <w:rFonts w:asciiTheme="minorHAnsi" w:eastAsiaTheme="minorEastAsia" w:hAnsiTheme="minorHAnsi" w:cstheme="minorBidi"/>
            <w:noProof/>
            <w:sz w:val="22"/>
          </w:rPr>
          <w:tab/>
        </w:r>
        <w:r w:rsidR="004D060B" w:rsidRPr="004D4A7D">
          <w:rPr>
            <w:rStyle w:val="Hyperlink"/>
            <w:b/>
            <w:noProof/>
          </w:rPr>
          <w:t>Electricity end-use shares, office tenancies, 1999-2012</w:t>
        </w:r>
        <w:r w:rsidR="004D060B">
          <w:rPr>
            <w:noProof/>
            <w:webHidden/>
          </w:rPr>
          <w:tab/>
        </w:r>
        <w:r w:rsidR="004D060B">
          <w:rPr>
            <w:noProof/>
            <w:webHidden/>
          </w:rPr>
          <w:fldChar w:fldCharType="begin"/>
        </w:r>
        <w:r w:rsidR="004D060B">
          <w:rPr>
            <w:noProof/>
            <w:webHidden/>
          </w:rPr>
          <w:instrText xml:space="preserve"> PAGEREF _Toc415660952 \h </w:instrText>
        </w:r>
        <w:r w:rsidR="004D060B">
          <w:rPr>
            <w:noProof/>
            <w:webHidden/>
          </w:rPr>
        </w:r>
        <w:r w:rsidR="004D060B">
          <w:rPr>
            <w:noProof/>
            <w:webHidden/>
          </w:rPr>
          <w:fldChar w:fldCharType="separate"/>
        </w:r>
        <w:r w:rsidR="004D060B">
          <w:rPr>
            <w:noProof/>
            <w:webHidden/>
          </w:rPr>
          <w:t>11</w:t>
        </w:r>
        <w:r w:rsidR="004D060B">
          <w:rPr>
            <w:noProof/>
            <w:webHidden/>
          </w:rPr>
          <w:fldChar w:fldCharType="end"/>
        </w:r>
      </w:hyperlink>
    </w:p>
    <w:p w14:paraId="0E6747CB" w14:textId="77777777" w:rsidR="004D060B" w:rsidRDefault="00366ADF">
      <w:pPr>
        <w:pStyle w:val="TableofFigures"/>
        <w:rPr>
          <w:rFonts w:asciiTheme="minorHAnsi" w:eastAsiaTheme="minorEastAsia" w:hAnsiTheme="minorHAnsi" w:cstheme="minorBidi"/>
          <w:noProof/>
          <w:sz w:val="22"/>
        </w:rPr>
      </w:pPr>
      <w:hyperlink w:anchor="_Toc415660953" w:history="1">
        <w:r w:rsidR="004D060B" w:rsidRPr="004D4A7D">
          <w:rPr>
            <w:rStyle w:val="Hyperlink"/>
            <w:noProof/>
          </w:rPr>
          <w:t>Figure 8</w:t>
        </w:r>
        <w:r w:rsidR="004D060B">
          <w:rPr>
            <w:rFonts w:asciiTheme="minorHAnsi" w:eastAsiaTheme="minorEastAsia" w:hAnsiTheme="minorHAnsi" w:cstheme="minorBidi"/>
            <w:noProof/>
            <w:sz w:val="22"/>
          </w:rPr>
          <w:tab/>
        </w:r>
        <w:r w:rsidR="004D060B" w:rsidRPr="004D4A7D">
          <w:rPr>
            <w:rStyle w:val="Hyperlink"/>
            <w:b/>
            <w:noProof/>
          </w:rPr>
          <w:t>Operation of Environmental Upgrade Agreements</w:t>
        </w:r>
        <w:r w:rsidR="004D060B">
          <w:rPr>
            <w:noProof/>
            <w:webHidden/>
          </w:rPr>
          <w:tab/>
        </w:r>
        <w:r w:rsidR="004D060B">
          <w:rPr>
            <w:noProof/>
            <w:webHidden/>
          </w:rPr>
          <w:fldChar w:fldCharType="begin"/>
        </w:r>
        <w:r w:rsidR="004D060B">
          <w:rPr>
            <w:noProof/>
            <w:webHidden/>
          </w:rPr>
          <w:instrText xml:space="preserve"> PAGEREF _Toc415660953 \h </w:instrText>
        </w:r>
        <w:r w:rsidR="004D060B">
          <w:rPr>
            <w:noProof/>
            <w:webHidden/>
          </w:rPr>
        </w:r>
        <w:r w:rsidR="004D060B">
          <w:rPr>
            <w:noProof/>
            <w:webHidden/>
          </w:rPr>
          <w:fldChar w:fldCharType="separate"/>
        </w:r>
        <w:r w:rsidR="004D060B">
          <w:rPr>
            <w:noProof/>
            <w:webHidden/>
          </w:rPr>
          <w:t>18</w:t>
        </w:r>
        <w:r w:rsidR="004D060B">
          <w:rPr>
            <w:noProof/>
            <w:webHidden/>
          </w:rPr>
          <w:fldChar w:fldCharType="end"/>
        </w:r>
      </w:hyperlink>
    </w:p>
    <w:p w14:paraId="2B39F4CA" w14:textId="77777777" w:rsidR="004D060B" w:rsidRDefault="00366ADF">
      <w:pPr>
        <w:pStyle w:val="TableofFigures"/>
        <w:rPr>
          <w:rFonts w:asciiTheme="minorHAnsi" w:eastAsiaTheme="minorEastAsia" w:hAnsiTheme="minorHAnsi" w:cstheme="minorBidi"/>
          <w:noProof/>
          <w:sz w:val="22"/>
        </w:rPr>
      </w:pPr>
      <w:hyperlink w:anchor="_Toc415660954" w:history="1">
        <w:r w:rsidR="004D060B" w:rsidRPr="004D4A7D">
          <w:rPr>
            <w:rStyle w:val="Hyperlink"/>
            <w:noProof/>
          </w:rPr>
          <w:t>Figure 9</w:t>
        </w:r>
        <w:r w:rsidR="004D060B">
          <w:rPr>
            <w:rFonts w:asciiTheme="minorHAnsi" w:eastAsiaTheme="minorEastAsia" w:hAnsiTheme="minorHAnsi" w:cstheme="minorBidi"/>
            <w:noProof/>
            <w:sz w:val="22"/>
          </w:rPr>
          <w:tab/>
        </w:r>
        <w:r w:rsidR="004D060B" w:rsidRPr="004D4A7D">
          <w:rPr>
            <w:rStyle w:val="Hyperlink"/>
            <w:b/>
            <w:noProof/>
          </w:rPr>
          <w:t>Annual NLA of base building ratings from voluntary and mandatory raters</w:t>
        </w:r>
        <w:r w:rsidR="004D060B">
          <w:rPr>
            <w:noProof/>
            <w:webHidden/>
          </w:rPr>
          <w:tab/>
        </w:r>
        <w:r w:rsidR="004D060B">
          <w:rPr>
            <w:noProof/>
            <w:webHidden/>
          </w:rPr>
          <w:fldChar w:fldCharType="begin"/>
        </w:r>
        <w:r w:rsidR="004D060B">
          <w:rPr>
            <w:noProof/>
            <w:webHidden/>
          </w:rPr>
          <w:instrText xml:space="preserve"> PAGEREF _Toc415660954 \h </w:instrText>
        </w:r>
        <w:r w:rsidR="004D060B">
          <w:rPr>
            <w:noProof/>
            <w:webHidden/>
          </w:rPr>
        </w:r>
        <w:r w:rsidR="004D060B">
          <w:rPr>
            <w:noProof/>
            <w:webHidden/>
          </w:rPr>
          <w:fldChar w:fldCharType="separate"/>
        </w:r>
        <w:r w:rsidR="004D060B">
          <w:rPr>
            <w:noProof/>
            <w:webHidden/>
          </w:rPr>
          <w:t>40</w:t>
        </w:r>
        <w:r w:rsidR="004D060B">
          <w:rPr>
            <w:noProof/>
            <w:webHidden/>
          </w:rPr>
          <w:fldChar w:fldCharType="end"/>
        </w:r>
      </w:hyperlink>
    </w:p>
    <w:p w14:paraId="6970AC24" w14:textId="77777777" w:rsidR="004D060B" w:rsidRDefault="00366ADF">
      <w:pPr>
        <w:pStyle w:val="TableofFigures"/>
        <w:rPr>
          <w:rFonts w:asciiTheme="minorHAnsi" w:eastAsiaTheme="minorEastAsia" w:hAnsiTheme="minorHAnsi" w:cstheme="minorBidi"/>
          <w:noProof/>
          <w:sz w:val="22"/>
        </w:rPr>
      </w:pPr>
      <w:hyperlink w:anchor="_Toc415660955" w:history="1">
        <w:r w:rsidR="004D060B" w:rsidRPr="004D4A7D">
          <w:rPr>
            <w:rStyle w:val="Hyperlink"/>
            <w:noProof/>
          </w:rPr>
          <w:t>Figure 10</w:t>
        </w:r>
        <w:r w:rsidR="004D060B">
          <w:rPr>
            <w:rFonts w:asciiTheme="minorHAnsi" w:eastAsiaTheme="minorEastAsia" w:hAnsiTheme="minorHAnsi" w:cstheme="minorBidi"/>
            <w:noProof/>
            <w:sz w:val="22"/>
          </w:rPr>
          <w:tab/>
        </w:r>
        <w:r w:rsidR="004D060B" w:rsidRPr="004D4A7D">
          <w:rPr>
            <w:rStyle w:val="Hyperlink"/>
            <w:b/>
            <w:noProof/>
          </w:rPr>
          <w:t>Average annual star rating by voluntary and mandatory group</w:t>
        </w:r>
        <w:r w:rsidR="004D060B">
          <w:rPr>
            <w:noProof/>
            <w:webHidden/>
          </w:rPr>
          <w:tab/>
        </w:r>
        <w:r w:rsidR="004D060B">
          <w:rPr>
            <w:noProof/>
            <w:webHidden/>
          </w:rPr>
          <w:fldChar w:fldCharType="begin"/>
        </w:r>
        <w:r w:rsidR="004D060B">
          <w:rPr>
            <w:noProof/>
            <w:webHidden/>
          </w:rPr>
          <w:instrText xml:space="preserve"> PAGEREF _Toc415660955 \h </w:instrText>
        </w:r>
        <w:r w:rsidR="004D060B">
          <w:rPr>
            <w:noProof/>
            <w:webHidden/>
          </w:rPr>
        </w:r>
        <w:r w:rsidR="004D060B">
          <w:rPr>
            <w:noProof/>
            <w:webHidden/>
          </w:rPr>
          <w:fldChar w:fldCharType="separate"/>
        </w:r>
        <w:r w:rsidR="004D060B">
          <w:rPr>
            <w:noProof/>
            <w:webHidden/>
          </w:rPr>
          <w:t>41</w:t>
        </w:r>
        <w:r w:rsidR="004D060B">
          <w:rPr>
            <w:noProof/>
            <w:webHidden/>
          </w:rPr>
          <w:fldChar w:fldCharType="end"/>
        </w:r>
      </w:hyperlink>
    </w:p>
    <w:p w14:paraId="2288DB37" w14:textId="77777777" w:rsidR="004D060B" w:rsidRDefault="00366ADF">
      <w:pPr>
        <w:pStyle w:val="TableofFigures"/>
        <w:rPr>
          <w:rFonts w:asciiTheme="minorHAnsi" w:eastAsiaTheme="minorEastAsia" w:hAnsiTheme="minorHAnsi" w:cstheme="minorBidi"/>
          <w:noProof/>
          <w:sz w:val="22"/>
        </w:rPr>
      </w:pPr>
      <w:hyperlink w:anchor="_Toc415660956" w:history="1">
        <w:r w:rsidR="004D060B" w:rsidRPr="004D4A7D">
          <w:rPr>
            <w:rStyle w:val="Hyperlink"/>
            <w:noProof/>
          </w:rPr>
          <w:t>Figure 11</w:t>
        </w:r>
        <w:r w:rsidR="004D060B">
          <w:rPr>
            <w:rFonts w:asciiTheme="minorHAnsi" w:eastAsiaTheme="minorEastAsia" w:hAnsiTheme="minorHAnsi" w:cstheme="minorBidi"/>
            <w:noProof/>
            <w:sz w:val="22"/>
          </w:rPr>
          <w:tab/>
        </w:r>
        <w:r w:rsidR="004D060B" w:rsidRPr="004D4A7D">
          <w:rPr>
            <w:rStyle w:val="Hyperlink"/>
            <w:b/>
            <w:noProof/>
          </w:rPr>
          <w:t>Average annual energy intensity by voluntary and mandatory group</w:t>
        </w:r>
        <w:r w:rsidR="004D060B">
          <w:rPr>
            <w:noProof/>
            <w:webHidden/>
          </w:rPr>
          <w:tab/>
        </w:r>
        <w:r w:rsidR="004D060B">
          <w:rPr>
            <w:noProof/>
            <w:webHidden/>
          </w:rPr>
          <w:fldChar w:fldCharType="begin"/>
        </w:r>
        <w:r w:rsidR="004D060B">
          <w:rPr>
            <w:noProof/>
            <w:webHidden/>
          </w:rPr>
          <w:instrText xml:space="preserve"> PAGEREF _Toc415660956 \h </w:instrText>
        </w:r>
        <w:r w:rsidR="004D060B">
          <w:rPr>
            <w:noProof/>
            <w:webHidden/>
          </w:rPr>
        </w:r>
        <w:r w:rsidR="004D060B">
          <w:rPr>
            <w:noProof/>
            <w:webHidden/>
          </w:rPr>
          <w:fldChar w:fldCharType="separate"/>
        </w:r>
        <w:r w:rsidR="004D060B">
          <w:rPr>
            <w:noProof/>
            <w:webHidden/>
          </w:rPr>
          <w:t>41</w:t>
        </w:r>
        <w:r w:rsidR="004D060B">
          <w:rPr>
            <w:noProof/>
            <w:webHidden/>
          </w:rPr>
          <w:fldChar w:fldCharType="end"/>
        </w:r>
      </w:hyperlink>
    </w:p>
    <w:p w14:paraId="774E834D" w14:textId="77777777" w:rsidR="004D060B" w:rsidRDefault="00366ADF">
      <w:pPr>
        <w:pStyle w:val="TableofFigures"/>
        <w:rPr>
          <w:rFonts w:asciiTheme="minorHAnsi" w:eastAsiaTheme="minorEastAsia" w:hAnsiTheme="minorHAnsi" w:cstheme="minorBidi"/>
          <w:noProof/>
          <w:sz w:val="22"/>
        </w:rPr>
      </w:pPr>
      <w:hyperlink w:anchor="_Toc415660957" w:history="1">
        <w:r w:rsidR="004D060B" w:rsidRPr="004D4A7D">
          <w:rPr>
            <w:rStyle w:val="Hyperlink"/>
            <w:noProof/>
          </w:rPr>
          <w:t>Figure 12</w:t>
        </w:r>
        <w:r w:rsidR="004D060B">
          <w:rPr>
            <w:rFonts w:asciiTheme="minorHAnsi" w:eastAsiaTheme="minorEastAsia" w:hAnsiTheme="minorHAnsi" w:cstheme="minorBidi"/>
            <w:noProof/>
            <w:sz w:val="22"/>
          </w:rPr>
          <w:tab/>
        </w:r>
        <w:r w:rsidR="004D060B" w:rsidRPr="004D4A7D">
          <w:rPr>
            <w:rStyle w:val="Hyperlink"/>
            <w:b/>
            <w:noProof/>
          </w:rPr>
          <w:t>Average annual star rating by segment</w:t>
        </w:r>
        <w:r w:rsidR="004D060B">
          <w:rPr>
            <w:noProof/>
            <w:webHidden/>
          </w:rPr>
          <w:tab/>
        </w:r>
        <w:r w:rsidR="004D060B">
          <w:rPr>
            <w:noProof/>
            <w:webHidden/>
          </w:rPr>
          <w:fldChar w:fldCharType="begin"/>
        </w:r>
        <w:r w:rsidR="004D060B">
          <w:rPr>
            <w:noProof/>
            <w:webHidden/>
          </w:rPr>
          <w:instrText xml:space="preserve"> PAGEREF _Toc415660957 \h </w:instrText>
        </w:r>
        <w:r w:rsidR="004D060B">
          <w:rPr>
            <w:noProof/>
            <w:webHidden/>
          </w:rPr>
        </w:r>
        <w:r w:rsidR="004D060B">
          <w:rPr>
            <w:noProof/>
            <w:webHidden/>
          </w:rPr>
          <w:fldChar w:fldCharType="separate"/>
        </w:r>
        <w:r w:rsidR="004D060B">
          <w:rPr>
            <w:noProof/>
            <w:webHidden/>
          </w:rPr>
          <w:t>42</w:t>
        </w:r>
        <w:r w:rsidR="004D060B">
          <w:rPr>
            <w:noProof/>
            <w:webHidden/>
          </w:rPr>
          <w:fldChar w:fldCharType="end"/>
        </w:r>
      </w:hyperlink>
    </w:p>
    <w:p w14:paraId="1A101544" w14:textId="77777777" w:rsidR="004D060B" w:rsidRDefault="00366ADF">
      <w:pPr>
        <w:pStyle w:val="TableofFigures"/>
        <w:rPr>
          <w:rFonts w:asciiTheme="minorHAnsi" w:eastAsiaTheme="minorEastAsia" w:hAnsiTheme="minorHAnsi" w:cstheme="minorBidi"/>
          <w:noProof/>
          <w:sz w:val="22"/>
        </w:rPr>
      </w:pPr>
      <w:hyperlink w:anchor="_Toc415660958" w:history="1">
        <w:r w:rsidR="004D060B" w:rsidRPr="004D4A7D">
          <w:rPr>
            <w:rStyle w:val="Hyperlink"/>
            <w:noProof/>
          </w:rPr>
          <w:t>Figure 13</w:t>
        </w:r>
        <w:r w:rsidR="004D060B">
          <w:rPr>
            <w:rFonts w:asciiTheme="minorHAnsi" w:eastAsiaTheme="minorEastAsia" w:hAnsiTheme="minorHAnsi" w:cstheme="minorBidi"/>
            <w:noProof/>
            <w:sz w:val="22"/>
          </w:rPr>
          <w:tab/>
        </w:r>
        <w:r w:rsidR="004D060B" w:rsidRPr="004D4A7D">
          <w:rPr>
            <w:rStyle w:val="Hyperlink"/>
            <w:b/>
            <w:noProof/>
          </w:rPr>
          <w:t>Average annual energy intensity by segment</w:t>
        </w:r>
        <w:r w:rsidR="004D060B">
          <w:rPr>
            <w:noProof/>
            <w:webHidden/>
          </w:rPr>
          <w:tab/>
        </w:r>
        <w:r w:rsidR="004D060B">
          <w:rPr>
            <w:noProof/>
            <w:webHidden/>
          </w:rPr>
          <w:fldChar w:fldCharType="begin"/>
        </w:r>
        <w:r w:rsidR="004D060B">
          <w:rPr>
            <w:noProof/>
            <w:webHidden/>
          </w:rPr>
          <w:instrText xml:space="preserve"> PAGEREF _Toc415660958 \h </w:instrText>
        </w:r>
        <w:r w:rsidR="004D060B">
          <w:rPr>
            <w:noProof/>
            <w:webHidden/>
          </w:rPr>
        </w:r>
        <w:r w:rsidR="004D060B">
          <w:rPr>
            <w:noProof/>
            <w:webHidden/>
          </w:rPr>
          <w:fldChar w:fldCharType="separate"/>
        </w:r>
        <w:r w:rsidR="004D060B">
          <w:rPr>
            <w:noProof/>
            <w:webHidden/>
          </w:rPr>
          <w:t>43</w:t>
        </w:r>
        <w:r w:rsidR="004D060B">
          <w:rPr>
            <w:noProof/>
            <w:webHidden/>
          </w:rPr>
          <w:fldChar w:fldCharType="end"/>
        </w:r>
      </w:hyperlink>
    </w:p>
    <w:p w14:paraId="760C8194" w14:textId="77777777" w:rsidR="004D060B" w:rsidRDefault="00366ADF">
      <w:pPr>
        <w:pStyle w:val="TableofFigures"/>
        <w:rPr>
          <w:rFonts w:asciiTheme="minorHAnsi" w:eastAsiaTheme="minorEastAsia" w:hAnsiTheme="minorHAnsi" w:cstheme="minorBidi"/>
          <w:noProof/>
          <w:sz w:val="22"/>
        </w:rPr>
      </w:pPr>
      <w:hyperlink w:anchor="_Toc415660959" w:history="1">
        <w:r w:rsidR="004D060B" w:rsidRPr="004D4A7D">
          <w:rPr>
            <w:rStyle w:val="Hyperlink"/>
            <w:noProof/>
          </w:rPr>
          <w:t>Figure 14</w:t>
        </w:r>
        <w:r w:rsidR="004D060B">
          <w:rPr>
            <w:rFonts w:asciiTheme="minorHAnsi" w:eastAsiaTheme="minorEastAsia" w:hAnsiTheme="minorHAnsi" w:cstheme="minorBidi"/>
            <w:noProof/>
            <w:sz w:val="22"/>
          </w:rPr>
          <w:tab/>
        </w:r>
        <w:r w:rsidR="004D060B" w:rsidRPr="004D4A7D">
          <w:rPr>
            <w:rStyle w:val="Hyperlink"/>
            <w:b/>
            <w:noProof/>
          </w:rPr>
          <w:t>Distribution of NLPD changes (all buildings, bins 3 W/m</w:t>
        </w:r>
        <w:r w:rsidR="004D060B" w:rsidRPr="004D4A7D">
          <w:rPr>
            <w:rStyle w:val="Hyperlink"/>
            <w:b/>
            <w:noProof/>
            <w:vertAlign w:val="superscript"/>
          </w:rPr>
          <w:t>2</w:t>
        </w:r>
        <w:r w:rsidR="004D060B" w:rsidRPr="004D4A7D">
          <w:rPr>
            <w:rStyle w:val="Hyperlink"/>
            <w:b/>
            <w:noProof/>
          </w:rPr>
          <w:t xml:space="preserve"> wide)</w:t>
        </w:r>
        <w:r w:rsidR="004D060B">
          <w:rPr>
            <w:noProof/>
            <w:webHidden/>
          </w:rPr>
          <w:tab/>
        </w:r>
        <w:r w:rsidR="004D060B">
          <w:rPr>
            <w:noProof/>
            <w:webHidden/>
          </w:rPr>
          <w:fldChar w:fldCharType="begin"/>
        </w:r>
        <w:r w:rsidR="004D060B">
          <w:rPr>
            <w:noProof/>
            <w:webHidden/>
          </w:rPr>
          <w:instrText xml:space="preserve"> PAGEREF _Toc415660959 \h </w:instrText>
        </w:r>
        <w:r w:rsidR="004D060B">
          <w:rPr>
            <w:noProof/>
            <w:webHidden/>
          </w:rPr>
        </w:r>
        <w:r w:rsidR="004D060B">
          <w:rPr>
            <w:noProof/>
            <w:webHidden/>
          </w:rPr>
          <w:fldChar w:fldCharType="separate"/>
        </w:r>
        <w:r w:rsidR="004D060B">
          <w:rPr>
            <w:noProof/>
            <w:webHidden/>
          </w:rPr>
          <w:t>47</w:t>
        </w:r>
        <w:r w:rsidR="004D060B">
          <w:rPr>
            <w:noProof/>
            <w:webHidden/>
          </w:rPr>
          <w:fldChar w:fldCharType="end"/>
        </w:r>
      </w:hyperlink>
    </w:p>
    <w:p w14:paraId="58D40D97" w14:textId="77777777" w:rsidR="004D060B" w:rsidRDefault="00366ADF">
      <w:pPr>
        <w:pStyle w:val="TableofFigures"/>
        <w:rPr>
          <w:rFonts w:asciiTheme="minorHAnsi" w:eastAsiaTheme="minorEastAsia" w:hAnsiTheme="minorHAnsi" w:cstheme="minorBidi"/>
          <w:noProof/>
          <w:sz w:val="22"/>
        </w:rPr>
      </w:pPr>
      <w:hyperlink w:anchor="_Toc415660960" w:history="1">
        <w:r w:rsidR="004D060B" w:rsidRPr="004D4A7D">
          <w:rPr>
            <w:rStyle w:val="Hyperlink"/>
            <w:noProof/>
          </w:rPr>
          <w:t>Figure 15</w:t>
        </w:r>
        <w:r w:rsidR="004D060B">
          <w:rPr>
            <w:rFonts w:asciiTheme="minorHAnsi" w:eastAsiaTheme="minorEastAsia" w:hAnsiTheme="minorHAnsi" w:cstheme="minorBidi"/>
            <w:noProof/>
            <w:sz w:val="22"/>
          </w:rPr>
          <w:tab/>
        </w:r>
        <w:r w:rsidR="004D060B" w:rsidRPr="004D4A7D">
          <w:rPr>
            <w:rStyle w:val="Hyperlink"/>
            <w:b/>
            <w:noProof/>
          </w:rPr>
          <w:t>Distribution of NLPD changes (all buildings, bins 1 W/m</w:t>
        </w:r>
        <w:r w:rsidR="004D060B" w:rsidRPr="004D4A7D">
          <w:rPr>
            <w:rStyle w:val="Hyperlink"/>
            <w:b/>
            <w:noProof/>
            <w:vertAlign w:val="superscript"/>
          </w:rPr>
          <w:t>2</w:t>
        </w:r>
        <w:r w:rsidR="004D060B" w:rsidRPr="004D4A7D">
          <w:rPr>
            <w:rStyle w:val="Hyperlink"/>
            <w:b/>
            <w:noProof/>
          </w:rPr>
          <w:t xml:space="preserve"> wide)</w:t>
        </w:r>
        <w:r w:rsidR="004D060B">
          <w:rPr>
            <w:noProof/>
            <w:webHidden/>
          </w:rPr>
          <w:tab/>
        </w:r>
        <w:r w:rsidR="004D060B">
          <w:rPr>
            <w:noProof/>
            <w:webHidden/>
          </w:rPr>
          <w:fldChar w:fldCharType="begin"/>
        </w:r>
        <w:r w:rsidR="004D060B">
          <w:rPr>
            <w:noProof/>
            <w:webHidden/>
          </w:rPr>
          <w:instrText xml:space="preserve"> PAGEREF _Toc415660960 \h </w:instrText>
        </w:r>
        <w:r w:rsidR="004D060B">
          <w:rPr>
            <w:noProof/>
            <w:webHidden/>
          </w:rPr>
        </w:r>
        <w:r w:rsidR="004D060B">
          <w:rPr>
            <w:noProof/>
            <w:webHidden/>
          </w:rPr>
          <w:fldChar w:fldCharType="separate"/>
        </w:r>
        <w:r w:rsidR="004D060B">
          <w:rPr>
            <w:noProof/>
            <w:webHidden/>
          </w:rPr>
          <w:t>48</w:t>
        </w:r>
        <w:r w:rsidR="004D060B">
          <w:rPr>
            <w:noProof/>
            <w:webHidden/>
          </w:rPr>
          <w:fldChar w:fldCharType="end"/>
        </w:r>
      </w:hyperlink>
    </w:p>
    <w:p w14:paraId="5A1A3963" w14:textId="77777777" w:rsidR="004D060B" w:rsidRDefault="00366ADF">
      <w:pPr>
        <w:pStyle w:val="TableofFigures"/>
        <w:rPr>
          <w:rFonts w:asciiTheme="minorHAnsi" w:eastAsiaTheme="minorEastAsia" w:hAnsiTheme="minorHAnsi" w:cstheme="minorBidi"/>
          <w:noProof/>
          <w:sz w:val="22"/>
        </w:rPr>
      </w:pPr>
      <w:hyperlink w:anchor="_Toc415660961" w:history="1">
        <w:r w:rsidR="004D060B" w:rsidRPr="004D4A7D">
          <w:rPr>
            <w:rStyle w:val="Hyperlink"/>
            <w:noProof/>
          </w:rPr>
          <w:t>Figure 16</w:t>
        </w:r>
        <w:r w:rsidR="004D060B">
          <w:rPr>
            <w:rFonts w:asciiTheme="minorHAnsi" w:eastAsiaTheme="minorEastAsia" w:hAnsiTheme="minorHAnsi" w:cstheme="minorBidi"/>
            <w:noProof/>
            <w:sz w:val="22"/>
          </w:rPr>
          <w:tab/>
        </w:r>
        <w:r w:rsidR="004D060B" w:rsidRPr="004D4A7D">
          <w:rPr>
            <w:rStyle w:val="Hyperlink"/>
            <w:b/>
            <w:noProof/>
          </w:rPr>
          <w:t>Distribution of NLPD changes (voluntary group, bins 3 W/m</w:t>
        </w:r>
        <w:r w:rsidR="004D060B" w:rsidRPr="004D4A7D">
          <w:rPr>
            <w:rStyle w:val="Hyperlink"/>
            <w:b/>
            <w:noProof/>
            <w:vertAlign w:val="superscript"/>
          </w:rPr>
          <w:t>2</w:t>
        </w:r>
        <w:r w:rsidR="004D060B" w:rsidRPr="004D4A7D">
          <w:rPr>
            <w:rStyle w:val="Hyperlink"/>
            <w:b/>
            <w:noProof/>
          </w:rPr>
          <w:t xml:space="preserve"> wide)</w:t>
        </w:r>
        <w:r w:rsidR="004D060B">
          <w:rPr>
            <w:noProof/>
            <w:webHidden/>
          </w:rPr>
          <w:tab/>
        </w:r>
        <w:r w:rsidR="004D060B">
          <w:rPr>
            <w:noProof/>
            <w:webHidden/>
          </w:rPr>
          <w:fldChar w:fldCharType="begin"/>
        </w:r>
        <w:r w:rsidR="004D060B">
          <w:rPr>
            <w:noProof/>
            <w:webHidden/>
          </w:rPr>
          <w:instrText xml:space="preserve"> PAGEREF _Toc415660961 \h </w:instrText>
        </w:r>
        <w:r w:rsidR="004D060B">
          <w:rPr>
            <w:noProof/>
            <w:webHidden/>
          </w:rPr>
        </w:r>
        <w:r w:rsidR="004D060B">
          <w:rPr>
            <w:noProof/>
            <w:webHidden/>
          </w:rPr>
          <w:fldChar w:fldCharType="separate"/>
        </w:r>
        <w:r w:rsidR="004D060B">
          <w:rPr>
            <w:noProof/>
            <w:webHidden/>
          </w:rPr>
          <w:t>49</w:t>
        </w:r>
        <w:r w:rsidR="004D060B">
          <w:rPr>
            <w:noProof/>
            <w:webHidden/>
          </w:rPr>
          <w:fldChar w:fldCharType="end"/>
        </w:r>
      </w:hyperlink>
    </w:p>
    <w:p w14:paraId="3B187B82" w14:textId="77777777" w:rsidR="004D060B" w:rsidRDefault="00366ADF">
      <w:pPr>
        <w:pStyle w:val="TableofFigures"/>
        <w:rPr>
          <w:rFonts w:asciiTheme="minorHAnsi" w:eastAsiaTheme="minorEastAsia" w:hAnsiTheme="minorHAnsi" w:cstheme="minorBidi"/>
          <w:noProof/>
          <w:sz w:val="22"/>
        </w:rPr>
      </w:pPr>
      <w:hyperlink w:anchor="_Toc415660962" w:history="1">
        <w:r w:rsidR="004D060B" w:rsidRPr="004D4A7D">
          <w:rPr>
            <w:rStyle w:val="Hyperlink"/>
            <w:noProof/>
          </w:rPr>
          <w:t>Figure 17</w:t>
        </w:r>
        <w:r w:rsidR="004D060B">
          <w:rPr>
            <w:rFonts w:asciiTheme="minorHAnsi" w:eastAsiaTheme="minorEastAsia" w:hAnsiTheme="minorHAnsi" w:cstheme="minorBidi"/>
            <w:noProof/>
            <w:sz w:val="22"/>
          </w:rPr>
          <w:tab/>
        </w:r>
        <w:r w:rsidR="004D060B" w:rsidRPr="004D4A7D">
          <w:rPr>
            <w:rStyle w:val="Hyperlink"/>
            <w:b/>
            <w:noProof/>
          </w:rPr>
          <w:t>Distribution of NLPD changes (mandatory group, bins 3 W/m</w:t>
        </w:r>
        <w:r w:rsidR="004D060B" w:rsidRPr="004D4A7D">
          <w:rPr>
            <w:rStyle w:val="Hyperlink"/>
            <w:b/>
            <w:noProof/>
            <w:vertAlign w:val="superscript"/>
          </w:rPr>
          <w:t>2</w:t>
        </w:r>
        <w:r w:rsidR="004D060B" w:rsidRPr="004D4A7D">
          <w:rPr>
            <w:rStyle w:val="Hyperlink"/>
            <w:b/>
            <w:noProof/>
          </w:rPr>
          <w:t xml:space="preserve"> wide)</w:t>
        </w:r>
        <w:r w:rsidR="004D060B">
          <w:rPr>
            <w:noProof/>
            <w:webHidden/>
          </w:rPr>
          <w:tab/>
        </w:r>
        <w:r w:rsidR="004D060B">
          <w:rPr>
            <w:noProof/>
            <w:webHidden/>
          </w:rPr>
          <w:fldChar w:fldCharType="begin"/>
        </w:r>
        <w:r w:rsidR="004D060B">
          <w:rPr>
            <w:noProof/>
            <w:webHidden/>
          </w:rPr>
          <w:instrText xml:space="preserve"> PAGEREF _Toc415660962 \h </w:instrText>
        </w:r>
        <w:r w:rsidR="004D060B">
          <w:rPr>
            <w:noProof/>
            <w:webHidden/>
          </w:rPr>
        </w:r>
        <w:r w:rsidR="004D060B">
          <w:rPr>
            <w:noProof/>
            <w:webHidden/>
          </w:rPr>
          <w:fldChar w:fldCharType="separate"/>
        </w:r>
        <w:r w:rsidR="004D060B">
          <w:rPr>
            <w:noProof/>
            <w:webHidden/>
          </w:rPr>
          <w:t>49</w:t>
        </w:r>
        <w:r w:rsidR="004D060B">
          <w:rPr>
            <w:noProof/>
            <w:webHidden/>
          </w:rPr>
          <w:fldChar w:fldCharType="end"/>
        </w:r>
      </w:hyperlink>
    </w:p>
    <w:p w14:paraId="3546FD53" w14:textId="77777777" w:rsidR="004D060B" w:rsidRDefault="00366ADF">
      <w:pPr>
        <w:pStyle w:val="TableofFigures"/>
        <w:rPr>
          <w:rFonts w:asciiTheme="minorHAnsi" w:eastAsiaTheme="minorEastAsia" w:hAnsiTheme="minorHAnsi" w:cstheme="minorBidi"/>
          <w:noProof/>
          <w:sz w:val="22"/>
        </w:rPr>
      </w:pPr>
      <w:hyperlink w:anchor="_Toc415660963" w:history="1">
        <w:r w:rsidR="004D060B" w:rsidRPr="004D4A7D">
          <w:rPr>
            <w:rStyle w:val="Hyperlink"/>
            <w:noProof/>
          </w:rPr>
          <w:t>Figure 18</w:t>
        </w:r>
        <w:r w:rsidR="004D060B">
          <w:rPr>
            <w:rFonts w:asciiTheme="minorHAnsi" w:eastAsiaTheme="minorEastAsia" w:hAnsiTheme="minorHAnsi" w:cstheme="minorBidi"/>
            <w:noProof/>
            <w:sz w:val="22"/>
          </w:rPr>
          <w:tab/>
        </w:r>
        <w:r w:rsidR="004D060B" w:rsidRPr="004D4A7D">
          <w:rPr>
            <w:rStyle w:val="Hyperlink"/>
            <w:b/>
            <w:noProof/>
          </w:rPr>
          <w:t>Distribution of NLPD changes (voluntary and mandatory compared)</w:t>
        </w:r>
        <w:r w:rsidR="004D060B">
          <w:rPr>
            <w:noProof/>
            <w:webHidden/>
          </w:rPr>
          <w:tab/>
        </w:r>
        <w:r w:rsidR="004D060B">
          <w:rPr>
            <w:noProof/>
            <w:webHidden/>
          </w:rPr>
          <w:fldChar w:fldCharType="begin"/>
        </w:r>
        <w:r w:rsidR="004D060B">
          <w:rPr>
            <w:noProof/>
            <w:webHidden/>
          </w:rPr>
          <w:instrText xml:space="preserve"> PAGEREF _Toc415660963 \h </w:instrText>
        </w:r>
        <w:r w:rsidR="004D060B">
          <w:rPr>
            <w:noProof/>
            <w:webHidden/>
          </w:rPr>
        </w:r>
        <w:r w:rsidR="004D060B">
          <w:rPr>
            <w:noProof/>
            <w:webHidden/>
          </w:rPr>
          <w:fldChar w:fldCharType="separate"/>
        </w:r>
        <w:r w:rsidR="004D060B">
          <w:rPr>
            <w:noProof/>
            <w:webHidden/>
          </w:rPr>
          <w:t>50</w:t>
        </w:r>
        <w:r w:rsidR="004D060B">
          <w:rPr>
            <w:noProof/>
            <w:webHidden/>
          </w:rPr>
          <w:fldChar w:fldCharType="end"/>
        </w:r>
      </w:hyperlink>
    </w:p>
    <w:p w14:paraId="7F711D7C" w14:textId="77777777" w:rsidR="004D060B" w:rsidRDefault="00366ADF">
      <w:pPr>
        <w:pStyle w:val="TableofFigures"/>
        <w:rPr>
          <w:rFonts w:asciiTheme="minorHAnsi" w:eastAsiaTheme="minorEastAsia" w:hAnsiTheme="minorHAnsi" w:cstheme="minorBidi"/>
          <w:noProof/>
          <w:sz w:val="22"/>
        </w:rPr>
      </w:pPr>
      <w:hyperlink w:anchor="_Toc415660964" w:history="1">
        <w:r w:rsidR="004D060B" w:rsidRPr="004D4A7D">
          <w:rPr>
            <w:rStyle w:val="Hyperlink"/>
            <w:noProof/>
          </w:rPr>
          <w:t>Figure 19</w:t>
        </w:r>
        <w:r w:rsidR="004D060B">
          <w:rPr>
            <w:rFonts w:asciiTheme="minorHAnsi" w:eastAsiaTheme="minorEastAsia" w:hAnsiTheme="minorHAnsi" w:cstheme="minorBidi"/>
            <w:noProof/>
            <w:sz w:val="22"/>
          </w:rPr>
          <w:tab/>
        </w:r>
        <w:r w:rsidR="004D060B" w:rsidRPr="004D4A7D">
          <w:rPr>
            <w:rStyle w:val="Hyperlink"/>
            <w:b/>
            <w:noProof/>
          </w:rPr>
          <w:t>Example results of a threshold analysis</w:t>
        </w:r>
        <w:r w:rsidR="004D060B">
          <w:rPr>
            <w:noProof/>
            <w:webHidden/>
          </w:rPr>
          <w:tab/>
        </w:r>
        <w:r w:rsidR="004D060B">
          <w:rPr>
            <w:noProof/>
            <w:webHidden/>
          </w:rPr>
          <w:fldChar w:fldCharType="begin"/>
        </w:r>
        <w:r w:rsidR="004D060B">
          <w:rPr>
            <w:noProof/>
            <w:webHidden/>
          </w:rPr>
          <w:instrText xml:space="preserve"> PAGEREF _Toc415660964 \h </w:instrText>
        </w:r>
        <w:r w:rsidR="004D060B">
          <w:rPr>
            <w:noProof/>
            <w:webHidden/>
          </w:rPr>
        </w:r>
        <w:r w:rsidR="004D060B">
          <w:rPr>
            <w:noProof/>
            <w:webHidden/>
          </w:rPr>
          <w:fldChar w:fldCharType="separate"/>
        </w:r>
        <w:r w:rsidR="004D060B">
          <w:rPr>
            <w:noProof/>
            <w:webHidden/>
          </w:rPr>
          <w:t>55</w:t>
        </w:r>
        <w:r w:rsidR="004D060B">
          <w:rPr>
            <w:noProof/>
            <w:webHidden/>
          </w:rPr>
          <w:fldChar w:fldCharType="end"/>
        </w:r>
      </w:hyperlink>
    </w:p>
    <w:p w14:paraId="31851110" w14:textId="77777777" w:rsidR="004D060B" w:rsidRDefault="00366ADF">
      <w:pPr>
        <w:pStyle w:val="TableofFigures"/>
        <w:rPr>
          <w:rFonts w:asciiTheme="minorHAnsi" w:eastAsiaTheme="minorEastAsia" w:hAnsiTheme="minorHAnsi" w:cstheme="minorBidi"/>
          <w:noProof/>
          <w:sz w:val="22"/>
        </w:rPr>
      </w:pPr>
      <w:hyperlink w:anchor="_Toc415660965" w:history="1">
        <w:r w:rsidR="004D060B" w:rsidRPr="004D4A7D">
          <w:rPr>
            <w:rStyle w:val="Hyperlink"/>
            <w:noProof/>
          </w:rPr>
          <w:t>Figure 20</w:t>
        </w:r>
        <w:r w:rsidR="004D060B">
          <w:rPr>
            <w:rFonts w:asciiTheme="minorHAnsi" w:eastAsiaTheme="minorEastAsia" w:hAnsiTheme="minorHAnsi" w:cstheme="minorBidi"/>
            <w:noProof/>
            <w:sz w:val="22"/>
          </w:rPr>
          <w:tab/>
        </w:r>
        <w:r w:rsidR="004D060B" w:rsidRPr="004D4A7D">
          <w:rPr>
            <w:rStyle w:val="Hyperlink"/>
            <w:b/>
            <w:noProof/>
          </w:rPr>
          <w:t>Threshold analysis for benefit of CBD program to date ($m NPV)</w:t>
        </w:r>
        <w:r w:rsidR="004D060B">
          <w:rPr>
            <w:noProof/>
            <w:webHidden/>
          </w:rPr>
          <w:tab/>
        </w:r>
        <w:r w:rsidR="004D060B">
          <w:rPr>
            <w:noProof/>
            <w:webHidden/>
          </w:rPr>
          <w:fldChar w:fldCharType="begin"/>
        </w:r>
        <w:r w:rsidR="004D060B">
          <w:rPr>
            <w:noProof/>
            <w:webHidden/>
          </w:rPr>
          <w:instrText xml:space="preserve"> PAGEREF _Toc415660965 \h </w:instrText>
        </w:r>
        <w:r w:rsidR="004D060B">
          <w:rPr>
            <w:noProof/>
            <w:webHidden/>
          </w:rPr>
        </w:r>
        <w:r w:rsidR="004D060B">
          <w:rPr>
            <w:noProof/>
            <w:webHidden/>
          </w:rPr>
          <w:fldChar w:fldCharType="separate"/>
        </w:r>
        <w:r w:rsidR="004D060B">
          <w:rPr>
            <w:noProof/>
            <w:webHidden/>
          </w:rPr>
          <w:t>57</w:t>
        </w:r>
        <w:r w:rsidR="004D060B">
          <w:rPr>
            <w:noProof/>
            <w:webHidden/>
          </w:rPr>
          <w:fldChar w:fldCharType="end"/>
        </w:r>
      </w:hyperlink>
    </w:p>
    <w:p w14:paraId="58EC65C2" w14:textId="77777777" w:rsidR="004D060B" w:rsidRDefault="00366ADF">
      <w:pPr>
        <w:pStyle w:val="TableofFigures"/>
        <w:rPr>
          <w:rFonts w:asciiTheme="minorHAnsi" w:eastAsiaTheme="minorEastAsia" w:hAnsiTheme="minorHAnsi" w:cstheme="minorBidi"/>
          <w:noProof/>
          <w:sz w:val="22"/>
        </w:rPr>
      </w:pPr>
      <w:hyperlink w:anchor="_Toc415660966" w:history="1">
        <w:r w:rsidR="004D060B" w:rsidRPr="004D4A7D">
          <w:rPr>
            <w:rStyle w:val="Hyperlink"/>
            <w:noProof/>
          </w:rPr>
          <w:t>Figure 21</w:t>
        </w:r>
        <w:r w:rsidR="004D060B">
          <w:rPr>
            <w:rFonts w:asciiTheme="minorHAnsi" w:eastAsiaTheme="minorEastAsia" w:hAnsiTheme="minorHAnsi" w:cstheme="minorBidi"/>
            <w:noProof/>
            <w:sz w:val="22"/>
          </w:rPr>
          <w:tab/>
        </w:r>
        <w:r w:rsidR="004D060B" w:rsidRPr="004D4A7D">
          <w:rPr>
            <w:rStyle w:val="Hyperlink"/>
            <w:b/>
            <w:noProof/>
          </w:rPr>
          <w:t>Illustrative energy costs for 10,000 m</w:t>
        </w:r>
        <w:r w:rsidR="004D060B" w:rsidRPr="004D4A7D">
          <w:rPr>
            <w:rStyle w:val="Hyperlink"/>
            <w:b/>
            <w:noProof/>
            <w:vertAlign w:val="superscript"/>
          </w:rPr>
          <w:t>2</w:t>
        </w:r>
        <w:r w:rsidR="004D060B" w:rsidRPr="004D4A7D">
          <w:rPr>
            <w:rStyle w:val="Hyperlink"/>
            <w:b/>
            <w:noProof/>
          </w:rPr>
          <w:t xml:space="preserve"> NLA by star rating</w:t>
        </w:r>
        <w:r w:rsidR="004D060B">
          <w:rPr>
            <w:noProof/>
            <w:webHidden/>
          </w:rPr>
          <w:tab/>
        </w:r>
        <w:r w:rsidR="004D060B">
          <w:rPr>
            <w:noProof/>
            <w:webHidden/>
          </w:rPr>
          <w:fldChar w:fldCharType="begin"/>
        </w:r>
        <w:r w:rsidR="004D060B">
          <w:rPr>
            <w:noProof/>
            <w:webHidden/>
          </w:rPr>
          <w:instrText xml:space="preserve"> PAGEREF _Toc415660966 \h </w:instrText>
        </w:r>
        <w:r w:rsidR="004D060B">
          <w:rPr>
            <w:noProof/>
            <w:webHidden/>
          </w:rPr>
        </w:r>
        <w:r w:rsidR="004D060B">
          <w:rPr>
            <w:noProof/>
            <w:webHidden/>
          </w:rPr>
          <w:fldChar w:fldCharType="separate"/>
        </w:r>
        <w:r w:rsidR="004D060B">
          <w:rPr>
            <w:noProof/>
            <w:webHidden/>
          </w:rPr>
          <w:t>59</w:t>
        </w:r>
        <w:r w:rsidR="004D060B">
          <w:rPr>
            <w:noProof/>
            <w:webHidden/>
          </w:rPr>
          <w:fldChar w:fldCharType="end"/>
        </w:r>
      </w:hyperlink>
    </w:p>
    <w:p w14:paraId="0008A03E" w14:textId="77777777" w:rsidR="004D060B" w:rsidRDefault="00366ADF">
      <w:pPr>
        <w:pStyle w:val="TableofFigures"/>
        <w:rPr>
          <w:rFonts w:asciiTheme="minorHAnsi" w:eastAsiaTheme="minorEastAsia" w:hAnsiTheme="minorHAnsi" w:cstheme="minorBidi"/>
          <w:noProof/>
          <w:sz w:val="22"/>
        </w:rPr>
      </w:pPr>
      <w:hyperlink w:anchor="_Toc415660967" w:history="1">
        <w:r w:rsidR="004D060B" w:rsidRPr="004D4A7D">
          <w:rPr>
            <w:rStyle w:val="Hyperlink"/>
            <w:noProof/>
          </w:rPr>
          <w:t>Figure 22</w:t>
        </w:r>
        <w:r w:rsidR="004D060B">
          <w:rPr>
            <w:rFonts w:asciiTheme="minorHAnsi" w:eastAsiaTheme="minorEastAsia" w:hAnsiTheme="minorHAnsi" w:cstheme="minorBidi"/>
            <w:noProof/>
            <w:sz w:val="22"/>
          </w:rPr>
          <w:tab/>
        </w:r>
        <w:r w:rsidR="004D060B" w:rsidRPr="004D4A7D">
          <w:rPr>
            <w:rStyle w:val="Hyperlink"/>
            <w:b/>
            <w:noProof/>
          </w:rPr>
          <w:t>Illustrative energy costs for 10,000 m</w:t>
        </w:r>
        <w:r w:rsidR="004D060B" w:rsidRPr="004D4A7D">
          <w:rPr>
            <w:rStyle w:val="Hyperlink"/>
            <w:b/>
            <w:noProof/>
            <w:vertAlign w:val="superscript"/>
          </w:rPr>
          <w:t>2</w:t>
        </w:r>
        <w:r w:rsidR="004D060B" w:rsidRPr="004D4A7D">
          <w:rPr>
            <w:rStyle w:val="Hyperlink"/>
            <w:b/>
            <w:noProof/>
          </w:rPr>
          <w:t xml:space="preserve"> NLA by TLA grade</w:t>
        </w:r>
        <w:r w:rsidR="004D060B">
          <w:rPr>
            <w:noProof/>
            <w:webHidden/>
          </w:rPr>
          <w:tab/>
        </w:r>
        <w:r w:rsidR="004D060B">
          <w:rPr>
            <w:noProof/>
            <w:webHidden/>
          </w:rPr>
          <w:fldChar w:fldCharType="begin"/>
        </w:r>
        <w:r w:rsidR="004D060B">
          <w:rPr>
            <w:noProof/>
            <w:webHidden/>
          </w:rPr>
          <w:instrText xml:space="preserve"> PAGEREF _Toc415660967 \h </w:instrText>
        </w:r>
        <w:r w:rsidR="004D060B">
          <w:rPr>
            <w:noProof/>
            <w:webHidden/>
          </w:rPr>
        </w:r>
        <w:r w:rsidR="004D060B">
          <w:rPr>
            <w:noProof/>
            <w:webHidden/>
          </w:rPr>
          <w:fldChar w:fldCharType="separate"/>
        </w:r>
        <w:r w:rsidR="004D060B">
          <w:rPr>
            <w:noProof/>
            <w:webHidden/>
          </w:rPr>
          <w:t>60</w:t>
        </w:r>
        <w:r w:rsidR="004D060B">
          <w:rPr>
            <w:noProof/>
            <w:webHidden/>
          </w:rPr>
          <w:fldChar w:fldCharType="end"/>
        </w:r>
      </w:hyperlink>
    </w:p>
    <w:p w14:paraId="65F8190D" w14:textId="77777777" w:rsidR="004D060B" w:rsidRDefault="00366ADF">
      <w:pPr>
        <w:pStyle w:val="TableofFigures"/>
        <w:rPr>
          <w:rFonts w:asciiTheme="minorHAnsi" w:eastAsiaTheme="minorEastAsia" w:hAnsiTheme="minorHAnsi" w:cstheme="minorBidi"/>
          <w:noProof/>
          <w:sz w:val="22"/>
        </w:rPr>
      </w:pPr>
      <w:hyperlink w:anchor="_Toc415660968" w:history="1">
        <w:r w:rsidR="004D060B" w:rsidRPr="004D4A7D">
          <w:rPr>
            <w:rStyle w:val="Hyperlink"/>
            <w:noProof/>
          </w:rPr>
          <w:t>Figure 23</w:t>
        </w:r>
        <w:r w:rsidR="004D060B">
          <w:rPr>
            <w:rFonts w:asciiTheme="minorHAnsi" w:eastAsiaTheme="minorEastAsia" w:hAnsiTheme="minorHAnsi" w:cstheme="minorBidi"/>
            <w:noProof/>
            <w:sz w:val="22"/>
          </w:rPr>
          <w:tab/>
        </w:r>
        <w:r w:rsidR="004D060B" w:rsidRPr="004D4A7D">
          <w:rPr>
            <w:rStyle w:val="Hyperlink"/>
            <w:b/>
            <w:noProof/>
          </w:rPr>
          <w:t>IPD annual return comparisons, December 2013</w:t>
        </w:r>
        <w:r w:rsidR="004D060B">
          <w:rPr>
            <w:noProof/>
            <w:webHidden/>
          </w:rPr>
          <w:tab/>
        </w:r>
        <w:r w:rsidR="004D060B">
          <w:rPr>
            <w:noProof/>
            <w:webHidden/>
          </w:rPr>
          <w:fldChar w:fldCharType="begin"/>
        </w:r>
        <w:r w:rsidR="004D060B">
          <w:rPr>
            <w:noProof/>
            <w:webHidden/>
          </w:rPr>
          <w:instrText xml:space="preserve"> PAGEREF _Toc415660968 \h </w:instrText>
        </w:r>
        <w:r w:rsidR="004D060B">
          <w:rPr>
            <w:noProof/>
            <w:webHidden/>
          </w:rPr>
        </w:r>
        <w:r w:rsidR="004D060B">
          <w:rPr>
            <w:noProof/>
            <w:webHidden/>
          </w:rPr>
          <w:fldChar w:fldCharType="separate"/>
        </w:r>
        <w:r w:rsidR="004D060B">
          <w:rPr>
            <w:noProof/>
            <w:webHidden/>
          </w:rPr>
          <w:t>61</w:t>
        </w:r>
        <w:r w:rsidR="004D060B">
          <w:rPr>
            <w:noProof/>
            <w:webHidden/>
          </w:rPr>
          <w:fldChar w:fldCharType="end"/>
        </w:r>
      </w:hyperlink>
    </w:p>
    <w:p w14:paraId="79E60035" w14:textId="77777777" w:rsidR="004D060B" w:rsidRDefault="00366ADF">
      <w:pPr>
        <w:pStyle w:val="TableofFigures"/>
        <w:rPr>
          <w:rFonts w:asciiTheme="minorHAnsi" w:eastAsiaTheme="minorEastAsia" w:hAnsiTheme="minorHAnsi" w:cstheme="minorBidi"/>
          <w:noProof/>
          <w:sz w:val="22"/>
        </w:rPr>
      </w:pPr>
      <w:hyperlink w:anchor="_Toc415660969" w:history="1">
        <w:r w:rsidR="004D060B" w:rsidRPr="004D4A7D">
          <w:rPr>
            <w:rStyle w:val="Hyperlink"/>
            <w:noProof/>
          </w:rPr>
          <w:t>Figure 24</w:t>
        </w:r>
        <w:r w:rsidR="004D060B">
          <w:rPr>
            <w:rFonts w:asciiTheme="minorHAnsi" w:eastAsiaTheme="minorEastAsia" w:hAnsiTheme="minorHAnsi" w:cstheme="minorBidi"/>
            <w:noProof/>
            <w:sz w:val="22"/>
          </w:rPr>
          <w:tab/>
        </w:r>
        <w:r w:rsidR="004D060B" w:rsidRPr="004D4A7D">
          <w:rPr>
            <w:rStyle w:val="Hyperlink"/>
            <w:b/>
            <w:noProof/>
          </w:rPr>
          <w:t>Transition in star ratings of mandatory rater floor space during CBD</w:t>
        </w:r>
        <w:r w:rsidR="004D060B">
          <w:rPr>
            <w:noProof/>
            <w:webHidden/>
          </w:rPr>
          <w:tab/>
        </w:r>
        <w:r w:rsidR="004D060B">
          <w:rPr>
            <w:noProof/>
            <w:webHidden/>
          </w:rPr>
          <w:fldChar w:fldCharType="begin"/>
        </w:r>
        <w:r w:rsidR="004D060B">
          <w:rPr>
            <w:noProof/>
            <w:webHidden/>
          </w:rPr>
          <w:instrText xml:space="preserve"> PAGEREF _Toc415660969 \h </w:instrText>
        </w:r>
        <w:r w:rsidR="004D060B">
          <w:rPr>
            <w:noProof/>
            <w:webHidden/>
          </w:rPr>
        </w:r>
        <w:r w:rsidR="004D060B">
          <w:rPr>
            <w:noProof/>
            <w:webHidden/>
          </w:rPr>
          <w:fldChar w:fldCharType="separate"/>
        </w:r>
        <w:r w:rsidR="004D060B">
          <w:rPr>
            <w:noProof/>
            <w:webHidden/>
          </w:rPr>
          <w:t>66</w:t>
        </w:r>
        <w:r w:rsidR="004D060B">
          <w:rPr>
            <w:noProof/>
            <w:webHidden/>
          </w:rPr>
          <w:fldChar w:fldCharType="end"/>
        </w:r>
      </w:hyperlink>
    </w:p>
    <w:p w14:paraId="07A2DBBB" w14:textId="77777777" w:rsidR="004D060B" w:rsidRDefault="00366ADF">
      <w:pPr>
        <w:pStyle w:val="TableofFigures"/>
        <w:rPr>
          <w:rFonts w:asciiTheme="minorHAnsi" w:eastAsiaTheme="minorEastAsia" w:hAnsiTheme="minorHAnsi" w:cstheme="minorBidi"/>
          <w:noProof/>
          <w:sz w:val="22"/>
        </w:rPr>
      </w:pPr>
      <w:hyperlink w:anchor="_Toc415660970" w:history="1">
        <w:r w:rsidR="004D060B" w:rsidRPr="004D4A7D">
          <w:rPr>
            <w:rStyle w:val="Hyperlink"/>
            <w:noProof/>
          </w:rPr>
          <w:t>Figure 25</w:t>
        </w:r>
        <w:r w:rsidR="004D060B">
          <w:rPr>
            <w:rFonts w:asciiTheme="minorHAnsi" w:eastAsiaTheme="minorEastAsia" w:hAnsiTheme="minorHAnsi" w:cstheme="minorBidi"/>
            <w:noProof/>
            <w:sz w:val="22"/>
          </w:rPr>
          <w:tab/>
        </w:r>
        <w:r w:rsidR="004D060B" w:rsidRPr="004D4A7D">
          <w:rPr>
            <w:rStyle w:val="Hyperlink"/>
            <w:b/>
            <w:noProof/>
          </w:rPr>
          <w:t>Distribution of area within NLPD bands</w:t>
        </w:r>
        <w:r w:rsidR="004D060B">
          <w:rPr>
            <w:noProof/>
            <w:webHidden/>
          </w:rPr>
          <w:tab/>
        </w:r>
        <w:r w:rsidR="004D060B">
          <w:rPr>
            <w:noProof/>
            <w:webHidden/>
          </w:rPr>
          <w:fldChar w:fldCharType="begin"/>
        </w:r>
        <w:r w:rsidR="004D060B">
          <w:rPr>
            <w:noProof/>
            <w:webHidden/>
          </w:rPr>
          <w:instrText xml:space="preserve"> PAGEREF _Toc415660970 \h </w:instrText>
        </w:r>
        <w:r w:rsidR="004D060B">
          <w:rPr>
            <w:noProof/>
            <w:webHidden/>
          </w:rPr>
        </w:r>
        <w:r w:rsidR="004D060B">
          <w:rPr>
            <w:noProof/>
            <w:webHidden/>
          </w:rPr>
          <w:fldChar w:fldCharType="separate"/>
        </w:r>
        <w:r w:rsidR="004D060B">
          <w:rPr>
            <w:noProof/>
            <w:webHidden/>
          </w:rPr>
          <w:t>69</w:t>
        </w:r>
        <w:r w:rsidR="004D060B">
          <w:rPr>
            <w:noProof/>
            <w:webHidden/>
          </w:rPr>
          <w:fldChar w:fldCharType="end"/>
        </w:r>
      </w:hyperlink>
    </w:p>
    <w:p w14:paraId="0DD44CC2" w14:textId="77777777" w:rsidR="004D060B" w:rsidRDefault="00366ADF">
      <w:pPr>
        <w:pStyle w:val="TableofFigures"/>
        <w:rPr>
          <w:rFonts w:asciiTheme="minorHAnsi" w:eastAsiaTheme="minorEastAsia" w:hAnsiTheme="minorHAnsi" w:cstheme="minorBidi"/>
          <w:noProof/>
          <w:sz w:val="22"/>
        </w:rPr>
      </w:pPr>
      <w:hyperlink w:anchor="_Toc415660971" w:history="1">
        <w:r w:rsidR="004D060B" w:rsidRPr="004D4A7D">
          <w:rPr>
            <w:rStyle w:val="Hyperlink"/>
            <w:noProof/>
          </w:rPr>
          <w:t>Figure 26</w:t>
        </w:r>
        <w:r w:rsidR="004D060B">
          <w:rPr>
            <w:rFonts w:asciiTheme="minorHAnsi" w:eastAsiaTheme="minorEastAsia" w:hAnsiTheme="minorHAnsi" w:cstheme="minorBidi"/>
            <w:noProof/>
            <w:sz w:val="22"/>
          </w:rPr>
          <w:tab/>
        </w:r>
        <w:r w:rsidR="004D060B" w:rsidRPr="004D4A7D">
          <w:rPr>
            <w:rStyle w:val="Hyperlink"/>
            <w:b/>
            <w:noProof/>
          </w:rPr>
          <w:t>Projected evolution of star ratings</w:t>
        </w:r>
        <w:r w:rsidR="004D060B">
          <w:rPr>
            <w:noProof/>
            <w:webHidden/>
          </w:rPr>
          <w:tab/>
        </w:r>
        <w:r w:rsidR="004D060B">
          <w:rPr>
            <w:noProof/>
            <w:webHidden/>
          </w:rPr>
          <w:fldChar w:fldCharType="begin"/>
        </w:r>
        <w:r w:rsidR="004D060B">
          <w:rPr>
            <w:noProof/>
            <w:webHidden/>
          </w:rPr>
          <w:instrText xml:space="preserve"> PAGEREF _Toc415660971 \h </w:instrText>
        </w:r>
        <w:r w:rsidR="004D060B">
          <w:rPr>
            <w:noProof/>
            <w:webHidden/>
          </w:rPr>
        </w:r>
        <w:r w:rsidR="004D060B">
          <w:rPr>
            <w:noProof/>
            <w:webHidden/>
          </w:rPr>
          <w:fldChar w:fldCharType="separate"/>
        </w:r>
        <w:r w:rsidR="004D060B">
          <w:rPr>
            <w:noProof/>
            <w:webHidden/>
          </w:rPr>
          <w:t>70</w:t>
        </w:r>
        <w:r w:rsidR="004D060B">
          <w:rPr>
            <w:noProof/>
            <w:webHidden/>
          </w:rPr>
          <w:fldChar w:fldCharType="end"/>
        </w:r>
      </w:hyperlink>
    </w:p>
    <w:p w14:paraId="24916E51" w14:textId="77777777" w:rsidR="004D060B" w:rsidRDefault="00366ADF">
      <w:pPr>
        <w:pStyle w:val="TableofFigures"/>
        <w:rPr>
          <w:rFonts w:asciiTheme="minorHAnsi" w:eastAsiaTheme="minorEastAsia" w:hAnsiTheme="minorHAnsi" w:cstheme="minorBidi"/>
          <w:noProof/>
          <w:sz w:val="22"/>
        </w:rPr>
      </w:pPr>
      <w:hyperlink w:anchor="_Toc415660972" w:history="1">
        <w:r w:rsidR="004D060B" w:rsidRPr="004D4A7D">
          <w:rPr>
            <w:rStyle w:val="Hyperlink"/>
            <w:noProof/>
          </w:rPr>
          <w:t>Figure 27</w:t>
        </w:r>
        <w:r w:rsidR="004D060B">
          <w:rPr>
            <w:rFonts w:asciiTheme="minorHAnsi" w:eastAsiaTheme="minorEastAsia" w:hAnsiTheme="minorHAnsi" w:cstheme="minorBidi"/>
            <w:noProof/>
            <w:sz w:val="22"/>
          </w:rPr>
          <w:tab/>
        </w:r>
        <w:r w:rsidR="004D060B" w:rsidRPr="004D4A7D">
          <w:rPr>
            <w:rStyle w:val="Hyperlink"/>
            <w:b/>
            <w:noProof/>
          </w:rPr>
          <w:t>Threshold analysis for benefit of continuing NABERS component ($m NPV)</w:t>
        </w:r>
        <w:r w:rsidR="004D060B">
          <w:rPr>
            <w:noProof/>
            <w:webHidden/>
          </w:rPr>
          <w:tab/>
        </w:r>
        <w:r w:rsidR="004D060B">
          <w:rPr>
            <w:noProof/>
            <w:webHidden/>
          </w:rPr>
          <w:fldChar w:fldCharType="begin"/>
        </w:r>
        <w:r w:rsidR="004D060B">
          <w:rPr>
            <w:noProof/>
            <w:webHidden/>
          </w:rPr>
          <w:instrText xml:space="preserve"> PAGEREF _Toc415660972 \h </w:instrText>
        </w:r>
        <w:r w:rsidR="004D060B">
          <w:rPr>
            <w:noProof/>
            <w:webHidden/>
          </w:rPr>
        </w:r>
        <w:r w:rsidR="004D060B">
          <w:rPr>
            <w:noProof/>
            <w:webHidden/>
          </w:rPr>
          <w:fldChar w:fldCharType="separate"/>
        </w:r>
        <w:r w:rsidR="004D060B">
          <w:rPr>
            <w:noProof/>
            <w:webHidden/>
          </w:rPr>
          <w:t>74</w:t>
        </w:r>
        <w:r w:rsidR="004D060B">
          <w:rPr>
            <w:noProof/>
            <w:webHidden/>
          </w:rPr>
          <w:fldChar w:fldCharType="end"/>
        </w:r>
      </w:hyperlink>
    </w:p>
    <w:p w14:paraId="7A41E9F8" w14:textId="77777777" w:rsidR="004D060B" w:rsidRDefault="00366ADF">
      <w:pPr>
        <w:pStyle w:val="TableofFigures"/>
        <w:rPr>
          <w:rFonts w:asciiTheme="minorHAnsi" w:eastAsiaTheme="minorEastAsia" w:hAnsiTheme="minorHAnsi" w:cstheme="minorBidi"/>
          <w:noProof/>
          <w:sz w:val="22"/>
        </w:rPr>
      </w:pPr>
      <w:hyperlink w:anchor="_Toc415660973" w:history="1">
        <w:r w:rsidR="004D060B" w:rsidRPr="004D4A7D">
          <w:rPr>
            <w:rStyle w:val="Hyperlink"/>
            <w:noProof/>
          </w:rPr>
          <w:t>Figure 28</w:t>
        </w:r>
        <w:r w:rsidR="004D060B">
          <w:rPr>
            <w:rFonts w:asciiTheme="minorHAnsi" w:eastAsiaTheme="minorEastAsia" w:hAnsiTheme="minorHAnsi" w:cstheme="minorBidi"/>
            <w:noProof/>
            <w:sz w:val="22"/>
          </w:rPr>
          <w:tab/>
        </w:r>
        <w:r w:rsidR="004D060B" w:rsidRPr="004D4A7D">
          <w:rPr>
            <w:rStyle w:val="Hyperlink"/>
            <w:b/>
            <w:noProof/>
          </w:rPr>
          <w:t>Threshold analysis for benefit of continuing TLA component assuming all model tenants ($m NPV)</w:t>
        </w:r>
        <w:r w:rsidR="004D060B">
          <w:rPr>
            <w:noProof/>
            <w:webHidden/>
          </w:rPr>
          <w:tab/>
        </w:r>
        <w:r w:rsidR="004D060B">
          <w:rPr>
            <w:noProof/>
            <w:webHidden/>
          </w:rPr>
          <w:fldChar w:fldCharType="begin"/>
        </w:r>
        <w:r w:rsidR="004D060B">
          <w:rPr>
            <w:noProof/>
            <w:webHidden/>
          </w:rPr>
          <w:instrText xml:space="preserve"> PAGEREF _Toc415660973 \h </w:instrText>
        </w:r>
        <w:r w:rsidR="004D060B">
          <w:rPr>
            <w:noProof/>
            <w:webHidden/>
          </w:rPr>
        </w:r>
        <w:r w:rsidR="004D060B">
          <w:rPr>
            <w:noProof/>
            <w:webHidden/>
          </w:rPr>
          <w:fldChar w:fldCharType="separate"/>
        </w:r>
        <w:r w:rsidR="004D060B">
          <w:rPr>
            <w:noProof/>
            <w:webHidden/>
          </w:rPr>
          <w:t>77</w:t>
        </w:r>
        <w:r w:rsidR="004D060B">
          <w:rPr>
            <w:noProof/>
            <w:webHidden/>
          </w:rPr>
          <w:fldChar w:fldCharType="end"/>
        </w:r>
      </w:hyperlink>
    </w:p>
    <w:p w14:paraId="4DB9D969" w14:textId="77777777" w:rsidR="004D060B" w:rsidRDefault="00366ADF">
      <w:pPr>
        <w:pStyle w:val="TableofFigures"/>
        <w:rPr>
          <w:rFonts w:asciiTheme="minorHAnsi" w:eastAsiaTheme="minorEastAsia" w:hAnsiTheme="minorHAnsi" w:cstheme="minorBidi"/>
          <w:noProof/>
          <w:sz w:val="22"/>
        </w:rPr>
      </w:pPr>
      <w:hyperlink w:anchor="_Toc415660974" w:history="1">
        <w:r w:rsidR="004D060B" w:rsidRPr="004D4A7D">
          <w:rPr>
            <w:rStyle w:val="Hyperlink"/>
            <w:noProof/>
          </w:rPr>
          <w:t>Figure 29</w:t>
        </w:r>
        <w:r w:rsidR="004D060B">
          <w:rPr>
            <w:rFonts w:asciiTheme="minorHAnsi" w:eastAsiaTheme="minorEastAsia" w:hAnsiTheme="minorHAnsi" w:cstheme="minorBidi"/>
            <w:noProof/>
            <w:sz w:val="22"/>
          </w:rPr>
          <w:tab/>
        </w:r>
        <w:r w:rsidR="004D060B" w:rsidRPr="004D4A7D">
          <w:rPr>
            <w:rStyle w:val="Hyperlink"/>
            <w:b/>
            <w:noProof/>
          </w:rPr>
          <w:t>Threshold analysis for benefit of continuing TLA component assuming gradual increase in awareness ($m NPV)</w:t>
        </w:r>
        <w:r w:rsidR="004D060B">
          <w:rPr>
            <w:noProof/>
            <w:webHidden/>
          </w:rPr>
          <w:tab/>
        </w:r>
        <w:r w:rsidR="004D060B">
          <w:rPr>
            <w:noProof/>
            <w:webHidden/>
          </w:rPr>
          <w:fldChar w:fldCharType="begin"/>
        </w:r>
        <w:r w:rsidR="004D060B">
          <w:rPr>
            <w:noProof/>
            <w:webHidden/>
          </w:rPr>
          <w:instrText xml:space="preserve"> PAGEREF _Toc415660974 \h </w:instrText>
        </w:r>
        <w:r w:rsidR="004D060B">
          <w:rPr>
            <w:noProof/>
            <w:webHidden/>
          </w:rPr>
        </w:r>
        <w:r w:rsidR="004D060B">
          <w:rPr>
            <w:noProof/>
            <w:webHidden/>
          </w:rPr>
          <w:fldChar w:fldCharType="separate"/>
        </w:r>
        <w:r w:rsidR="004D060B">
          <w:rPr>
            <w:noProof/>
            <w:webHidden/>
          </w:rPr>
          <w:t>79</w:t>
        </w:r>
        <w:r w:rsidR="004D060B">
          <w:rPr>
            <w:noProof/>
            <w:webHidden/>
          </w:rPr>
          <w:fldChar w:fldCharType="end"/>
        </w:r>
      </w:hyperlink>
    </w:p>
    <w:p w14:paraId="6DD676F8" w14:textId="77777777" w:rsidR="004D060B" w:rsidRDefault="00366ADF">
      <w:pPr>
        <w:pStyle w:val="TableofFigures"/>
        <w:rPr>
          <w:rFonts w:asciiTheme="minorHAnsi" w:eastAsiaTheme="minorEastAsia" w:hAnsiTheme="minorHAnsi" w:cstheme="minorBidi"/>
          <w:noProof/>
          <w:sz w:val="22"/>
        </w:rPr>
      </w:pPr>
      <w:hyperlink w:anchor="_Toc415660975" w:history="1">
        <w:r w:rsidR="004D060B" w:rsidRPr="004D4A7D">
          <w:rPr>
            <w:rStyle w:val="Hyperlink"/>
            <w:noProof/>
          </w:rPr>
          <w:t xml:space="preserve">Figure </w:t>
        </w:r>
        <w:r w:rsidR="004D060B" w:rsidRPr="004D4A7D">
          <w:rPr>
            <w:rStyle w:val="Hyperlink"/>
            <w:noProof/>
            <w:lang w:val="en-US"/>
          </w:rPr>
          <w:t>A</w:t>
        </w:r>
        <w:r w:rsidR="004D060B" w:rsidRPr="004D4A7D">
          <w:rPr>
            <w:rStyle w:val="Hyperlink"/>
            <w:noProof/>
          </w:rPr>
          <w:t>1</w:t>
        </w:r>
        <w:r w:rsidR="004D060B">
          <w:rPr>
            <w:rFonts w:asciiTheme="minorHAnsi" w:eastAsiaTheme="minorEastAsia" w:hAnsiTheme="minorHAnsi" w:cstheme="minorBidi"/>
            <w:noProof/>
            <w:sz w:val="22"/>
          </w:rPr>
          <w:tab/>
        </w:r>
        <w:r w:rsidR="004D060B" w:rsidRPr="004D4A7D">
          <w:rPr>
            <w:rStyle w:val="Hyperlink"/>
            <w:b/>
            <w:noProof/>
          </w:rPr>
          <w:t>Commercial building investor abatement cost curve</w:t>
        </w:r>
        <w:r w:rsidR="004D060B">
          <w:rPr>
            <w:noProof/>
            <w:webHidden/>
          </w:rPr>
          <w:tab/>
        </w:r>
        <w:r w:rsidR="004D060B">
          <w:rPr>
            <w:noProof/>
            <w:webHidden/>
          </w:rPr>
          <w:fldChar w:fldCharType="begin"/>
        </w:r>
        <w:r w:rsidR="004D060B">
          <w:rPr>
            <w:noProof/>
            <w:webHidden/>
          </w:rPr>
          <w:instrText xml:space="preserve"> PAGEREF _Toc415660975 \h </w:instrText>
        </w:r>
        <w:r w:rsidR="004D060B">
          <w:rPr>
            <w:noProof/>
            <w:webHidden/>
          </w:rPr>
        </w:r>
        <w:r w:rsidR="004D060B">
          <w:rPr>
            <w:noProof/>
            <w:webHidden/>
          </w:rPr>
          <w:fldChar w:fldCharType="separate"/>
        </w:r>
        <w:r w:rsidR="004D060B">
          <w:rPr>
            <w:noProof/>
            <w:webHidden/>
          </w:rPr>
          <w:t>A-5</w:t>
        </w:r>
        <w:r w:rsidR="004D060B">
          <w:rPr>
            <w:noProof/>
            <w:webHidden/>
          </w:rPr>
          <w:fldChar w:fldCharType="end"/>
        </w:r>
      </w:hyperlink>
    </w:p>
    <w:p w14:paraId="579F0287" w14:textId="77777777" w:rsidR="004D060B" w:rsidRDefault="00366ADF">
      <w:pPr>
        <w:pStyle w:val="TableofFigures"/>
        <w:rPr>
          <w:rFonts w:asciiTheme="minorHAnsi" w:eastAsiaTheme="minorEastAsia" w:hAnsiTheme="minorHAnsi" w:cstheme="minorBidi"/>
          <w:noProof/>
          <w:sz w:val="22"/>
        </w:rPr>
      </w:pPr>
      <w:hyperlink w:anchor="_Toc415660976" w:history="1">
        <w:r w:rsidR="004D060B" w:rsidRPr="004D4A7D">
          <w:rPr>
            <w:rStyle w:val="Hyperlink"/>
            <w:noProof/>
          </w:rPr>
          <w:t xml:space="preserve">Figure </w:t>
        </w:r>
        <w:r w:rsidR="004D060B" w:rsidRPr="004D4A7D">
          <w:rPr>
            <w:rStyle w:val="Hyperlink"/>
            <w:noProof/>
            <w:lang w:val="en-US"/>
          </w:rPr>
          <w:t>A</w:t>
        </w:r>
        <w:r w:rsidR="004D060B" w:rsidRPr="004D4A7D">
          <w:rPr>
            <w:rStyle w:val="Hyperlink"/>
            <w:noProof/>
          </w:rPr>
          <w:t>2</w:t>
        </w:r>
        <w:r w:rsidR="004D060B">
          <w:rPr>
            <w:rFonts w:asciiTheme="minorHAnsi" w:eastAsiaTheme="minorEastAsia" w:hAnsiTheme="minorHAnsi" w:cstheme="minorBidi"/>
            <w:noProof/>
            <w:sz w:val="22"/>
          </w:rPr>
          <w:tab/>
        </w:r>
        <w:r w:rsidR="004D060B" w:rsidRPr="004D4A7D">
          <w:rPr>
            <w:rStyle w:val="Hyperlink"/>
            <w:b/>
            <w:noProof/>
          </w:rPr>
          <w:t>Pay-off from lighting upgrades</w:t>
        </w:r>
        <w:r w:rsidR="004D060B">
          <w:rPr>
            <w:noProof/>
            <w:webHidden/>
          </w:rPr>
          <w:tab/>
        </w:r>
        <w:r w:rsidR="004D060B">
          <w:rPr>
            <w:noProof/>
            <w:webHidden/>
          </w:rPr>
          <w:fldChar w:fldCharType="begin"/>
        </w:r>
        <w:r w:rsidR="004D060B">
          <w:rPr>
            <w:noProof/>
            <w:webHidden/>
          </w:rPr>
          <w:instrText xml:space="preserve"> PAGEREF _Toc415660976 \h </w:instrText>
        </w:r>
        <w:r w:rsidR="004D060B">
          <w:rPr>
            <w:noProof/>
            <w:webHidden/>
          </w:rPr>
        </w:r>
        <w:r w:rsidR="004D060B">
          <w:rPr>
            <w:noProof/>
            <w:webHidden/>
          </w:rPr>
          <w:fldChar w:fldCharType="separate"/>
        </w:r>
        <w:r w:rsidR="004D060B">
          <w:rPr>
            <w:noProof/>
            <w:webHidden/>
          </w:rPr>
          <w:t>A-8</w:t>
        </w:r>
        <w:r w:rsidR="004D060B">
          <w:rPr>
            <w:noProof/>
            <w:webHidden/>
          </w:rPr>
          <w:fldChar w:fldCharType="end"/>
        </w:r>
      </w:hyperlink>
    </w:p>
    <w:p w14:paraId="31E899EA" w14:textId="77777777" w:rsidR="00F062BA" w:rsidRDefault="00492194" w:rsidP="005609B3">
      <w:pPr>
        <w:pStyle w:val="TableofFigures"/>
      </w:pPr>
      <w:r w:rsidRPr="004D18B4">
        <w:fldChar w:fldCharType="end"/>
      </w:r>
    </w:p>
    <w:p w14:paraId="43656553" w14:textId="77777777" w:rsidR="00F062BA" w:rsidRDefault="00F062BA" w:rsidP="005609B3">
      <w:pPr>
        <w:pStyle w:val="TOAHeading"/>
      </w:pPr>
      <w:r>
        <w:t>List of tables</w:t>
      </w:r>
    </w:p>
    <w:p w14:paraId="63C14D42" w14:textId="77777777" w:rsidR="004D060B" w:rsidRDefault="00492194">
      <w:pPr>
        <w:pStyle w:val="TableofFigures"/>
        <w:rPr>
          <w:rFonts w:asciiTheme="minorHAnsi" w:eastAsiaTheme="minorEastAsia" w:hAnsiTheme="minorHAnsi" w:cstheme="minorBidi"/>
          <w:noProof/>
          <w:sz w:val="22"/>
        </w:rPr>
      </w:pPr>
      <w:r w:rsidRPr="004D18B4">
        <w:fldChar w:fldCharType="begin"/>
      </w:r>
      <w:r w:rsidR="00F062BA" w:rsidRPr="004D18B4">
        <w:instrText xml:space="preserve"> TOC </w:instrText>
      </w:r>
      <w:r w:rsidR="00F062BA">
        <w:instrText>\h \z</w:instrText>
      </w:r>
      <w:r w:rsidR="00F062BA" w:rsidRPr="004D18B4">
        <w:instrText xml:space="preserve"> \c "Table" </w:instrText>
      </w:r>
      <w:r w:rsidR="00F062BA">
        <w:instrText>\*FirstCap</w:instrText>
      </w:r>
      <w:r w:rsidRPr="004D18B4">
        <w:fldChar w:fldCharType="separate"/>
      </w:r>
      <w:hyperlink w:anchor="_Toc415661008" w:history="1">
        <w:r w:rsidR="004D060B" w:rsidRPr="008F4F1D">
          <w:rPr>
            <w:rStyle w:val="Hyperlink"/>
            <w:noProof/>
          </w:rPr>
          <w:t>Table 1</w:t>
        </w:r>
        <w:r w:rsidR="004D060B">
          <w:rPr>
            <w:rFonts w:asciiTheme="minorHAnsi" w:eastAsiaTheme="minorEastAsia" w:hAnsiTheme="minorHAnsi" w:cstheme="minorBidi"/>
            <w:noProof/>
            <w:sz w:val="22"/>
          </w:rPr>
          <w:tab/>
        </w:r>
        <w:r w:rsidR="004D060B" w:rsidRPr="008F4F1D">
          <w:rPr>
            <w:rStyle w:val="Hyperlink"/>
            <w:b/>
            <w:noProof/>
          </w:rPr>
          <w:t>List of participants of Sydney and Melbourne workshops</w:t>
        </w:r>
        <w:r w:rsidR="004D060B">
          <w:rPr>
            <w:noProof/>
            <w:webHidden/>
          </w:rPr>
          <w:tab/>
        </w:r>
        <w:r w:rsidR="004D060B">
          <w:rPr>
            <w:noProof/>
            <w:webHidden/>
          </w:rPr>
          <w:fldChar w:fldCharType="begin"/>
        </w:r>
        <w:r w:rsidR="004D060B">
          <w:rPr>
            <w:noProof/>
            <w:webHidden/>
          </w:rPr>
          <w:instrText xml:space="preserve"> PAGEREF _Toc415661008 \h </w:instrText>
        </w:r>
        <w:r w:rsidR="004D060B">
          <w:rPr>
            <w:noProof/>
            <w:webHidden/>
          </w:rPr>
        </w:r>
        <w:r w:rsidR="004D060B">
          <w:rPr>
            <w:noProof/>
            <w:webHidden/>
          </w:rPr>
          <w:fldChar w:fldCharType="separate"/>
        </w:r>
        <w:r w:rsidR="004D060B">
          <w:rPr>
            <w:noProof/>
            <w:webHidden/>
          </w:rPr>
          <w:t>4</w:t>
        </w:r>
        <w:r w:rsidR="004D060B">
          <w:rPr>
            <w:noProof/>
            <w:webHidden/>
          </w:rPr>
          <w:fldChar w:fldCharType="end"/>
        </w:r>
      </w:hyperlink>
    </w:p>
    <w:p w14:paraId="09BDC295" w14:textId="77777777" w:rsidR="004D060B" w:rsidRDefault="00366ADF">
      <w:pPr>
        <w:pStyle w:val="TableofFigures"/>
        <w:rPr>
          <w:rFonts w:asciiTheme="minorHAnsi" w:eastAsiaTheme="minorEastAsia" w:hAnsiTheme="minorHAnsi" w:cstheme="minorBidi"/>
          <w:noProof/>
          <w:sz w:val="22"/>
        </w:rPr>
      </w:pPr>
      <w:hyperlink w:anchor="_Toc415661009" w:history="1">
        <w:r w:rsidR="004D060B" w:rsidRPr="008F4F1D">
          <w:rPr>
            <w:rStyle w:val="Hyperlink"/>
            <w:noProof/>
          </w:rPr>
          <w:t>Table 2</w:t>
        </w:r>
        <w:r w:rsidR="004D060B">
          <w:rPr>
            <w:rFonts w:asciiTheme="minorHAnsi" w:eastAsiaTheme="minorEastAsia" w:hAnsiTheme="minorHAnsi" w:cstheme="minorBidi"/>
            <w:noProof/>
            <w:sz w:val="22"/>
          </w:rPr>
          <w:tab/>
        </w:r>
        <w:r w:rsidR="004D060B" w:rsidRPr="008F4F1D">
          <w:rPr>
            <w:rStyle w:val="Hyperlink"/>
            <w:b/>
            <w:noProof/>
          </w:rPr>
          <w:t>Minimum energy performance standards for Australian Government office buildings</w:t>
        </w:r>
        <w:r w:rsidR="004D060B">
          <w:rPr>
            <w:noProof/>
            <w:webHidden/>
          </w:rPr>
          <w:tab/>
        </w:r>
        <w:r w:rsidR="004D060B">
          <w:rPr>
            <w:noProof/>
            <w:webHidden/>
          </w:rPr>
          <w:fldChar w:fldCharType="begin"/>
        </w:r>
        <w:r w:rsidR="004D060B">
          <w:rPr>
            <w:noProof/>
            <w:webHidden/>
          </w:rPr>
          <w:instrText xml:space="preserve"> PAGEREF _Toc415661009 \h </w:instrText>
        </w:r>
        <w:r w:rsidR="004D060B">
          <w:rPr>
            <w:noProof/>
            <w:webHidden/>
          </w:rPr>
        </w:r>
        <w:r w:rsidR="004D060B">
          <w:rPr>
            <w:noProof/>
            <w:webHidden/>
          </w:rPr>
          <w:fldChar w:fldCharType="separate"/>
        </w:r>
        <w:r w:rsidR="004D060B">
          <w:rPr>
            <w:noProof/>
            <w:webHidden/>
          </w:rPr>
          <w:t>16</w:t>
        </w:r>
        <w:r w:rsidR="004D060B">
          <w:rPr>
            <w:noProof/>
            <w:webHidden/>
          </w:rPr>
          <w:fldChar w:fldCharType="end"/>
        </w:r>
      </w:hyperlink>
    </w:p>
    <w:p w14:paraId="4FDE8D4B" w14:textId="77777777" w:rsidR="004D060B" w:rsidRDefault="00366ADF">
      <w:pPr>
        <w:pStyle w:val="TableofFigures"/>
        <w:rPr>
          <w:rFonts w:asciiTheme="minorHAnsi" w:eastAsiaTheme="minorEastAsia" w:hAnsiTheme="minorHAnsi" w:cstheme="minorBidi"/>
          <w:noProof/>
          <w:sz w:val="22"/>
        </w:rPr>
      </w:pPr>
      <w:hyperlink w:anchor="_Toc415661010" w:history="1">
        <w:r w:rsidR="004D060B" w:rsidRPr="008F4F1D">
          <w:rPr>
            <w:rStyle w:val="Hyperlink"/>
            <w:noProof/>
          </w:rPr>
          <w:t>Table 3</w:t>
        </w:r>
        <w:r w:rsidR="004D060B">
          <w:rPr>
            <w:rFonts w:asciiTheme="minorHAnsi" w:eastAsiaTheme="minorEastAsia" w:hAnsiTheme="minorHAnsi" w:cstheme="minorBidi"/>
            <w:noProof/>
            <w:sz w:val="22"/>
          </w:rPr>
          <w:tab/>
        </w:r>
        <w:r w:rsidR="004D060B" w:rsidRPr="008F4F1D">
          <w:rPr>
            <w:rStyle w:val="Hyperlink"/>
            <w:b/>
            <w:noProof/>
          </w:rPr>
          <w:t>Related program interactions with CBD</w:t>
        </w:r>
        <w:r w:rsidR="004D060B">
          <w:rPr>
            <w:noProof/>
            <w:webHidden/>
          </w:rPr>
          <w:tab/>
        </w:r>
        <w:r w:rsidR="004D060B">
          <w:rPr>
            <w:noProof/>
            <w:webHidden/>
          </w:rPr>
          <w:fldChar w:fldCharType="begin"/>
        </w:r>
        <w:r w:rsidR="004D060B">
          <w:rPr>
            <w:noProof/>
            <w:webHidden/>
          </w:rPr>
          <w:instrText xml:space="preserve"> PAGEREF _Toc415661010 \h </w:instrText>
        </w:r>
        <w:r w:rsidR="004D060B">
          <w:rPr>
            <w:noProof/>
            <w:webHidden/>
          </w:rPr>
        </w:r>
        <w:r w:rsidR="004D060B">
          <w:rPr>
            <w:noProof/>
            <w:webHidden/>
          </w:rPr>
          <w:fldChar w:fldCharType="separate"/>
        </w:r>
        <w:r w:rsidR="004D060B">
          <w:rPr>
            <w:noProof/>
            <w:webHidden/>
          </w:rPr>
          <w:t>25</w:t>
        </w:r>
        <w:r w:rsidR="004D060B">
          <w:rPr>
            <w:noProof/>
            <w:webHidden/>
          </w:rPr>
          <w:fldChar w:fldCharType="end"/>
        </w:r>
      </w:hyperlink>
    </w:p>
    <w:p w14:paraId="27DF54CF" w14:textId="77777777" w:rsidR="004D060B" w:rsidRDefault="00366ADF">
      <w:pPr>
        <w:pStyle w:val="TableofFigures"/>
        <w:rPr>
          <w:rFonts w:asciiTheme="minorHAnsi" w:eastAsiaTheme="minorEastAsia" w:hAnsiTheme="minorHAnsi" w:cstheme="minorBidi"/>
          <w:noProof/>
          <w:sz w:val="22"/>
        </w:rPr>
      </w:pPr>
      <w:hyperlink w:anchor="_Toc415661011" w:history="1">
        <w:r w:rsidR="004D060B" w:rsidRPr="008F4F1D">
          <w:rPr>
            <w:rStyle w:val="Hyperlink"/>
            <w:noProof/>
          </w:rPr>
          <w:t>Table 4</w:t>
        </w:r>
        <w:r w:rsidR="004D060B">
          <w:rPr>
            <w:rFonts w:asciiTheme="minorHAnsi" w:eastAsiaTheme="minorEastAsia" w:hAnsiTheme="minorHAnsi" w:cstheme="minorBidi"/>
            <w:noProof/>
            <w:sz w:val="22"/>
          </w:rPr>
          <w:tab/>
        </w:r>
        <w:r w:rsidR="004D060B" w:rsidRPr="008F4F1D">
          <w:rPr>
            <w:rStyle w:val="Hyperlink"/>
            <w:b/>
            <w:noProof/>
          </w:rPr>
          <w:t>Cost and benefit items included in CBA</w:t>
        </w:r>
        <w:r w:rsidR="004D060B">
          <w:rPr>
            <w:noProof/>
            <w:webHidden/>
          </w:rPr>
          <w:tab/>
        </w:r>
        <w:r w:rsidR="004D060B">
          <w:rPr>
            <w:noProof/>
            <w:webHidden/>
          </w:rPr>
          <w:fldChar w:fldCharType="begin"/>
        </w:r>
        <w:r w:rsidR="004D060B">
          <w:rPr>
            <w:noProof/>
            <w:webHidden/>
          </w:rPr>
          <w:instrText xml:space="preserve"> PAGEREF _Toc415661011 \h </w:instrText>
        </w:r>
        <w:r w:rsidR="004D060B">
          <w:rPr>
            <w:noProof/>
            <w:webHidden/>
          </w:rPr>
        </w:r>
        <w:r w:rsidR="004D060B">
          <w:rPr>
            <w:noProof/>
            <w:webHidden/>
          </w:rPr>
          <w:fldChar w:fldCharType="separate"/>
        </w:r>
        <w:r w:rsidR="004D060B">
          <w:rPr>
            <w:noProof/>
            <w:webHidden/>
          </w:rPr>
          <w:t>34</w:t>
        </w:r>
        <w:r w:rsidR="004D060B">
          <w:rPr>
            <w:noProof/>
            <w:webHidden/>
          </w:rPr>
          <w:fldChar w:fldCharType="end"/>
        </w:r>
      </w:hyperlink>
    </w:p>
    <w:p w14:paraId="3DC54584" w14:textId="77777777" w:rsidR="004D060B" w:rsidRDefault="00366ADF">
      <w:pPr>
        <w:pStyle w:val="TableofFigures"/>
        <w:rPr>
          <w:rFonts w:asciiTheme="minorHAnsi" w:eastAsiaTheme="minorEastAsia" w:hAnsiTheme="minorHAnsi" w:cstheme="minorBidi"/>
          <w:noProof/>
          <w:sz w:val="22"/>
        </w:rPr>
      </w:pPr>
      <w:hyperlink w:anchor="_Toc415661012" w:history="1">
        <w:r w:rsidR="004D060B" w:rsidRPr="008F4F1D">
          <w:rPr>
            <w:rStyle w:val="Hyperlink"/>
            <w:noProof/>
          </w:rPr>
          <w:t>Table 5</w:t>
        </w:r>
        <w:r w:rsidR="004D060B">
          <w:rPr>
            <w:rFonts w:asciiTheme="minorHAnsi" w:eastAsiaTheme="minorEastAsia" w:hAnsiTheme="minorHAnsi" w:cstheme="minorBidi"/>
            <w:noProof/>
            <w:sz w:val="22"/>
          </w:rPr>
          <w:tab/>
        </w:r>
        <w:r w:rsidR="004D060B" w:rsidRPr="008F4F1D">
          <w:rPr>
            <w:rStyle w:val="Hyperlink"/>
            <w:b/>
            <w:noProof/>
          </w:rPr>
          <w:t>Building segmentation</w:t>
        </w:r>
        <w:r w:rsidR="004D060B">
          <w:rPr>
            <w:noProof/>
            <w:webHidden/>
          </w:rPr>
          <w:tab/>
        </w:r>
        <w:r w:rsidR="004D060B">
          <w:rPr>
            <w:noProof/>
            <w:webHidden/>
          </w:rPr>
          <w:fldChar w:fldCharType="begin"/>
        </w:r>
        <w:r w:rsidR="004D060B">
          <w:rPr>
            <w:noProof/>
            <w:webHidden/>
          </w:rPr>
          <w:instrText xml:space="preserve"> PAGEREF _Toc415661012 \h </w:instrText>
        </w:r>
        <w:r w:rsidR="004D060B">
          <w:rPr>
            <w:noProof/>
            <w:webHidden/>
          </w:rPr>
        </w:r>
        <w:r w:rsidR="004D060B">
          <w:rPr>
            <w:noProof/>
            <w:webHidden/>
          </w:rPr>
          <w:fldChar w:fldCharType="separate"/>
        </w:r>
        <w:r w:rsidR="004D060B">
          <w:rPr>
            <w:noProof/>
            <w:webHidden/>
          </w:rPr>
          <w:t>37</w:t>
        </w:r>
        <w:r w:rsidR="004D060B">
          <w:rPr>
            <w:noProof/>
            <w:webHidden/>
          </w:rPr>
          <w:fldChar w:fldCharType="end"/>
        </w:r>
      </w:hyperlink>
    </w:p>
    <w:p w14:paraId="5408BB42" w14:textId="77777777" w:rsidR="004D060B" w:rsidRDefault="00366ADF">
      <w:pPr>
        <w:pStyle w:val="TableofFigures"/>
        <w:rPr>
          <w:rFonts w:asciiTheme="minorHAnsi" w:eastAsiaTheme="minorEastAsia" w:hAnsiTheme="minorHAnsi" w:cstheme="minorBidi"/>
          <w:noProof/>
          <w:sz w:val="22"/>
        </w:rPr>
      </w:pPr>
      <w:hyperlink w:anchor="_Toc415661013" w:history="1">
        <w:r w:rsidR="004D060B" w:rsidRPr="008F4F1D">
          <w:rPr>
            <w:rStyle w:val="Hyperlink"/>
            <w:noProof/>
          </w:rPr>
          <w:t>Table 6</w:t>
        </w:r>
        <w:r w:rsidR="004D060B">
          <w:rPr>
            <w:rFonts w:asciiTheme="minorHAnsi" w:eastAsiaTheme="minorEastAsia" w:hAnsiTheme="minorHAnsi" w:cstheme="minorBidi"/>
            <w:noProof/>
            <w:sz w:val="22"/>
          </w:rPr>
          <w:tab/>
        </w:r>
        <w:r w:rsidR="004D060B" w:rsidRPr="008F4F1D">
          <w:rPr>
            <w:rStyle w:val="Hyperlink"/>
            <w:b/>
            <w:noProof/>
          </w:rPr>
          <w:t>Estimates of building floor space in the analysis</w:t>
        </w:r>
        <w:r w:rsidR="004D060B">
          <w:rPr>
            <w:noProof/>
            <w:webHidden/>
          </w:rPr>
          <w:tab/>
        </w:r>
        <w:r w:rsidR="004D060B">
          <w:rPr>
            <w:noProof/>
            <w:webHidden/>
          </w:rPr>
          <w:fldChar w:fldCharType="begin"/>
        </w:r>
        <w:r w:rsidR="004D060B">
          <w:rPr>
            <w:noProof/>
            <w:webHidden/>
          </w:rPr>
          <w:instrText xml:space="preserve"> PAGEREF _Toc415661013 \h </w:instrText>
        </w:r>
        <w:r w:rsidR="004D060B">
          <w:rPr>
            <w:noProof/>
            <w:webHidden/>
          </w:rPr>
        </w:r>
        <w:r w:rsidR="004D060B">
          <w:rPr>
            <w:noProof/>
            <w:webHidden/>
          </w:rPr>
          <w:fldChar w:fldCharType="separate"/>
        </w:r>
        <w:r w:rsidR="004D060B">
          <w:rPr>
            <w:noProof/>
            <w:webHidden/>
          </w:rPr>
          <w:t>39</w:t>
        </w:r>
        <w:r w:rsidR="004D060B">
          <w:rPr>
            <w:noProof/>
            <w:webHidden/>
          </w:rPr>
          <w:fldChar w:fldCharType="end"/>
        </w:r>
      </w:hyperlink>
    </w:p>
    <w:p w14:paraId="6E04B8CD" w14:textId="77777777" w:rsidR="004D060B" w:rsidRDefault="00366ADF">
      <w:pPr>
        <w:pStyle w:val="TableofFigures"/>
        <w:rPr>
          <w:rFonts w:asciiTheme="minorHAnsi" w:eastAsiaTheme="minorEastAsia" w:hAnsiTheme="minorHAnsi" w:cstheme="minorBidi"/>
          <w:noProof/>
          <w:sz w:val="22"/>
        </w:rPr>
      </w:pPr>
      <w:hyperlink w:anchor="_Toc415661014" w:history="1">
        <w:r w:rsidR="004D060B" w:rsidRPr="008F4F1D">
          <w:rPr>
            <w:rStyle w:val="Hyperlink"/>
            <w:noProof/>
          </w:rPr>
          <w:t>Table 7</w:t>
        </w:r>
        <w:r w:rsidR="004D060B">
          <w:rPr>
            <w:rFonts w:asciiTheme="minorHAnsi" w:eastAsiaTheme="minorEastAsia" w:hAnsiTheme="minorHAnsi" w:cstheme="minorBidi"/>
            <w:noProof/>
            <w:sz w:val="22"/>
          </w:rPr>
          <w:tab/>
        </w:r>
        <w:r w:rsidR="004D060B" w:rsidRPr="008F4F1D">
          <w:rPr>
            <w:rStyle w:val="Hyperlink"/>
            <w:b/>
            <w:noProof/>
          </w:rPr>
          <w:t>Growth in star rating by segment</w:t>
        </w:r>
        <w:r w:rsidR="004D060B">
          <w:rPr>
            <w:noProof/>
            <w:webHidden/>
          </w:rPr>
          <w:tab/>
        </w:r>
        <w:r w:rsidR="004D060B">
          <w:rPr>
            <w:noProof/>
            <w:webHidden/>
          </w:rPr>
          <w:fldChar w:fldCharType="begin"/>
        </w:r>
        <w:r w:rsidR="004D060B">
          <w:rPr>
            <w:noProof/>
            <w:webHidden/>
          </w:rPr>
          <w:instrText xml:space="preserve"> PAGEREF _Toc415661014 \h </w:instrText>
        </w:r>
        <w:r w:rsidR="004D060B">
          <w:rPr>
            <w:noProof/>
            <w:webHidden/>
          </w:rPr>
        </w:r>
        <w:r w:rsidR="004D060B">
          <w:rPr>
            <w:noProof/>
            <w:webHidden/>
          </w:rPr>
          <w:fldChar w:fldCharType="separate"/>
        </w:r>
        <w:r w:rsidR="004D060B">
          <w:rPr>
            <w:noProof/>
            <w:webHidden/>
          </w:rPr>
          <w:t>43</w:t>
        </w:r>
        <w:r w:rsidR="004D060B">
          <w:rPr>
            <w:noProof/>
            <w:webHidden/>
          </w:rPr>
          <w:fldChar w:fldCharType="end"/>
        </w:r>
      </w:hyperlink>
    </w:p>
    <w:p w14:paraId="46328AE8" w14:textId="77777777" w:rsidR="004D060B" w:rsidRDefault="00366ADF">
      <w:pPr>
        <w:pStyle w:val="TableofFigures"/>
        <w:rPr>
          <w:rFonts w:asciiTheme="minorHAnsi" w:eastAsiaTheme="minorEastAsia" w:hAnsiTheme="minorHAnsi" w:cstheme="minorBidi"/>
          <w:noProof/>
          <w:sz w:val="22"/>
        </w:rPr>
      </w:pPr>
      <w:hyperlink w:anchor="_Toc415661015" w:history="1">
        <w:r w:rsidR="004D060B" w:rsidRPr="008F4F1D">
          <w:rPr>
            <w:rStyle w:val="Hyperlink"/>
            <w:noProof/>
          </w:rPr>
          <w:t>Table 8</w:t>
        </w:r>
        <w:r w:rsidR="004D060B">
          <w:rPr>
            <w:rFonts w:asciiTheme="minorHAnsi" w:eastAsiaTheme="minorEastAsia" w:hAnsiTheme="minorHAnsi" w:cstheme="minorBidi"/>
            <w:noProof/>
            <w:sz w:val="22"/>
          </w:rPr>
          <w:tab/>
        </w:r>
        <w:r w:rsidR="004D060B" w:rsidRPr="008F4F1D">
          <w:rPr>
            <w:rStyle w:val="Hyperlink"/>
            <w:b/>
            <w:noProof/>
          </w:rPr>
          <w:t>Reductions in energy intensity by segment</w:t>
        </w:r>
        <w:r w:rsidR="004D060B">
          <w:rPr>
            <w:noProof/>
            <w:webHidden/>
          </w:rPr>
          <w:tab/>
        </w:r>
        <w:r w:rsidR="004D060B">
          <w:rPr>
            <w:noProof/>
            <w:webHidden/>
          </w:rPr>
          <w:fldChar w:fldCharType="begin"/>
        </w:r>
        <w:r w:rsidR="004D060B">
          <w:rPr>
            <w:noProof/>
            <w:webHidden/>
          </w:rPr>
          <w:instrText xml:space="preserve"> PAGEREF _Toc415661015 \h </w:instrText>
        </w:r>
        <w:r w:rsidR="004D060B">
          <w:rPr>
            <w:noProof/>
            <w:webHidden/>
          </w:rPr>
        </w:r>
        <w:r w:rsidR="004D060B">
          <w:rPr>
            <w:noProof/>
            <w:webHidden/>
          </w:rPr>
          <w:fldChar w:fldCharType="separate"/>
        </w:r>
        <w:r w:rsidR="004D060B">
          <w:rPr>
            <w:noProof/>
            <w:webHidden/>
          </w:rPr>
          <w:t>44</w:t>
        </w:r>
        <w:r w:rsidR="004D060B">
          <w:rPr>
            <w:noProof/>
            <w:webHidden/>
          </w:rPr>
          <w:fldChar w:fldCharType="end"/>
        </w:r>
      </w:hyperlink>
    </w:p>
    <w:p w14:paraId="1C07B8A1" w14:textId="77777777" w:rsidR="004D060B" w:rsidRDefault="00366ADF">
      <w:pPr>
        <w:pStyle w:val="TableofFigures"/>
        <w:rPr>
          <w:rFonts w:asciiTheme="minorHAnsi" w:eastAsiaTheme="minorEastAsia" w:hAnsiTheme="minorHAnsi" w:cstheme="minorBidi"/>
          <w:noProof/>
          <w:sz w:val="22"/>
        </w:rPr>
      </w:pPr>
      <w:hyperlink w:anchor="_Toc415661016" w:history="1">
        <w:r w:rsidR="004D060B" w:rsidRPr="008F4F1D">
          <w:rPr>
            <w:rStyle w:val="Hyperlink"/>
            <w:noProof/>
          </w:rPr>
          <w:t>Table 9</w:t>
        </w:r>
        <w:r w:rsidR="004D060B">
          <w:rPr>
            <w:rFonts w:asciiTheme="minorHAnsi" w:eastAsiaTheme="minorEastAsia" w:hAnsiTheme="minorHAnsi" w:cstheme="minorBidi"/>
            <w:noProof/>
            <w:sz w:val="22"/>
          </w:rPr>
          <w:tab/>
        </w:r>
        <w:r w:rsidR="004D060B" w:rsidRPr="008F4F1D">
          <w:rPr>
            <w:rStyle w:val="Hyperlink"/>
            <w:b/>
            <w:noProof/>
          </w:rPr>
          <w:t>Assumed attribution of improvements to CBD</w:t>
        </w:r>
        <w:r w:rsidR="004D060B">
          <w:rPr>
            <w:noProof/>
            <w:webHidden/>
          </w:rPr>
          <w:tab/>
        </w:r>
        <w:r w:rsidR="004D060B">
          <w:rPr>
            <w:noProof/>
            <w:webHidden/>
          </w:rPr>
          <w:fldChar w:fldCharType="begin"/>
        </w:r>
        <w:r w:rsidR="004D060B">
          <w:rPr>
            <w:noProof/>
            <w:webHidden/>
          </w:rPr>
          <w:instrText xml:space="preserve"> PAGEREF _Toc415661016 \h </w:instrText>
        </w:r>
        <w:r w:rsidR="004D060B">
          <w:rPr>
            <w:noProof/>
            <w:webHidden/>
          </w:rPr>
        </w:r>
        <w:r w:rsidR="004D060B">
          <w:rPr>
            <w:noProof/>
            <w:webHidden/>
          </w:rPr>
          <w:fldChar w:fldCharType="separate"/>
        </w:r>
        <w:r w:rsidR="004D060B">
          <w:rPr>
            <w:noProof/>
            <w:webHidden/>
          </w:rPr>
          <w:t>46</w:t>
        </w:r>
        <w:r w:rsidR="004D060B">
          <w:rPr>
            <w:noProof/>
            <w:webHidden/>
          </w:rPr>
          <w:fldChar w:fldCharType="end"/>
        </w:r>
      </w:hyperlink>
    </w:p>
    <w:p w14:paraId="6F42C3DD" w14:textId="77777777" w:rsidR="004D060B" w:rsidRDefault="00366ADF">
      <w:pPr>
        <w:pStyle w:val="TableofFigures"/>
        <w:rPr>
          <w:rFonts w:asciiTheme="minorHAnsi" w:eastAsiaTheme="minorEastAsia" w:hAnsiTheme="minorHAnsi" w:cstheme="minorBidi"/>
          <w:noProof/>
          <w:sz w:val="22"/>
        </w:rPr>
      </w:pPr>
      <w:hyperlink w:anchor="_Toc415661017" w:history="1">
        <w:r w:rsidR="004D060B" w:rsidRPr="008F4F1D">
          <w:rPr>
            <w:rStyle w:val="Hyperlink"/>
            <w:noProof/>
          </w:rPr>
          <w:t>Table 10</w:t>
        </w:r>
        <w:r w:rsidR="004D060B">
          <w:rPr>
            <w:rFonts w:asciiTheme="minorHAnsi" w:eastAsiaTheme="minorEastAsia" w:hAnsiTheme="minorHAnsi" w:cstheme="minorBidi"/>
            <w:noProof/>
            <w:sz w:val="22"/>
          </w:rPr>
          <w:tab/>
        </w:r>
        <w:r w:rsidR="004D060B" w:rsidRPr="008F4F1D">
          <w:rPr>
            <w:rStyle w:val="Hyperlink"/>
            <w:b/>
            <w:noProof/>
          </w:rPr>
          <w:t>Annual and present value of costs and benefits for lower bound case (2014 $m)</w:t>
        </w:r>
        <w:r w:rsidR="004D060B">
          <w:rPr>
            <w:noProof/>
            <w:webHidden/>
          </w:rPr>
          <w:tab/>
        </w:r>
        <w:r w:rsidR="004D060B">
          <w:rPr>
            <w:noProof/>
            <w:webHidden/>
          </w:rPr>
          <w:fldChar w:fldCharType="begin"/>
        </w:r>
        <w:r w:rsidR="004D060B">
          <w:rPr>
            <w:noProof/>
            <w:webHidden/>
          </w:rPr>
          <w:instrText xml:space="preserve"> PAGEREF _Toc415661017 \h </w:instrText>
        </w:r>
        <w:r w:rsidR="004D060B">
          <w:rPr>
            <w:noProof/>
            <w:webHidden/>
          </w:rPr>
        </w:r>
        <w:r w:rsidR="004D060B">
          <w:rPr>
            <w:noProof/>
            <w:webHidden/>
          </w:rPr>
          <w:fldChar w:fldCharType="separate"/>
        </w:r>
        <w:r w:rsidR="004D060B">
          <w:rPr>
            <w:noProof/>
            <w:webHidden/>
          </w:rPr>
          <w:t>52</w:t>
        </w:r>
        <w:r w:rsidR="004D060B">
          <w:rPr>
            <w:noProof/>
            <w:webHidden/>
          </w:rPr>
          <w:fldChar w:fldCharType="end"/>
        </w:r>
      </w:hyperlink>
    </w:p>
    <w:p w14:paraId="6F60EB25" w14:textId="77777777" w:rsidR="004D060B" w:rsidRDefault="00366ADF">
      <w:pPr>
        <w:pStyle w:val="TableofFigures"/>
        <w:rPr>
          <w:rFonts w:asciiTheme="minorHAnsi" w:eastAsiaTheme="minorEastAsia" w:hAnsiTheme="minorHAnsi" w:cstheme="minorBidi"/>
          <w:noProof/>
          <w:sz w:val="22"/>
        </w:rPr>
      </w:pPr>
      <w:hyperlink w:anchor="_Toc415661018" w:history="1">
        <w:r w:rsidR="004D060B" w:rsidRPr="008F4F1D">
          <w:rPr>
            <w:rStyle w:val="Hyperlink"/>
            <w:noProof/>
          </w:rPr>
          <w:t>Table 11</w:t>
        </w:r>
        <w:r w:rsidR="004D060B">
          <w:rPr>
            <w:rFonts w:asciiTheme="minorHAnsi" w:eastAsiaTheme="minorEastAsia" w:hAnsiTheme="minorHAnsi" w:cstheme="minorBidi"/>
            <w:noProof/>
            <w:sz w:val="22"/>
          </w:rPr>
          <w:tab/>
        </w:r>
        <w:r w:rsidR="004D060B" w:rsidRPr="008F4F1D">
          <w:rPr>
            <w:rStyle w:val="Hyperlink"/>
            <w:b/>
            <w:noProof/>
          </w:rPr>
          <w:t>Present value of costs and benefits for realistic case (2014 $m)</w:t>
        </w:r>
        <w:r w:rsidR="004D060B">
          <w:rPr>
            <w:noProof/>
            <w:webHidden/>
          </w:rPr>
          <w:tab/>
        </w:r>
        <w:r w:rsidR="004D060B">
          <w:rPr>
            <w:noProof/>
            <w:webHidden/>
          </w:rPr>
          <w:fldChar w:fldCharType="begin"/>
        </w:r>
        <w:r w:rsidR="004D060B">
          <w:rPr>
            <w:noProof/>
            <w:webHidden/>
          </w:rPr>
          <w:instrText xml:space="preserve"> PAGEREF _Toc415661018 \h </w:instrText>
        </w:r>
        <w:r w:rsidR="004D060B">
          <w:rPr>
            <w:noProof/>
            <w:webHidden/>
          </w:rPr>
        </w:r>
        <w:r w:rsidR="004D060B">
          <w:rPr>
            <w:noProof/>
            <w:webHidden/>
          </w:rPr>
          <w:fldChar w:fldCharType="separate"/>
        </w:r>
        <w:r w:rsidR="004D060B">
          <w:rPr>
            <w:noProof/>
            <w:webHidden/>
          </w:rPr>
          <w:t>53</w:t>
        </w:r>
        <w:r w:rsidR="004D060B">
          <w:rPr>
            <w:noProof/>
            <w:webHidden/>
          </w:rPr>
          <w:fldChar w:fldCharType="end"/>
        </w:r>
      </w:hyperlink>
    </w:p>
    <w:p w14:paraId="7429E000" w14:textId="77777777" w:rsidR="004D060B" w:rsidRDefault="00366ADF">
      <w:pPr>
        <w:pStyle w:val="TableofFigures"/>
        <w:rPr>
          <w:rFonts w:asciiTheme="minorHAnsi" w:eastAsiaTheme="minorEastAsia" w:hAnsiTheme="minorHAnsi" w:cstheme="minorBidi"/>
          <w:noProof/>
          <w:sz w:val="22"/>
        </w:rPr>
      </w:pPr>
      <w:hyperlink w:anchor="_Toc415661019" w:history="1">
        <w:r w:rsidR="004D060B" w:rsidRPr="008F4F1D">
          <w:rPr>
            <w:rStyle w:val="Hyperlink"/>
            <w:noProof/>
          </w:rPr>
          <w:t>Table 12</w:t>
        </w:r>
        <w:r w:rsidR="004D060B">
          <w:rPr>
            <w:rFonts w:asciiTheme="minorHAnsi" w:eastAsiaTheme="minorEastAsia" w:hAnsiTheme="minorHAnsi" w:cstheme="minorBidi"/>
            <w:noProof/>
            <w:sz w:val="22"/>
          </w:rPr>
          <w:tab/>
        </w:r>
        <w:r w:rsidR="004D060B" w:rsidRPr="008F4F1D">
          <w:rPr>
            <w:rStyle w:val="Hyperlink"/>
            <w:b/>
            <w:noProof/>
          </w:rPr>
          <w:t>Illustrative energy cost difference for 10,000 m</w:t>
        </w:r>
        <w:r w:rsidR="004D060B" w:rsidRPr="008F4F1D">
          <w:rPr>
            <w:rStyle w:val="Hyperlink"/>
            <w:b/>
            <w:noProof/>
            <w:vertAlign w:val="superscript"/>
          </w:rPr>
          <w:t>2</w:t>
        </w:r>
        <w:r w:rsidR="004D060B" w:rsidRPr="008F4F1D">
          <w:rPr>
            <w:rStyle w:val="Hyperlink"/>
            <w:b/>
            <w:noProof/>
          </w:rPr>
          <w:t xml:space="preserve"> NLA by star rating</w:t>
        </w:r>
        <w:r w:rsidR="004D060B">
          <w:rPr>
            <w:noProof/>
            <w:webHidden/>
          </w:rPr>
          <w:tab/>
        </w:r>
        <w:r w:rsidR="004D060B">
          <w:rPr>
            <w:noProof/>
            <w:webHidden/>
          </w:rPr>
          <w:fldChar w:fldCharType="begin"/>
        </w:r>
        <w:r w:rsidR="004D060B">
          <w:rPr>
            <w:noProof/>
            <w:webHidden/>
          </w:rPr>
          <w:instrText xml:space="preserve"> PAGEREF _Toc415661019 \h </w:instrText>
        </w:r>
        <w:r w:rsidR="004D060B">
          <w:rPr>
            <w:noProof/>
            <w:webHidden/>
          </w:rPr>
        </w:r>
        <w:r w:rsidR="004D060B">
          <w:rPr>
            <w:noProof/>
            <w:webHidden/>
          </w:rPr>
          <w:fldChar w:fldCharType="separate"/>
        </w:r>
        <w:r w:rsidR="004D060B">
          <w:rPr>
            <w:noProof/>
            <w:webHidden/>
          </w:rPr>
          <w:t>58</w:t>
        </w:r>
        <w:r w:rsidR="004D060B">
          <w:rPr>
            <w:noProof/>
            <w:webHidden/>
          </w:rPr>
          <w:fldChar w:fldCharType="end"/>
        </w:r>
      </w:hyperlink>
    </w:p>
    <w:p w14:paraId="0583600E" w14:textId="77777777" w:rsidR="004D060B" w:rsidRDefault="00366ADF">
      <w:pPr>
        <w:pStyle w:val="TableofFigures"/>
        <w:rPr>
          <w:rFonts w:asciiTheme="minorHAnsi" w:eastAsiaTheme="minorEastAsia" w:hAnsiTheme="minorHAnsi" w:cstheme="minorBidi"/>
          <w:noProof/>
          <w:sz w:val="22"/>
        </w:rPr>
      </w:pPr>
      <w:hyperlink w:anchor="_Toc415661020" w:history="1">
        <w:r w:rsidR="004D060B" w:rsidRPr="008F4F1D">
          <w:rPr>
            <w:rStyle w:val="Hyperlink"/>
            <w:noProof/>
          </w:rPr>
          <w:t>Table 13</w:t>
        </w:r>
        <w:r w:rsidR="004D060B">
          <w:rPr>
            <w:rFonts w:asciiTheme="minorHAnsi" w:eastAsiaTheme="minorEastAsia" w:hAnsiTheme="minorHAnsi" w:cstheme="minorBidi"/>
            <w:noProof/>
            <w:sz w:val="22"/>
          </w:rPr>
          <w:tab/>
        </w:r>
        <w:r w:rsidR="004D060B" w:rsidRPr="008F4F1D">
          <w:rPr>
            <w:rStyle w:val="Hyperlink"/>
            <w:b/>
            <w:noProof/>
          </w:rPr>
          <w:t>Illustrative energy cost difference for 10,000 m</w:t>
        </w:r>
        <w:r w:rsidR="004D060B" w:rsidRPr="008F4F1D">
          <w:rPr>
            <w:rStyle w:val="Hyperlink"/>
            <w:b/>
            <w:noProof/>
            <w:vertAlign w:val="superscript"/>
          </w:rPr>
          <w:t>2</w:t>
        </w:r>
        <w:r w:rsidR="004D060B" w:rsidRPr="008F4F1D">
          <w:rPr>
            <w:rStyle w:val="Hyperlink"/>
            <w:b/>
            <w:noProof/>
          </w:rPr>
          <w:t xml:space="preserve"> NLA by TLA grade</w:t>
        </w:r>
        <w:r w:rsidR="004D060B">
          <w:rPr>
            <w:noProof/>
            <w:webHidden/>
          </w:rPr>
          <w:tab/>
        </w:r>
        <w:r w:rsidR="004D060B">
          <w:rPr>
            <w:noProof/>
            <w:webHidden/>
          </w:rPr>
          <w:fldChar w:fldCharType="begin"/>
        </w:r>
        <w:r w:rsidR="004D060B">
          <w:rPr>
            <w:noProof/>
            <w:webHidden/>
          </w:rPr>
          <w:instrText xml:space="preserve"> PAGEREF _Toc415661020 \h </w:instrText>
        </w:r>
        <w:r w:rsidR="004D060B">
          <w:rPr>
            <w:noProof/>
            <w:webHidden/>
          </w:rPr>
        </w:r>
        <w:r w:rsidR="004D060B">
          <w:rPr>
            <w:noProof/>
            <w:webHidden/>
          </w:rPr>
          <w:fldChar w:fldCharType="separate"/>
        </w:r>
        <w:r w:rsidR="004D060B">
          <w:rPr>
            <w:noProof/>
            <w:webHidden/>
          </w:rPr>
          <w:t>59</w:t>
        </w:r>
        <w:r w:rsidR="004D060B">
          <w:rPr>
            <w:noProof/>
            <w:webHidden/>
          </w:rPr>
          <w:fldChar w:fldCharType="end"/>
        </w:r>
      </w:hyperlink>
    </w:p>
    <w:p w14:paraId="1C08BCE6" w14:textId="77777777" w:rsidR="004D060B" w:rsidRDefault="00366ADF">
      <w:pPr>
        <w:pStyle w:val="TableofFigures"/>
        <w:rPr>
          <w:rFonts w:asciiTheme="minorHAnsi" w:eastAsiaTheme="minorEastAsia" w:hAnsiTheme="minorHAnsi" w:cstheme="minorBidi"/>
          <w:noProof/>
          <w:sz w:val="22"/>
        </w:rPr>
      </w:pPr>
      <w:hyperlink w:anchor="_Toc415661021" w:history="1">
        <w:r w:rsidR="004D060B" w:rsidRPr="008F4F1D">
          <w:rPr>
            <w:rStyle w:val="Hyperlink"/>
            <w:noProof/>
          </w:rPr>
          <w:t>Table 14</w:t>
        </w:r>
        <w:r w:rsidR="004D060B">
          <w:rPr>
            <w:rFonts w:asciiTheme="minorHAnsi" w:eastAsiaTheme="minorEastAsia" w:hAnsiTheme="minorHAnsi" w:cstheme="minorBidi"/>
            <w:noProof/>
            <w:sz w:val="22"/>
          </w:rPr>
          <w:tab/>
        </w:r>
        <w:r w:rsidR="004D060B" w:rsidRPr="008F4F1D">
          <w:rPr>
            <w:rStyle w:val="Hyperlink"/>
            <w:b/>
            <w:noProof/>
          </w:rPr>
          <w:t>Impact of CBD program on stakeholders</w:t>
        </w:r>
        <w:r w:rsidR="004D060B">
          <w:rPr>
            <w:noProof/>
            <w:webHidden/>
          </w:rPr>
          <w:tab/>
        </w:r>
        <w:r w:rsidR="004D060B">
          <w:rPr>
            <w:noProof/>
            <w:webHidden/>
          </w:rPr>
          <w:fldChar w:fldCharType="begin"/>
        </w:r>
        <w:r w:rsidR="004D060B">
          <w:rPr>
            <w:noProof/>
            <w:webHidden/>
          </w:rPr>
          <w:instrText xml:space="preserve"> PAGEREF _Toc415661021 \h </w:instrText>
        </w:r>
        <w:r w:rsidR="004D060B">
          <w:rPr>
            <w:noProof/>
            <w:webHidden/>
          </w:rPr>
        </w:r>
        <w:r w:rsidR="004D060B">
          <w:rPr>
            <w:noProof/>
            <w:webHidden/>
          </w:rPr>
          <w:fldChar w:fldCharType="separate"/>
        </w:r>
        <w:r w:rsidR="004D060B">
          <w:rPr>
            <w:noProof/>
            <w:webHidden/>
          </w:rPr>
          <w:t>62</w:t>
        </w:r>
        <w:r w:rsidR="004D060B">
          <w:rPr>
            <w:noProof/>
            <w:webHidden/>
          </w:rPr>
          <w:fldChar w:fldCharType="end"/>
        </w:r>
      </w:hyperlink>
    </w:p>
    <w:p w14:paraId="164385CB" w14:textId="77777777" w:rsidR="004D060B" w:rsidRDefault="00366ADF">
      <w:pPr>
        <w:pStyle w:val="TableofFigures"/>
        <w:rPr>
          <w:rFonts w:asciiTheme="minorHAnsi" w:eastAsiaTheme="minorEastAsia" w:hAnsiTheme="minorHAnsi" w:cstheme="minorBidi"/>
          <w:noProof/>
          <w:sz w:val="22"/>
        </w:rPr>
      </w:pPr>
      <w:hyperlink w:anchor="_Toc415661022" w:history="1">
        <w:r w:rsidR="004D060B" w:rsidRPr="008F4F1D">
          <w:rPr>
            <w:rStyle w:val="Hyperlink"/>
            <w:noProof/>
          </w:rPr>
          <w:t>Table 15</w:t>
        </w:r>
        <w:r w:rsidR="004D060B">
          <w:rPr>
            <w:rFonts w:asciiTheme="minorHAnsi" w:eastAsiaTheme="minorEastAsia" w:hAnsiTheme="minorHAnsi" w:cstheme="minorBidi"/>
            <w:noProof/>
            <w:sz w:val="22"/>
          </w:rPr>
          <w:tab/>
        </w:r>
        <w:r w:rsidR="004D060B" w:rsidRPr="008F4F1D">
          <w:rPr>
            <w:rStyle w:val="Hyperlink"/>
            <w:b/>
            <w:noProof/>
          </w:rPr>
          <w:t>Assumed rate of improvement in the absence of NABERS disclosure</w:t>
        </w:r>
        <w:r w:rsidR="004D060B">
          <w:rPr>
            <w:noProof/>
            <w:webHidden/>
          </w:rPr>
          <w:tab/>
        </w:r>
        <w:r w:rsidR="004D060B">
          <w:rPr>
            <w:noProof/>
            <w:webHidden/>
          </w:rPr>
          <w:fldChar w:fldCharType="begin"/>
        </w:r>
        <w:r w:rsidR="004D060B">
          <w:rPr>
            <w:noProof/>
            <w:webHidden/>
          </w:rPr>
          <w:instrText xml:space="preserve"> PAGEREF _Toc415661022 \h </w:instrText>
        </w:r>
        <w:r w:rsidR="004D060B">
          <w:rPr>
            <w:noProof/>
            <w:webHidden/>
          </w:rPr>
        </w:r>
        <w:r w:rsidR="004D060B">
          <w:rPr>
            <w:noProof/>
            <w:webHidden/>
          </w:rPr>
          <w:fldChar w:fldCharType="separate"/>
        </w:r>
        <w:r w:rsidR="004D060B">
          <w:rPr>
            <w:noProof/>
            <w:webHidden/>
          </w:rPr>
          <w:t>67</w:t>
        </w:r>
        <w:r w:rsidR="004D060B">
          <w:rPr>
            <w:noProof/>
            <w:webHidden/>
          </w:rPr>
          <w:fldChar w:fldCharType="end"/>
        </w:r>
      </w:hyperlink>
    </w:p>
    <w:p w14:paraId="3770861A" w14:textId="77777777" w:rsidR="004D060B" w:rsidRDefault="00366ADF">
      <w:pPr>
        <w:pStyle w:val="TableofFigures"/>
        <w:rPr>
          <w:rFonts w:asciiTheme="minorHAnsi" w:eastAsiaTheme="minorEastAsia" w:hAnsiTheme="minorHAnsi" w:cstheme="minorBidi"/>
          <w:noProof/>
          <w:sz w:val="22"/>
        </w:rPr>
      </w:pPr>
      <w:hyperlink w:anchor="_Toc415661023" w:history="1">
        <w:r w:rsidR="004D060B" w:rsidRPr="008F4F1D">
          <w:rPr>
            <w:rStyle w:val="Hyperlink"/>
            <w:noProof/>
          </w:rPr>
          <w:t>Table 16</w:t>
        </w:r>
        <w:r w:rsidR="004D060B">
          <w:rPr>
            <w:rFonts w:asciiTheme="minorHAnsi" w:eastAsiaTheme="minorEastAsia" w:hAnsiTheme="minorHAnsi" w:cstheme="minorBidi"/>
            <w:noProof/>
            <w:sz w:val="22"/>
          </w:rPr>
          <w:tab/>
        </w:r>
        <w:r w:rsidR="004D060B" w:rsidRPr="008F4F1D">
          <w:rPr>
            <w:rStyle w:val="Hyperlink"/>
            <w:b/>
            <w:noProof/>
          </w:rPr>
          <w:t>Projection of total base building energy efficiency benefits (2014 $m)</w:t>
        </w:r>
        <w:r w:rsidR="004D060B">
          <w:rPr>
            <w:noProof/>
            <w:webHidden/>
          </w:rPr>
          <w:tab/>
        </w:r>
        <w:r w:rsidR="004D060B">
          <w:rPr>
            <w:noProof/>
            <w:webHidden/>
          </w:rPr>
          <w:fldChar w:fldCharType="begin"/>
        </w:r>
        <w:r w:rsidR="004D060B">
          <w:rPr>
            <w:noProof/>
            <w:webHidden/>
          </w:rPr>
          <w:instrText xml:space="preserve"> PAGEREF _Toc415661023 \h </w:instrText>
        </w:r>
        <w:r w:rsidR="004D060B">
          <w:rPr>
            <w:noProof/>
            <w:webHidden/>
          </w:rPr>
        </w:r>
        <w:r w:rsidR="004D060B">
          <w:rPr>
            <w:noProof/>
            <w:webHidden/>
          </w:rPr>
          <w:fldChar w:fldCharType="separate"/>
        </w:r>
        <w:r w:rsidR="004D060B">
          <w:rPr>
            <w:noProof/>
            <w:webHidden/>
          </w:rPr>
          <w:t>70</w:t>
        </w:r>
        <w:r w:rsidR="004D060B">
          <w:rPr>
            <w:noProof/>
            <w:webHidden/>
          </w:rPr>
          <w:fldChar w:fldCharType="end"/>
        </w:r>
      </w:hyperlink>
    </w:p>
    <w:p w14:paraId="72D5669D" w14:textId="77777777" w:rsidR="004D060B" w:rsidRDefault="00366ADF">
      <w:pPr>
        <w:pStyle w:val="TableofFigures"/>
        <w:rPr>
          <w:rFonts w:asciiTheme="minorHAnsi" w:eastAsiaTheme="minorEastAsia" w:hAnsiTheme="minorHAnsi" w:cstheme="minorBidi"/>
          <w:noProof/>
          <w:sz w:val="22"/>
        </w:rPr>
      </w:pPr>
      <w:hyperlink w:anchor="_Toc415661024" w:history="1">
        <w:r w:rsidR="004D060B" w:rsidRPr="008F4F1D">
          <w:rPr>
            <w:rStyle w:val="Hyperlink"/>
            <w:noProof/>
          </w:rPr>
          <w:t>Table 17</w:t>
        </w:r>
        <w:r w:rsidR="004D060B">
          <w:rPr>
            <w:rFonts w:asciiTheme="minorHAnsi" w:eastAsiaTheme="minorEastAsia" w:hAnsiTheme="minorHAnsi" w:cstheme="minorBidi"/>
            <w:noProof/>
            <w:sz w:val="22"/>
          </w:rPr>
          <w:tab/>
        </w:r>
        <w:r w:rsidR="004D060B" w:rsidRPr="008F4F1D">
          <w:rPr>
            <w:rStyle w:val="Hyperlink"/>
            <w:b/>
            <w:noProof/>
          </w:rPr>
          <w:t>Potential present value of costs and benefits from retaining NABERS component (2014 $m)</w:t>
        </w:r>
        <w:r w:rsidR="004D060B">
          <w:rPr>
            <w:noProof/>
            <w:webHidden/>
          </w:rPr>
          <w:tab/>
        </w:r>
        <w:r w:rsidR="004D060B">
          <w:rPr>
            <w:noProof/>
            <w:webHidden/>
          </w:rPr>
          <w:fldChar w:fldCharType="begin"/>
        </w:r>
        <w:r w:rsidR="004D060B">
          <w:rPr>
            <w:noProof/>
            <w:webHidden/>
          </w:rPr>
          <w:instrText xml:space="preserve"> PAGEREF _Toc415661024 \h </w:instrText>
        </w:r>
        <w:r w:rsidR="004D060B">
          <w:rPr>
            <w:noProof/>
            <w:webHidden/>
          </w:rPr>
        </w:r>
        <w:r w:rsidR="004D060B">
          <w:rPr>
            <w:noProof/>
            <w:webHidden/>
          </w:rPr>
          <w:fldChar w:fldCharType="separate"/>
        </w:r>
        <w:r w:rsidR="004D060B">
          <w:rPr>
            <w:noProof/>
            <w:webHidden/>
          </w:rPr>
          <w:t>71</w:t>
        </w:r>
        <w:r w:rsidR="004D060B">
          <w:rPr>
            <w:noProof/>
            <w:webHidden/>
          </w:rPr>
          <w:fldChar w:fldCharType="end"/>
        </w:r>
      </w:hyperlink>
    </w:p>
    <w:p w14:paraId="7FCE86B3" w14:textId="77777777" w:rsidR="004D060B" w:rsidRDefault="00366ADF">
      <w:pPr>
        <w:pStyle w:val="TableofFigures"/>
        <w:rPr>
          <w:rFonts w:asciiTheme="minorHAnsi" w:eastAsiaTheme="minorEastAsia" w:hAnsiTheme="minorHAnsi" w:cstheme="minorBidi"/>
          <w:noProof/>
          <w:sz w:val="22"/>
        </w:rPr>
      </w:pPr>
      <w:hyperlink w:anchor="_Toc415661025" w:history="1">
        <w:r w:rsidR="004D060B" w:rsidRPr="008F4F1D">
          <w:rPr>
            <w:rStyle w:val="Hyperlink"/>
            <w:noProof/>
          </w:rPr>
          <w:t>Table 18</w:t>
        </w:r>
        <w:r w:rsidR="004D060B">
          <w:rPr>
            <w:rFonts w:asciiTheme="minorHAnsi" w:eastAsiaTheme="minorEastAsia" w:hAnsiTheme="minorHAnsi" w:cstheme="minorBidi"/>
            <w:noProof/>
            <w:sz w:val="22"/>
          </w:rPr>
          <w:tab/>
        </w:r>
        <w:r w:rsidR="004D060B" w:rsidRPr="008F4F1D">
          <w:rPr>
            <w:rStyle w:val="Hyperlink"/>
            <w:b/>
            <w:noProof/>
          </w:rPr>
          <w:t>Benefits of retaining NABERS component including GHG reductions and productivity improvements, 2015-2028 (2014 $m)</w:t>
        </w:r>
        <w:r w:rsidR="004D060B">
          <w:rPr>
            <w:noProof/>
            <w:webHidden/>
          </w:rPr>
          <w:tab/>
        </w:r>
        <w:r w:rsidR="004D060B">
          <w:rPr>
            <w:noProof/>
            <w:webHidden/>
          </w:rPr>
          <w:fldChar w:fldCharType="begin"/>
        </w:r>
        <w:r w:rsidR="004D060B">
          <w:rPr>
            <w:noProof/>
            <w:webHidden/>
          </w:rPr>
          <w:instrText xml:space="preserve"> PAGEREF _Toc415661025 \h </w:instrText>
        </w:r>
        <w:r w:rsidR="004D060B">
          <w:rPr>
            <w:noProof/>
            <w:webHidden/>
          </w:rPr>
        </w:r>
        <w:r w:rsidR="004D060B">
          <w:rPr>
            <w:noProof/>
            <w:webHidden/>
          </w:rPr>
          <w:fldChar w:fldCharType="separate"/>
        </w:r>
        <w:r w:rsidR="004D060B">
          <w:rPr>
            <w:noProof/>
            <w:webHidden/>
          </w:rPr>
          <w:t>72</w:t>
        </w:r>
        <w:r w:rsidR="004D060B">
          <w:rPr>
            <w:noProof/>
            <w:webHidden/>
          </w:rPr>
          <w:fldChar w:fldCharType="end"/>
        </w:r>
      </w:hyperlink>
    </w:p>
    <w:p w14:paraId="31126FFF" w14:textId="77777777" w:rsidR="004D060B" w:rsidRDefault="00366ADF">
      <w:pPr>
        <w:pStyle w:val="TableofFigures"/>
        <w:rPr>
          <w:rFonts w:asciiTheme="minorHAnsi" w:eastAsiaTheme="minorEastAsia" w:hAnsiTheme="minorHAnsi" w:cstheme="minorBidi"/>
          <w:noProof/>
          <w:sz w:val="22"/>
        </w:rPr>
      </w:pPr>
      <w:hyperlink w:anchor="_Toc415661026" w:history="1">
        <w:r w:rsidR="004D060B" w:rsidRPr="008F4F1D">
          <w:rPr>
            <w:rStyle w:val="Hyperlink"/>
            <w:noProof/>
          </w:rPr>
          <w:t>Table 19</w:t>
        </w:r>
        <w:r w:rsidR="004D060B">
          <w:rPr>
            <w:rFonts w:asciiTheme="minorHAnsi" w:eastAsiaTheme="minorEastAsia" w:hAnsiTheme="minorHAnsi" w:cstheme="minorBidi"/>
            <w:noProof/>
            <w:sz w:val="22"/>
          </w:rPr>
          <w:tab/>
        </w:r>
        <w:r w:rsidR="004D060B" w:rsidRPr="008F4F1D">
          <w:rPr>
            <w:rStyle w:val="Hyperlink"/>
            <w:b/>
            <w:noProof/>
          </w:rPr>
          <w:t>Sensitivity to assumed retention of post-CBD behaviour</w:t>
        </w:r>
        <w:r w:rsidR="004D060B">
          <w:rPr>
            <w:noProof/>
            <w:webHidden/>
          </w:rPr>
          <w:tab/>
        </w:r>
        <w:r w:rsidR="004D060B">
          <w:rPr>
            <w:noProof/>
            <w:webHidden/>
          </w:rPr>
          <w:fldChar w:fldCharType="begin"/>
        </w:r>
        <w:r w:rsidR="004D060B">
          <w:rPr>
            <w:noProof/>
            <w:webHidden/>
          </w:rPr>
          <w:instrText xml:space="preserve"> PAGEREF _Toc415661026 \h </w:instrText>
        </w:r>
        <w:r w:rsidR="004D060B">
          <w:rPr>
            <w:noProof/>
            <w:webHidden/>
          </w:rPr>
        </w:r>
        <w:r w:rsidR="004D060B">
          <w:rPr>
            <w:noProof/>
            <w:webHidden/>
          </w:rPr>
          <w:fldChar w:fldCharType="separate"/>
        </w:r>
        <w:r w:rsidR="004D060B">
          <w:rPr>
            <w:noProof/>
            <w:webHidden/>
          </w:rPr>
          <w:t>72</w:t>
        </w:r>
        <w:r w:rsidR="004D060B">
          <w:rPr>
            <w:noProof/>
            <w:webHidden/>
          </w:rPr>
          <w:fldChar w:fldCharType="end"/>
        </w:r>
      </w:hyperlink>
    </w:p>
    <w:p w14:paraId="2B5F63ED" w14:textId="77777777" w:rsidR="004D060B" w:rsidRDefault="00366ADF">
      <w:pPr>
        <w:pStyle w:val="TableofFigures"/>
        <w:rPr>
          <w:rFonts w:asciiTheme="minorHAnsi" w:eastAsiaTheme="minorEastAsia" w:hAnsiTheme="minorHAnsi" w:cstheme="minorBidi"/>
          <w:noProof/>
          <w:sz w:val="22"/>
        </w:rPr>
      </w:pPr>
      <w:hyperlink w:anchor="_Toc415661027" w:history="1">
        <w:r w:rsidR="004D060B" w:rsidRPr="008F4F1D">
          <w:rPr>
            <w:rStyle w:val="Hyperlink"/>
            <w:noProof/>
          </w:rPr>
          <w:t>Table 20</w:t>
        </w:r>
        <w:r w:rsidR="004D060B">
          <w:rPr>
            <w:rFonts w:asciiTheme="minorHAnsi" w:eastAsiaTheme="minorEastAsia" w:hAnsiTheme="minorHAnsi" w:cstheme="minorBidi"/>
            <w:noProof/>
            <w:sz w:val="22"/>
          </w:rPr>
          <w:tab/>
        </w:r>
        <w:r w:rsidR="004D060B" w:rsidRPr="008F4F1D">
          <w:rPr>
            <w:rStyle w:val="Hyperlink"/>
            <w:b/>
            <w:noProof/>
          </w:rPr>
          <w:t>Costs and benefits of retaining TLA, 2015-2028 (2014 $m)</w:t>
        </w:r>
        <w:r w:rsidR="004D060B">
          <w:rPr>
            <w:noProof/>
            <w:webHidden/>
          </w:rPr>
          <w:tab/>
        </w:r>
        <w:r w:rsidR="004D060B">
          <w:rPr>
            <w:noProof/>
            <w:webHidden/>
          </w:rPr>
          <w:fldChar w:fldCharType="begin"/>
        </w:r>
        <w:r w:rsidR="004D060B">
          <w:rPr>
            <w:noProof/>
            <w:webHidden/>
          </w:rPr>
          <w:instrText xml:space="preserve"> PAGEREF _Toc415661027 \h </w:instrText>
        </w:r>
        <w:r w:rsidR="004D060B">
          <w:rPr>
            <w:noProof/>
            <w:webHidden/>
          </w:rPr>
        </w:r>
        <w:r w:rsidR="004D060B">
          <w:rPr>
            <w:noProof/>
            <w:webHidden/>
          </w:rPr>
          <w:fldChar w:fldCharType="separate"/>
        </w:r>
        <w:r w:rsidR="004D060B">
          <w:rPr>
            <w:noProof/>
            <w:webHidden/>
          </w:rPr>
          <w:t>75</w:t>
        </w:r>
        <w:r w:rsidR="004D060B">
          <w:rPr>
            <w:noProof/>
            <w:webHidden/>
          </w:rPr>
          <w:fldChar w:fldCharType="end"/>
        </w:r>
      </w:hyperlink>
    </w:p>
    <w:p w14:paraId="05895038" w14:textId="77777777" w:rsidR="004D060B" w:rsidRDefault="00366ADF">
      <w:pPr>
        <w:pStyle w:val="TableofFigures"/>
        <w:rPr>
          <w:rFonts w:asciiTheme="minorHAnsi" w:eastAsiaTheme="minorEastAsia" w:hAnsiTheme="minorHAnsi" w:cstheme="minorBidi"/>
          <w:noProof/>
          <w:sz w:val="22"/>
        </w:rPr>
      </w:pPr>
      <w:hyperlink w:anchor="_Toc415661028" w:history="1">
        <w:r w:rsidR="004D060B" w:rsidRPr="008F4F1D">
          <w:rPr>
            <w:rStyle w:val="Hyperlink"/>
            <w:noProof/>
          </w:rPr>
          <w:t>Table 21</w:t>
        </w:r>
        <w:r w:rsidR="004D060B">
          <w:rPr>
            <w:rFonts w:asciiTheme="minorHAnsi" w:eastAsiaTheme="minorEastAsia" w:hAnsiTheme="minorHAnsi" w:cstheme="minorBidi"/>
            <w:noProof/>
            <w:sz w:val="22"/>
          </w:rPr>
          <w:tab/>
        </w:r>
        <w:r w:rsidR="004D060B" w:rsidRPr="008F4F1D">
          <w:rPr>
            <w:rStyle w:val="Hyperlink"/>
            <w:b/>
            <w:noProof/>
          </w:rPr>
          <w:t>Costs and benefits of continuing the CBD program over 5 and 10 years (2014 $m)</w:t>
        </w:r>
        <w:r w:rsidR="004D060B">
          <w:rPr>
            <w:noProof/>
            <w:webHidden/>
          </w:rPr>
          <w:tab/>
        </w:r>
        <w:r w:rsidR="004D060B">
          <w:rPr>
            <w:noProof/>
            <w:webHidden/>
          </w:rPr>
          <w:fldChar w:fldCharType="begin"/>
        </w:r>
        <w:r w:rsidR="004D060B">
          <w:rPr>
            <w:noProof/>
            <w:webHidden/>
          </w:rPr>
          <w:instrText xml:space="preserve"> PAGEREF _Toc415661028 \h </w:instrText>
        </w:r>
        <w:r w:rsidR="004D060B">
          <w:rPr>
            <w:noProof/>
            <w:webHidden/>
          </w:rPr>
        </w:r>
        <w:r w:rsidR="004D060B">
          <w:rPr>
            <w:noProof/>
            <w:webHidden/>
          </w:rPr>
          <w:fldChar w:fldCharType="separate"/>
        </w:r>
        <w:r w:rsidR="004D060B">
          <w:rPr>
            <w:noProof/>
            <w:webHidden/>
          </w:rPr>
          <w:t>80</w:t>
        </w:r>
        <w:r w:rsidR="004D060B">
          <w:rPr>
            <w:noProof/>
            <w:webHidden/>
          </w:rPr>
          <w:fldChar w:fldCharType="end"/>
        </w:r>
      </w:hyperlink>
    </w:p>
    <w:p w14:paraId="7FD73501" w14:textId="77777777" w:rsidR="004D060B" w:rsidRDefault="00366ADF">
      <w:pPr>
        <w:pStyle w:val="TableofFigures"/>
        <w:rPr>
          <w:rFonts w:asciiTheme="minorHAnsi" w:eastAsiaTheme="minorEastAsia" w:hAnsiTheme="minorHAnsi" w:cstheme="minorBidi"/>
          <w:noProof/>
          <w:sz w:val="22"/>
        </w:rPr>
      </w:pPr>
      <w:hyperlink w:anchor="_Toc415661029" w:history="1">
        <w:r w:rsidR="004D060B" w:rsidRPr="008F4F1D">
          <w:rPr>
            <w:rStyle w:val="Hyperlink"/>
            <w:noProof/>
          </w:rPr>
          <w:t>Table 22</w:t>
        </w:r>
        <w:r w:rsidR="004D060B">
          <w:rPr>
            <w:rFonts w:asciiTheme="minorHAnsi" w:eastAsiaTheme="minorEastAsia" w:hAnsiTheme="minorHAnsi" w:cstheme="minorBidi"/>
            <w:noProof/>
            <w:sz w:val="22"/>
          </w:rPr>
          <w:tab/>
        </w:r>
        <w:r w:rsidR="004D060B" w:rsidRPr="008F4F1D">
          <w:rPr>
            <w:rStyle w:val="Hyperlink"/>
            <w:b/>
            <w:noProof/>
          </w:rPr>
          <w:t>Assessment of cost recovery options</w:t>
        </w:r>
        <w:r w:rsidR="004D060B">
          <w:rPr>
            <w:noProof/>
            <w:webHidden/>
          </w:rPr>
          <w:tab/>
        </w:r>
        <w:r w:rsidR="004D060B">
          <w:rPr>
            <w:noProof/>
            <w:webHidden/>
          </w:rPr>
          <w:fldChar w:fldCharType="begin"/>
        </w:r>
        <w:r w:rsidR="004D060B">
          <w:rPr>
            <w:noProof/>
            <w:webHidden/>
          </w:rPr>
          <w:instrText xml:space="preserve"> PAGEREF _Toc415661029 \h </w:instrText>
        </w:r>
        <w:r w:rsidR="004D060B">
          <w:rPr>
            <w:noProof/>
            <w:webHidden/>
          </w:rPr>
        </w:r>
        <w:r w:rsidR="004D060B">
          <w:rPr>
            <w:noProof/>
            <w:webHidden/>
          </w:rPr>
          <w:fldChar w:fldCharType="separate"/>
        </w:r>
        <w:r w:rsidR="004D060B">
          <w:rPr>
            <w:noProof/>
            <w:webHidden/>
          </w:rPr>
          <w:t>88</w:t>
        </w:r>
        <w:r w:rsidR="004D060B">
          <w:rPr>
            <w:noProof/>
            <w:webHidden/>
          </w:rPr>
          <w:fldChar w:fldCharType="end"/>
        </w:r>
      </w:hyperlink>
    </w:p>
    <w:p w14:paraId="7E195E32" w14:textId="77777777" w:rsidR="004D060B" w:rsidRDefault="00366ADF">
      <w:pPr>
        <w:pStyle w:val="TableofFigures"/>
        <w:rPr>
          <w:rFonts w:asciiTheme="minorHAnsi" w:eastAsiaTheme="minorEastAsia" w:hAnsiTheme="minorHAnsi" w:cstheme="minorBidi"/>
          <w:noProof/>
          <w:sz w:val="22"/>
        </w:rPr>
      </w:pPr>
      <w:hyperlink w:anchor="_Toc415661030" w:history="1">
        <w:r w:rsidR="004D060B" w:rsidRPr="008F4F1D">
          <w:rPr>
            <w:rStyle w:val="Hyperlink"/>
            <w:noProof/>
          </w:rPr>
          <w:t>Table 23</w:t>
        </w:r>
        <w:r w:rsidR="004D060B">
          <w:rPr>
            <w:rFonts w:asciiTheme="minorHAnsi" w:eastAsiaTheme="minorEastAsia" w:hAnsiTheme="minorHAnsi" w:cstheme="minorBidi"/>
            <w:noProof/>
            <w:sz w:val="22"/>
          </w:rPr>
          <w:tab/>
        </w:r>
        <w:r w:rsidR="004D060B" w:rsidRPr="008F4F1D">
          <w:rPr>
            <w:rStyle w:val="Hyperlink"/>
            <w:b/>
            <w:noProof/>
          </w:rPr>
          <w:t>Costs and benefits of retaining TLA, 2015-2028 (2014 $m)</w:t>
        </w:r>
        <w:r w:rsidR="004D060B">
          <w:rPr>
            <w:noProof/>
            <w:webHidden/>
          </w:rPr>
          <w:tab/>
        </w:r>
        <w:r w:rsidR="004D060B">
          <w:rPr>
            <w:noProof/>
            <w:webHidden/>
          </w:rPr>
          <w:fldChar w:fldCharType="begin"/>
        </w:r>
        <w:r w:rsidR="004D060B">
          <w:rPr>
            <w:noProof/>
            <w:webHidden/>
          </w:rPr>
          <w:instrText xml:space="preserve"> PAGEREF _Toc415661030 \h </w:instrText>
        </w:r>
        <w:r w:rsidR="004D060B">
          <w:rPr>
            <w:noProof/>
            <w:webHidden/>
          </w:rPr>
        </w:r>
        <w:r w:rsidR="004D060B">
          <w:rPr>
            <w:noProof/>
            <w:webHidden/>
          </w:rPr>
          <w:fldChar w:fldCharType="separate"/>
        </w:r>
        <w:r w:rsidR="004D060B">
          <w:rPr>
            <w:noProof/>
            <w:webHidden/>
          </w:rPr>
          <w:t>91</w:t>
        </w:r>
        <w:r w:rsidR="004D060B">
          <w:rPr>
            <w:noProof/>
            <w:webHidden/>
          </w:rPr>
          <w:fldChar w:fldCharType="end"/>
        </w:r>
      </w:hyperlink>
    </w:p>
    <w:p w14:paraId="2E3FA7AA" w14:textId="77777777" w:rsidR="004D060B" w:rsidRDefault="00366ADF">
      <w:pPr>
        <w:pStyle w:val="TableofFigures"/>
        <w:rPr>
          <w:rFonts w:asciiTheme="minorHAnsi" w:eastAsiaTheme="minorEastAsia" w:hAnsiTheme="minorHAnsi" w:cstheme="minorBidi"/>
          <w:noProof/>
          <w:sz w:val="22"/>
        </w:rPr>
      </w:pPr>
      <w:hyperlink w:anchor="_Toc415661031" w:history="1">
        <w:r w:rsidR="004D060B" w:rsidRPr="008F4F1D">
          <w:rPr>
            <w:rStyle w:val="Hyperlink"/>
            <w:noProof/>
          </w:rPr>
          <w:t>Table 24</w:t>
        </w:r>
        <w:r w:rsidR="004D060B">
          <w:rPr>
            <w:rFonts w:asciiTheme="minorHAnsi" w:eastAsiaTheme="minorEastAsia" w:hAnsiTheme="minorHAnsi" w:cstheme="minorBidi"/>
            <w:noProof/>
            <w:sz w:val="22"/>
          </w:rPr>
          <w:tab/>
        </w:r>
        <w:r w:rsidR="004D060B" w:rsidRPr="008F4F1D">
          <w:rPr>
            <w:rStyle w:val="Hyperlink"/>
            <w:b/>
            <w:noProof/>
          </w:rPr>
          <w:t>Energy and GHG reduction from continuing the program</w:t>
        </w:r>
        <w:r w:rsidR="004D060B">
          <w:rPr>
            <w:noProof/>
            <w:webHidden/>
          </w:rPr>
          <w:tab/>
        </w:r>
        <w:r w:rsidR="004D060B">
          <w:rPr>
            <w:noProof/>
            <w:webHidden/>
          </w:rPr>
          <w:fldChar w:fldCharType="begin"/>
        </w:r>
        <w:r w:rsidR="004D060B">
          <w:rPr>
            <w:noProof/>
            <w:webHidden/>
          </w:rPr>
          <w:instrText xml:space="preserve"> PAGEREF _Toc415661031 \h </w:instrText>
        </w:r>
        <w:r w:rsidR="004D060B">
          <w:rPr>
            <w:noProof/>
            <w:webHidden/>
          </w:rPr>
        </w:r>
        <w:r w:rsidR="004D060B">
          <w:rPr>
            <w:noProof/>
            <w:webHidden/>
          </w:rPr>
          <w:fldChar w:fldCharType="separate"/>
        </w:r>
        <w:r w:rsidR="004D060B">
          <w:rPr>
            <w:noProof/>
            <w:webHidden/>
          </w:rPr>
          <w:t>95</w:t>
        </w:r>
        <w:r w:rsidR="004D060B">
          <w:rPr>
            <w:noProof/>
            <w:webHidden/>
          </w:rPr>
          <w:fldChar w:fldCharType="end"/>
        </w:r>
      </w:hyperlink>
    </w:p>
    <w:p w14:paraId="5B0FF634" w14:textId="77777777" w:rsidR="004D060B" w:rsidRDefault="00366ADF">
      <w:pPr>
        <w:pStyle w:val="TableofFigures"/>
        <w:rPr>
          <w:rFonts w:asciiTheme="minorHAnsi" w:eastAsiaTheme="minorEastAsia" w:hAnsiTheme="minorHAnsi" w:cstheme="minorBidi"/>
          <w:noProof/>
          <w:sz w:val="22"/>
        </w:rPr>
      </w:pPr>
      <w:hyperlink w:anchor="_Toc415661032" w:history="1">
        <w:r w:rsidR="004D060B" w:rsidRPr="008F4F1D">
          <w:rPr>
            <w:rStyle w:val="Hyperlink"/>
            <w:noProof/>
          </w:rPr>
          <w:t xml:space="preserve">Table </w:t>
        </w:r>
        <w:r w:rsidR="004D060B" w:rsidRPr="008F4F1D">
          <w:rPr>
            <w:rStyle w:val="Hyperlink"/>
            <w:noProof/>
            <w:lang w:val="en-US"/>
          </w:rPr>
          <w:t>A</w:t>
        </w:r>
        <w:r w:rsidR="004D060B" w:rsidRPr="008F4F1D">
          <w:rPr>
            <w:rStyle w:val="Hyperlink"/>
            <w:noProof/>
          </w:rPr>
          <w:t>1</w:t>
        </w:r>
        <w:r w:rsidR="004D060B">
          <w:rPr>
            <w:rFonts w:asciiTheme="minorHAnsi" w:eastAsiaTheme="minorEastAsia" w:hAnsiTheme="minorHAnsi" w:cstheme="minorBidi"/>
            <w:noProof/>
            <w:sz w:val="22"/>
          </w:rPr>
          <w:tab/>
        </w:r>
        <w:r w:rsidR="004D060B" w:rsidRPr="008F4F1D">
          <w:rPr>
            <w:rStyle w:val="Hyperlink"/>
            <w:b/>
            <w:noProof/>
          </w:rPr>
          <w:t>Industry burden of CBD program to date</w:t>
        </w:r>
        <w:r w:rsidR="004D060B">
          <w:rPr>
            <w:noProof/>
            <w:webHidden/>
          </w:rPr>
          <w:tab/>
        </w:r>
        <w:r w:rsidR="004D060B">
          <w:rPr>
            <w:noProof/>
            <w:webHidden/>
          </w:rPr>
          <w:fldChar w:fldCharType="begin"/>
        </w:r>
        <w:r w:rsidR="004D060B">
          <w:rPr>
            <w:noProof/>
            <w:webHidden/>
          </w:rPr>
          <w:instrText xml:space="preserve"> PAGEREF _Toc415661032 \h </w:instrText>
        </w:r>
        <w:r w:rsidR="004D060B">
          <w:rPr>
            <w:noProof/>
            <w:webHidden/>
          </w:rPr>
        </w:r>
        <w:r w:rsidR="004D060B">
          <w:rPr>
            <w:noProof/>
            <w:webHidden/>
          </w:rPr>
          <w:fldChar w:fldCharType="separate"/>
        </w:r>
        <w:r w:rsidR="004D060B">
          <w:rPr>
            <w:noProof/>
            <w:webHidden/>
          </w:rPr>
          <w:t>A-2</w:t>
        </w:r>
        <w:r w:rsidR="004D060B">
          <w:rPr>
            <w:noProof/>
            <w:webHidden/>
          </w:rPr>
          <w:fldChar w:fldCharType="end"/>
        </w:r>
      </w:hyperlink>
    </w:p>
    <w:p w14:paraId="0E6513BE" w14:textId="77777777" w:rsidR="004D060B" w:rsidRDefault="00366ADF">
      <w:pPr>
        <w:pStyle w:val="TableofFigures"/>
        <w:rPr>
          <w:rFonts w:asciiTheme="minorHAnsi" w:eastAsiaTheme="minorEastAsia" w:hAnsiTheme="minorHAnsi" w:cstheme="minorBidi"/>
          <w:noProof/>
          <w:sz w:val="22"/>
        </w:rPr>
      </w:pPr>
      <w:hyperlink w:anchor="_Toc415661033" w:history="1">
        <w:r w:rsidR="004D060B" w:rsidRPr="008F4F1D">
          <w:rPr>
            <w:rStyle w:val="Hyperlink"/>
            <w:noProof/>
          </w:rPr>
          <w:t xml:space="preserve">Table </w:t>
        </w:r>
        <w:r w:rsidR="004D060B" w:rsidRPr="008F4F1D">
          <w:rPr>
            <w:rStyle w:val="Hyperlink"/>
            <w:noProof/>
            <w:lang w:val="en-US"/>
          </w:rPr>
          <w:t>A</w:t>
        </w:r>
        <w:r w:rsidR="004D060B" w:rsidRPr="008F4F1D">
          <w:rPr>
            <w:rStyle w:val="Hyperlink"/>
            <w:noProof/>
          </w:rPr>
          <w:t>2</w:t>
        </w:r>
        <w:r w:rsidR="004D060B">
          <w:rPr>
            <w:rFonts w:asciiTheme="minorHAnsi" w:eastAsiaTheme="minorEastAsia" w:hAnsiTheme="minorHAnsi" w:cstheme="minorBidi"/>
            <w:noProof/>
            <w:sz w:val="22"/>
          </w:rPr>
          <w:tab/>
        </w:r>
        <w:r w:rsidR="004D060B" w:rsidRPr="008F4F1D">
          <w:rPr>
            <w:rStyle w:val="Hyperlink"/>
            <w:b/>
            <w:noProof/>
          </w:rPr>
          <w:t>Industry burden from continuing NABERS disclosure</w:t>
        </w:r>
        <w:r w:rsidR="004D060B">
          <w:rPr>
            <w:noProof/>
            <w:webHidden/>
          </w:rPr>
          <w:tab/>
        </w:r>
        <w:r w:rsidR="004D060B">
          <w:rPr>
            <w:noProof/>
            <w:webHidden/>
          </w:rPr>
          <w:fldChar w:fldCharType="begin"/>
        </w:r>
        <w:r w:rsidR="004D060B">
          <w:rPr>
            <w:noProof/>
            <w:webHidden/>
          </w:rPr>
          <w:instrText xml:space="preserve"> PAGEREF _Toc415661033 \h </w:instrText>
        </w:r>
        <w:r w:rsidR="004D060B">
          <w:rPr>
            <w:noProof/>
            <w:webHidden/>
          </w:rPr>
        </w:r>
        <w:r w:rsidR="004D060B">
          <w:rPr>
            <w:noProof/>
            <w:webHidden/>
          </w:rPr>
          <w:fldChar w:fldCharType="separate"/>
        </w:r>
        <w:r w:rsidR="004D060B">
          <w:rPr>
            <w:noProof/>
            <w:webHidden/>
          </w:rPr>
          <w:t>A-2</w:t>
        </w:r>
        <w:r w:rsidR="004D060B">
          <w:rPr>
            <w:noProof/>
            <w:webHidden/>
          </w:rPr>
          <w:fldChar w:fldCharType="end"/>
        </w:r>
      </w:hyperlink>
    </w:p>
    <w:p w14:paraId="56B3143F" w14:textId="77777777" w:rsidR="004D060B" w:rsidRDefault="00366ADF">
      <w:pPr>
        <w:pStyle w:val="TableofFigures"/>
        <w:rPr>
          <w:rFonts w:asciiTheme="minorHAnsi" w:eastAsiaTheme="minorEastAsia" w:hAnsiTheme="minorHAnsi" w:cstheme="minorBidi"/>
          <w:noProof/>
          <w:sz w:val="22"/>
        </w:rPr>
      </w:pPr>
      <w:hyperlink w:anchor="_Toc415661034" w:history="1">
        <w:r w:rsidR="004D060B" w:rsidRPr="008F4F1D">
          <w:rPr>
            <w:rStyle w:val="Hyperlink"/>
            <w:noProof/>
          </w:rPr>
          <w:t xml:space="preserve">Table </w:t>
        </w:r>
        <w:r w:rsidR="004D060B" w:rsidRPr="008F4F1D">
          <w:rPr>
            <w:rStyle w:val="Hyperlink"/>
            <w:noProof/>
            <w:lang w:val="en-US"/>
          </w:rPr>
          <w:t>A</w:t>
        </w:r>
        <w:r w:rsidR="004D060B" w:rsidRPr="008F4F1D">
          <w:rPr>
            <w:rStyle w:val="Hyperlink"/>
            <w:noProof/>
          </w:rPr>
          <w:t>3</w:t>
        </w:r>
        <w:r w:rsidR="004D060B">
          <w:rPr>
            <w:rFonts w:asciiTheme="minorHAnsi" w:eastAsiaTheme="minorEastAsia" w:hAnsiTheme="minorHAnsi" w:cstheme="minorBidi"/>
            <w:noProof/>
            <w:sz w:val="22"/>
          </w:rPr>
          <w:tab/>
        </w:r>
        <w:r w:rsidR="004D060B" w:rsidRPr="008F4F1D">
          <w:rPr>
            <w:rStyle w:val="Hyperlink"/>
            <w:b/>
            <w:noProof/>
          </w:rPr>
          <w:t>Industry burden from continuing TLA disclosure</w:t>
        </w:r>
        <w:r w:rsidR="004D060B">
          <w:rPr>
            <w:noProof/>
            <w:webHidden/>
          </w:rPr>
          <w:tab/>
        </w:r>
        <w:r w:rsidR="004D060B">
          <w:rPr>
            <w:noProof/>
            <w:webHidden/>
          </w:rPr>
          <w:fldChar w:fldCharType="begin"/>
        </w:r>
        <w:r w:rsidR="004D060B">
          <w:rPr>
            <w:noProof/>
            <w:webHidden/>
          </w:rPr>
          <w:instrText xml:space="preserve"> PAGEREF _Toc415661034 \h </w:instrText>
        </w:r>
        <w:r w:rsidR="004D060B">
          <w:rPr>
            <w:noProof/>
            <w:webHidden/>
          </w:rPr>
        </w:r>
        <w:r w:rsidR="004D060B">
          <w:rPr>
            <w:noProof/>
            <w:webHidden/>
          </w:rPr>
          <w:fldChar w:fldCharType="separate"/>
        </w:r>
        <w:r w:rsidR="004D060B">
          <w:rPr>
            <w:noProof/>
            <w:webHidden/>
          </w:rPr>
          <w:t>A-3</w:t>
        </w:r>
        <w:r w:rsidR="004D060B">
          <w:rPr>
            <w:noProof/>
            <w:webHidden/>
          </w:rPr>
          <w:fldChar w:fldCharType="end"/>
        </w:r>
      </w:hyperlink>
    </w:p>
    <w:p w14:paraId="2F1CA5E1" w14:textId="77777777" w:rsidR="004D060B" w:rsidRDefault="00366ADF">
      <w:pPr>
        <w:pStyle w:val="TableofFigures"/>
        <w:rPr>
          <w:rFonts w:asciiTheme="minorHAnsi" w:eastAsiaTheme="minorEastAsia" w:hAnsiTheme="minorHAnsi" w:cstheme="minorBidi"/>
          <w:noProof/>
          <w:sz w:val="22"/>
        </w:rPr>
      </w:pPr>
      <w:hyperlink w:anchor="_Toc415661035" w:history="1">
        <w:r w:rsidR="004D060B" w:rsidRPr="008F4F1D">
          <w:rPr>
            <w:rStyle w:val="Hyperlink"/>
            <w:noProof/>
          </w:rPr>
          <w:t xml:space="preserve">Table </w:t>
        </w:r>
        <w:r w:rsidR="004D060B" w:rsidRPr="008F4F1D">
          <w:rPr>
            <w:rStyle w:val="Hyperlink"/>
            <w:noProof/>
            <w:lang w:val="en-US"/>
          </w:rPr>
          <w:t>A</w:t>
        </w:r>
        <w:r w:rsidR="004D060B" w:rsidRPr="008F4F1D">
          <w:rPr>
            <w:rStyle w:val="Hyperlink"/>
            <w:noProof/>
          </w:rPr>
          <w:t>4</w:t>
        </w:r>
        <w:r w:rsidR="004D060B">
          <w:rPr>
            <w:rFonts w:asciiTheme="minorHAnsi" w:eastAsiaTheme="minorEastAsia" w:hAnsiTheme="minorHAnsi" w:cstheme="minorBidi"/>
            <w:noProof/>
            <w:sz w:val="22"/>
          </w:rPr>
          <w:tab/>
        </w:r>
        <w:r w:rsidR="004D060B" w:rsidRPr="008F4F1D">
          <w:rPr>
            <w:rStyle w:val="Hyperlink"/>
            <w:b/>
            <w:noProof/>
          </w:rPr>
          <w:t>Calculation of weighted average investor benefit</w:t>
        </w:r>
        <w:r w:rsidR="004D060B">
          <w:rPr>
            <w:noProof/>
            <w:webHidden/>
          </w:rPr>
          <w:tab/>
        </w:r>
        <w:r w:rsidR="004D060B">
          <w:rPr>
            <w:noProof/>
            <w:webHidden/>
          </w:rPr>
          <w:fldChar w:fldCharType="begin"/>
        </w:r>
        <w:r w:rsidR="004D060B">
          <w:rPr>
            <w:noProof/>
            <w:webHidden/>
          </w:rPr>
          <w:instrText xml:space="preserve"> PAGEREF _Toc415661035 \h </w:instrText>
        </w:r>
        <w:r w:rsidR="004D060B">
          <w:rPr>
            <w:noProof/>
            <w:webHidden/>
          </w:rPr>
        </w:r>
        <w:r w:rsidR="004D060B">
          <w:rPr>
            <w:noProof/>
            <w:webHidden/>
          </w:rPr>
          <w:fldChar w:fldCharType="separate"/>
        </w:r>
        <w:r w:rsidR="004D060B">
          <w:rPr>
            <w:noProof/>
            <w:webHidden/>
          </w:rPr>
          <w:t>A-6</w:t>
        </w:r>
        <w:r w:rsidR="004D060B">
          <w:rPr>
            <w:noProof/>
            <w:webHidden/>
          </w:rPr>
          <w:fldChar w:fldCharType="end"/>
        </w:r>
      </w:hyperlink>
    </w:p>
    <w:p w14:paraId="79147F47" w14:textId="77777777" w:rsidR="004D060B" w:rsidRDefault="00366ADF">
      <w:pPr>
        <w:pStyle w:val="TableofFigures"/>
        <w:rPr>
          <w:rFonts w:asciiTheme="minorHAnsi" w:eastAsiaTheme="minorEastAsia" w:hAnsiTheme="minorHAnsi" w:cstheme="minorBidi"/>
          <w:noProof/>
          <w:sz w:val="22"/>
        </w:rPr>
      </w:pPr>
      <w:hyperlink w:anchor="_Toc415661036" w:history="1">
        <w:r w:rsidR="004D060B" w:rsidRPr="008F4F1D">
          <w:rPr>
            <w:rStyle w:val="Hyperlink"/>
            <w:noProof/>
          </w:rPr>
          <w:t xml:space="preserve">Table </w:t>
        </w:r>
        <w:r w:rsidR="004D060B" w:rsidRPr="008F4F1D">
          <w:rPr>
            <w:rStyle w:val="Hyperlink"/>
            <w:noProof/>
            <w:lang w:val="en-US"/>
          </w:rPr>
          <w:t>A</w:t>
        </w:r>
        <w:r w:rsidR="004D060B" w:rsidRPr="008F4F1D">
          <w:rPr>
            <w:rStyle w:val="Hyperlink"/>
            <w:noProof/>
          </w:rPr>
          <w:t>5</w:t>
        </w:r>
        <w:r w:rsidR="004D060B">
          <w:rPr>
            <w:rFonts w:asciiTheme="minorHAnsi" w:eastAsiaTheme="minorEastAsia" w:hAnsiTheme="minorHAnsi" w:cstheme="minorBidi"/>
            <w:noProof/>
            <w:sz w:val="22"/>
          </w:rPr>
          <w:tab/>
        </w:r>
        <w:r w:rsidR="004D060B" w:rsidRPr="008F4F1D">
          <w:rPr>
            <w:rStyle w:val="Hyperlink"/>
            <w:b/>
            <w:noProof/>
          </w:rPr>
          <w:t>Low, medium and high estimates for net benefits of energy efficiency</w:t>
        </w:r>
        <w:r w:rsidR="004D060B">
          <w:rPr>
            <w:noProof/>
            <w:webHidden/>
          </w:rPr>
          <w:tab/>
        </w:r>
        <w:r w:rsidR="004D060B">
          <w:rPr>
            <w:noProof/>
            <w:webHidden/>
          </w:rPr>
          <w:fldChar w:fldCharType="begin"/>
        </w:r>
        <w:r w:rsidR="004D060B">
          <w:rPr>
            <w:noProof/>
            <w:webHidden/>
          </w:rPr>
          <w:instrText xml:space="preserve"> PAGEREF _Toc415661036 \h </w:instrText>
        </w:r>
        <w:r w:rsidR="004D060B">
          <w:rPr>
            <w:noProof/>
            <w:webHidden/>
          </w:rPr>
        </w:r>
        <w:r w:rsidR="004D060B">
          <w:rPr>
            <w:noProof/>
            <w:webHidden/>
          </w:rPr>
          <w:fldChar w:fldCharType="separate"/>
        </w:r>
        <w:r w:rsidR="004D060B">
          <w:rPr>
            <w:noProof/>
            <w:webHidden/>
          </w:rPr>
          <w:t>A-7</w:t>
        </w:r>
        <w:r w:rsidR="004D060B">
          <w:rPr>
            <w:noProof/>
            <w:webHidden/>
          </w:rPr>
          <w:fldChar w:fldCharType="end"/>
        </w:r>
      </w:hyperlink>
    </w:p>
    <w:p w14:paraId="2263BF21" w14:textId="77777777" w:rsidR="004D060B" w:rsidRDefault="00366ADF">
      <w:pPr>
        <w:pStyle w:val="TableofFigures"/>
        <w:rPr>
          <w:rFonts w:asciiTheme="minorHAnsi" w:eastAsiaTheme="minorEastAsia" w:hAnsiTheme="minorHAnsi" w:cstheme="minorBidi"/>
          <w:noProof/>
          <w:sz w:val="22"/>
        </w:rPr>
      </w:pPr>
      <w:hyperlink w:anchor="_Toc415661037" w:history="1">
        <w:r w:rsidR="004D060B" w:rsidRPr="008F4F1D">
          <w:rPr>
            <w:rStyle w:val="Hyperlink"/>
            <w:noProof/>
          </w:rPr>
          <w:t xml:space="preserve">Table </w:t>
        </w:r>
        <w:r w:rsidR="004D060B" w:rsidRPr="008F4F1D">
          <w:rPr>
            <w:rStyle w:val="Hyperlink"/>
            <w:noProof/>
            <w:lang w:val="en-US"/>
          </w:rPr>
          <w:t>A</w:t>
        </w:r>
        <w:r w:rsidR="004D060B" w:rsidRPr="008F4F1D">
          <w:rPr>
            <w:rStyle w:val="Hyperlink"/>
            <w:noProof/>
          </w:rPr>
          <w:t>6</w:t>
        </w:r>
        <w:r w:rsidR="004D060B">
          <w:rPr>
            <w:rFonts w:asciiTheme="minorHAnsi" w:eastAsiaTheme="minorEastAsia" w:hAnsiTheme="minorHAnsi" w:cstheme="minorBidi"/>
            <w:noProof/>
            <w:sz w:val="22"/>
          </w:rPr>
          <w:tab/>
        </w:r>
        <w:r w:rsidR="004D060B" w:rsidRPr="008F4F1D">
          <w:rPr>
            <w:rStyle w:val="Hyperlink"/>
            <w:b/>
            <w:noProof/>
          </w:rPr>
          <w:t>Assumed emissions intensities for CBA</w:t>
        </w:r>
        <w:r w:rsidR="004D060B">
          <w:rPr>
            <w:noProof/>
            <w:webHidden/>
          </w:rPr>
          <w:tab/>
        </w:r>
        <w:r w:rsidR="004D060B">
          <w:rPr>
            <w:noProof/>
            <w:webHidden/>
          </w:rPr>
          <w:fldChar w:fldCharType="begin"/>
        </w:r>
        <w:r w:rsidR="004D060B">
          <w:rPr>
            <w:noProof/>
            <w:webHidden/>
          </w:rPr>
          <w:instrText xml:space="preserve"> PAGEREF _Toc415661037 \h </w:instrText>
        </w:r>
        <w:r w:rsidR="004D060B">
          <w:rPr>
            <w:noProof/>
            <w:webHidden/>
          </w:rPr>
        </w:r>
        <w:r w:rsidR="004D060B">
          <w:rPr>
            <w:noProof/>
            <w:webHidden/>
          </w:rPr>
          <w:fldChar w:fldCharType="separate"/>
        </w:r>
        <w:r w:rsidR="004D060B">
          <w:rPr>
            <w:noProof/>
            <w:webHidden/>
          </w:rPr>
          <w:t>A-9</w:t>
        </w:r>
        <w:r w:rsidR="004D060B">
          <w:rPr>
            <w:noProof/>
            <w:webHidden/>
          </w:rPr>
          <w:fldChar w:fldCharType="end"/>
        </w:r>
      </w:hyperlink>
    </w:p>
    <w:p w14:paraId="67A82409" w14:textId="77777777" w:rsidR="004D060B" w:rsidRDefault="00366ADF">
      <w:pPr>
        <w:pStyle w:val="TableofFigures"/>
        <w:rPr>
          <w:rFonts w:asciiTheme="minorHAnsi" w:eastAsiaTheme="minorEastAsia" w:hAnsiTheme="minorHAnsi" w:cstheme="minorBidi"/>
          <w:noProof/>
          <w:sz w:val="22"/>
        </w:rPr>
      </w:pPr>
      <w:hyperlink w:anchor="_Toc415661038" w:history="1">
        <w:r w:rsidR="004D060B" w:rsidRPr="008F4F1D">
          <w:rPr>
            <w:rStyle w:val="Hyperlink"/>
            <w:noProof/>
          </w:rPr>
          <w:t xml:space="preserve">Table </w:t>
        </w:r>
        <w:r w:rsidR="004D060B" w:rsidRPr="008F4F1D">
          <w:rPr>
            <w:rStyle w:val="Hyperlink"/>
            <w:noProof/>
            <w:lang w:val="en-US"/>
          </w:rPr>
          <w:t>A</w:t>
        </w:r>
        <w:r w:rsidR="004D060B" w:rsidRPr="008F4F1D">
          <w:rPr>
            <w:rStyle w:val="Hyperlink"/>
            <w:noProof/>
          </w:rPr>
          <w:t>7</w:t>
        </w:r>
        <w:r w:rsidR="004D060B">
          <w:rPr>
            <w:rFonts w:asciiTheme="minorHAnsi" w:eastAsiaTheme="minorEastAsia" w:hAnsiTheme="minorHAnsi" w:cstheme="minorBidi"/>
            <w:noProof/>
            <w:sz w:val="22"/>
          </w:rPr>
          <w:tab/>
        </w:r>
        <w:r w:rsidR="004D060B" w:rsidRPr="008F4F1D">
          <w:rPr>
            <w:rStyle w:val="Hyperlink"/>
            <w:b/>
            <w:noProof/>
          </w:rPr>
          <w:t>Assumed value of productivity improvements due to improvements in star rating</w:t>
        </w:r>
        <w:r w:rsidR="004D060B">
          <w:rPr>
            <w:noProof/>
            <w:webHidden/>
          </w:rPr>
          <w:tab/>
        </w:r>
        <w:r w:rsidR="004D060B">
          <w:rPr>
            <w:noProof/>
            <w:webHidden/>
          </w:rPr>
          <w:fldChar w:fldCharType="begin"/>
        </w:r>
        <w:r w:rsidR="004D060B">
          <w:rPr>
            <w:noProof/>
            <w:webHidden/>
          </w:rPr>
          <w:instrText xml:space="preserve"> PAGEREF _Toc415661038 \h </w:instrText>
        </w:r>
        <w:r w:rsidR="004D060B">
          <w:rPr>
            <w:noProof/>
            <w:webHidden/>
          </w:rPr>
        </w:r>
        <w:r w:rsidR="004D060B">
          <w:rPr>
            <w:noProof/>
            <w:webHidden/>
          </w:rPr>
          <w:fldChar w:fldCharType="separate"/>
        </w:r>
        <w:r w:rsidR="004D060B">
          <w:rPr>
            <w:noProof/>
            <w:webHidden/>
          </w:rPr>
          <w:t>A-10</w:t>
        </w:r>
        <w:r w:rsidR="004D060B">
          <w:rPr>
            <w:noProof/>
            <w:webHidden/>
          </w:rPr>
          <w:fldChar w:fldCharType="end"/>
        </w:r>
      </w:hyperlink>
    </w:p>
    <w:p w14:paraId="18C9219A" w14:textId="4744BAAC" w:rsidR="00F062BA" w:rsidRDefault="00492194" w:rsidP="0069009F">
      <w:pPr>
        <w:pStyle w:val="TableofFigures"/>
      </w:pPr>
      <w:r w:rsidRPr="004D18B4">
        <w:fldChar w:fldCharType="end"/>
      </w:r>
    </w:p>
    <w:p w14:paraId="771ABFFF" w14:textId="77777777" w:rsidR="00F062BA" w:rsidRPr="00561CA2" w:rsidRDefault="00F062BA" w:rsidP="00F67A39">
      <w:pPr>
        <w:pStyle w:val="BodyText"/>
        <w:sectPr w:rsidR="00F062BA" w:rsidRPr="00561CA2">
          <w:headerReference w:type="even" r:id="rId13"/>
          <w:headerReference w:type="default" r:id="rId14"/>
          <w:footerReference w:type="even" r:id="rId15"/>
          <w:footerReference w:type="default" r:id="rId16"/>
          <w:headerReference w:type="first" r:id="rId17"/>
          <w:footerReference w:type="first" r:id="rId18"/>
          <w:pgSz w:w="11907" w:h="16839" w:code="9"/>
          <w:pgMar w:top="1134" w:right="850" w:bottom="907" w:left="3118" w:header="709" w:footer="567" w:gutter="567"/>
          <w:pgNumType w:fmt="lowerRoman"/>
          <w:cols w:space="720"/>
          <w:docGrid w:linePitch="272"/>
        </w:sectPr>
      </w:pPr>
    </w:p>
    <w:p w14:paraId="58449C89" w14:textId="77777777" w:rsidR="00CC41A6" w:rsidRPr="00100621" w:rsidRDefault="00CC41A6" w:rsidP="0069009F">
      <w:pPr>
        <w:pStyle w:val="ExecSummaryHeading"/>
      </w:pPr>
      <w:bookmarkStart w:id="1" w:name="_Toc358810294"/>
      <w:bookmarkStart w:id="2" w:name="_Toc414888681"/>
      <w:r w:rsidRPr="00100621">
        <w:lastRenderedPageBreak/>
        <w:t>Executive summary</w:t>
      </w:r>
      <w:bookmarkEnd w:id="1"/>
      <w:bookmarkEnd w:id="2"/>
    </w:p>
    <w:p w14:paraId="5B361A32" w14:textId="77777777" w:rsidR="009133DF" w:rsidRPr="006E18E6" w:rsidRDefault="009133DF" w:rsidP="009133DF">
      <w:pPr>
        <w:spacing w:line="280" w:lineRule="exact"/>
        <w:rPr>
          <w:rFonts w:ascii="Arial Narrow" w:hAnsi="Arial Narrow"/>
          <w:lang w:eastAsia="en-AU"/>
        </w:rPr>
      </w:pPr>
      <w:r w:rsidRPr="006E18E6">
        <w:rPr>
          <w:rFonts w:ascii="Arial Narrow" w:hAnsi="Arial Narrow"/>
          <w:lang w:eastAsia="en-AU"/>
        </w:rPr>
        <w:t>ACIL Allen Consulting (ACIL Allen) was commissioned by the Department of Industry and Science, previously the Department of Industry (the Department), to undertake a review of the Commercial Building Disclosure (CBD) program.</w:t>
      </w:r>
    </w:p>
    <w:p w14:paraId="4597D59E" w14:textId="77777777" w:rsidR="00F519BF" w:rsidRDefault="00F519BF" w:rsidP="00DB0E3E">
      <w:pPr>
        <w:pStyle w:val="Heading2nonumber"/>
      </w:pPr>
      <w:r>
        <w:t>CBD program</w:t>
      </w:r>
    </w:p>
    <w:p w14:paraId="6CEAE5FD" w14:textId="0AB1A2C1" w:rsidR="009133DF" w:rsidRPr="006E18E6" w:rsidRDefault="009133DF" w:rsidP="009133DF">
      <w:pPr>
        <w:spacing w:line="280" w:lineRule="exact"/>
        <w:rPr>
          <w:rFonts w:ascii="Arial Narrow" w:hAnsi="Arial Narrow"/>
          <w:lang w:eastAsia="en-AU"/>
        </w:rPr>
      </w:pPr>
      <w:r w:rsidRPr="006E18E6">
        <w:rPr>
          <w:rFonts w:ascii="Arial Narrow" w:hAnsi="Arial Narrow"/>
          <w:lang w:eastAsia="en-AU"/>
        </w:rPr>
        <w:t xml:space="preserve">The CBD program was introduced in 2010 and fully implemented in 2011 as part of a combination of measures </w:t>
      </w:r>
      <w:r w:rsidR="00082F6D">
        <w:rPr>
          <w:rFonts w:ascii="Arial Narrow" w:hAnsi="Arial Narrow"/>
          <w:lang w:eastAsia="en-AU"/>
        </w:rPr>
        <w:t>employed</w:t>
      </w:r>
      <w:r w:rsidR="00082F6D" w:rsidRPr="006E18E6">
        <w:rPr>
          <w:rFonts w:ascii="Arial Narrow" w:hAnsi="Arial Narrow"/>
          <w:lang w:eastAsia="en-AU"/>
        </w:rPr>
        <w:t xml:space="preserve"> </w:t>
      </w:r>
      <w:r w:rsidRPr="006E18E6">
        <w:rPr>
          <w:rFonts w:ascii="Arial Narrow" w:hAnsi="Arial Narrow"/>
          <w:lang w:eastAsia="en-AU"/>
        </w:rPr>
        <w:t>to drive energy efficiency improvements in commercial buildings</w:t>
      </w:r>
      <w:r w:rsidR="00CB3EC7" w:rsidRPr="006E18E6">
        <w:rPr>
          <w:rFonts w:ascii="Arial Narrow" w:hAnsi="Arial Narrow"/>
          <w:lang w:eastAsia="en-AU"/>
        </w:rPr>
        <w:t>.</w:t>
      </w:r>
      <w:r w:rsidR="00CB3EC7">
        <w:rPr>
          <w:rFonts w:ascii="Arial Narrow" w:hAnsi="Arial Narrow"/>
          <w:lang w:eastAsia="en-AU"/>
        </w:rPr>
        <w:t xml:space="preserve"> </w:t>
      </w:r>
      <w:r>
        <w:rPr>
          <w:rFonts w:ascii="Arial Narrow" w:hAnsi="Arial Narrow"/>
          <w:lang w:eastAsia="en-AU"/>
        </w:rPr>
        <w:t>T</w:t>
      </w:r>
      <w:r w:rsidRPr="006E18E6">
        <w:rPr>
          <w:rFonts w:ascii="Arial Narrow" w:hAnsi="Arial Narrow"/>
          <w:lang w:eastAsia="en-AU"/>
        </w:rPr>
        <w:t>he rationale for the CBD program was to address two market failures in the commercial building sector, namely:</w:t>
      </w:r>
    </w:p>
    <w:p w14:paraId="0A8601B7" w14:textId="77777777" w:rsidR="009133DF" w:rsidRPr="006E18E6" w:rsidRDefault="009133DF" w:rsidP="009133DF">
      <w:pPr>
        <w:pStyle w:val="ListDash"/>
      </w:pPr>
      <w:r w:rsidRPr="006E18E6">
        <w:t>a failure in the provision of information on the energy efficiency level of an office space being leased or sold, resulting in information asymmetry (with the seller/lessor having much more information about the efficiency level than the buyer/lessee)</w:t>
      </w:r>
    </w:p>
    <w:p w14:paraId="51FC850C" w14:textId="5BBD6E6C" w:rsidR="009133DF" w:rsidRPr="006E18E6" w:rsidRDefault="009133DF" w:rsidP="009133DF">
      <w:pPr>
        <w:pStyle w:val="ListDash"/>
      </w:pPr>
      <w:r w:rsidRPr="006E18E6">
        <w:t xml:space="preserve">the different incentives facing those who take the decision </w:t>
      </w:r>
      <w:r w:rsidR="009F4285" w:rsidRPr="006E18E6">
        <w:t>o</w:t>
      </w:r>
      <w:r w:rsidR="009F4285">
        <w:t>f</w:t>
      </w:r>
      <w:r w:rsidR="009F4285" w:rsidRPr="006E18E6">
        <w:t xml:space="preserve"> </w:t>
      </w:r>
      <w:r w:rsidRPr="006E18E6">
        <w:t>adopting energy efficient practice (e.g., building renovations) and those who might benefit from using them (known as split incentives).</w:t>
      </w:r>
    </w:p>
    <w:p w14:paraId="5F8906B5" w14:textId="0D421ACD" w:rsidR="00141F01" w:rsidRDefault="009133DF" w:rsidP="009133DF">
      <w:pPr>
        <w:spacing w:line="280" w:lineRule="exact"/>
        <w:rPr>
          <w:rFonts w:ascii="Arial Narrow" w:hAnsi="Arial Narrow"/>
          <w:lang w:eastAsia="en-AU"/>
        </w:rPr>
      </w:pPr>
      <w:r w:rsidRPr="006E18E6">
        <w:rPr>
          <w:rFonts w:ascii="Arial Narrow" w:hAnsi="Arial Narrow"/>
          <w:lang w:eastAsia="en-AU"/>
        </w:rPr>
        <w:t xml:space="preserve">The CBD program requires building owners to disclose information about the energy efficiency of large commercial office </w:t>
      </w:r>
      <w:r w:rsidR="00575973">
        <w:rPr>
          <w:rFonts w:ascii="Arial Narrow" w:hAnsi="Arial Narrow"/>
          <w:lang w:eastAsia="en-AU"/>
        </w:rPr>
        <w:t>floor space</w:t>
      </w:r>
      <w:r w:rsidR="00141F01">
        <w:rPr>
          <w:rFonts w:ascii="Arial Narrow" w:hAnsi="Arial Narrow"/>
          <w:lang w:eastAsia="en-AU"/>
        </w:rPr>
        <w:t>s</w:t>
      </w:r>
      <w:r w:rsidR="00575973" w:rsidRPr="006E18E6">
        <w:rPr>
          <w:rFonts w:ascii="Arial Narrow" w:hAnsi="Arial Narrow"/>
          <w:lang w:eastAsia="en-AU"/>
        </w:rPr>
        <w:t xml:space="preserve"> </w:t>
      </w:r>
      <w:r w:rsidRPr="006E18E6">
        <w:rPr>
          <w:rFonts w:ascii="Arial Narrow" w:hAnsi="Arial Narrow"/>
          <w:lang w:eastAsia="en-AU"/>
        </w:rPr>
        <w:t>(2,000 square met</w:t>
      </w:r>
      <w:r w:rsidR="009F4285">
        <w:rPr>
          <w:rFonts w:ascii="Arial Narrow" w:hAnsi="Arial Narrow"/>
          <w:lang w:eastAsia="en-AU"/>
        </w:rPr>
        <w:t>re</w:t>
      </w:r>
      <w:r w:rsidRPr="006E18E6">
        <w:rPr>
          <w:rFonts w:ascii="Arial Narrow" w:hAnsi="Arial Narrow"/>
          <w:lang w:eastAsia="en-AU"/>
        </w:rPr>
        <w:t>s or more) at the time of sale, lease or sublease</w:t>
      </w:r>
      <w:r w:rsidR="00CB3EC7" w:rsidRPr="006E18E6">
        <w:rPr>
          <w:rFonts w:ascii="Arial Narrow" w:hAnsi="Arial Narrow"/>
          <w:lang w:eastAsia="en-AU"/>
        </w:rPr>
        <w:t>.</w:t>
      </w:r>
      <w:r w:rsidR="00CB3EC7">
        <w:rPr>
          <w:rFonts w:ascii="Arial Narrow" w:hAnsi="Arial Narrow"/>
          <w:lang w:eastAsia="en-AU"/>
        </w:rPr>
        <w:t xml:space="preserve"> </w:t>
      </w:r>
      <w:r w:rsidR="00141F01">
        <w:rPr>
          <w:rFonts w:ascii="Arial Narrow" w:hAnsi="Arial Narrow"/>
          <w:lang w:eastAsia="en-AU"/>
        </w:rPr>
        <w:t>An estimated total of 5,000 buildings with approximately 26 million m</w:t>
      </w:r>
      <w:r w:rsidR="00141F01" w:rsidRPr="00161DFF">
        <w:rPr>
          <w:rFonts w:ascii="Arial Narrow" w:hAnsi="Arial Narrow"/>
          <w:vertAlign w:val="superscript"/>
          <w:lang w:eastAsia="en-AU"/>
        </w:rPr>
        <w:t>2</w:t>
      </w:r>
      <w:r w:rsidR="00141F01">
        <w:rPr>
          <w:rFonts w:ascii="Arial Narrow" w:hAnsi="Arial Narrow"/>
          <w:lang w:eastAsia="en-AU"/>
        </w:rPr>
        <w:t xml:space="preserve"> of Net Lettable Area (NLA), housing one million office workers, are expected to be covered by the scheme.</w:t>
      </w:r>
    </w:p>
    <w:p w14:paraId="26D3366E" w14:textId="3C0ADDB9" w:rsidR="009133DF" w:rsidRPr="006E18E6" w:rsidRDefault="009133DF" w:rsidP="009133DF">
      <w:pPr>
        <w:spacing w:line="280" w:lineRule="exact"/>
        <w:rPr>
          <w:rFonts w:ascii="Arial Narrow" w:hAnsi="Arial Narrow"/>
          <w:lang w:eastAsia="en-AU"/>
        </w:rPr>
      </w:pPr>
      <w:r w:rsidRPr="006E18E6">
        <w:rPr>
          <w:rFonts w:ascii="Arial Narrow" w:hAnsi="Arial Narrow"/>
          <w:lang w:eastAsia="en-AU"/>
        </w:rPr>
        <w:t>To meet the program requirements, building owners need to obtain a Building Energy Efficiency Certificate (BEEC), which consists of a National Australian Building Environment Rating System (NABERS) rating</w:t>
      </w:r>
      <w:r w:rsidR="009F4285">
        <w:rPr>
          <w:rFonts w:ascii="Arial Narrow" w:hAnsi="Arial Narrow"/>
          <w:lang w:eastAsia="en-AU"/>
        </w:rPr>
        <w:t>;</w:t>
      </w:r>
      <w:r w:rsidR="009F4285" w:rsidRPr="006E18E6">
        <w:rPr>
          <w:rFonts w:ascii="Arial Narrow" w:hAnsi="Arial Narrow"/>
          <w:lang w:eastAsia="en-AU"/>
        </w:rPr>
        <w:t xml:space="preserve"> </w:t>
      </w:r>
      <w:r w:rsidRPr="006E18E6">
        <w:rPr>
          <w:rFonts w:ascii="Arial Narrow" w:hAnsi="Arial Narrow"/>
          <w:lang w:eastAsia="en-AU"/>
        </w:rPr>
        <w:t>information about the energy efficiency of the office lighting, contained in the Tenant Lighting Assessment (TLA)</w:t>
      </w:r>
      <w:r w:rsidR="009F4285">
        <w:rPr>
          <w:rFonts w:ascii="Arial Narrow" w:hAnsi="Arial Narrow"/>
          <w:lang w:eastAsia="en-AU"/>
        </w:rPr>
        <w:t>;</w:t>
      </w:r>
      <w:r w:rsidRPr="006E18E6">
        <w:rPr>
          <w:rFonts w:ascii="Arial Narrow" w:hAnsi="Arial Narrow"/>
          <w:lang w:eastAsia="en-AU"/>
        </w:rPr>
        <w:t xml:space="preserve"> and generic guidance on how the energy efficiency of the office could be improved</w:t>
      </w:r>
      <w:r w:rsidR="00CB3EC7" w:rsidRPr="006E18E6">
        <w:rPr>
          <w:rFonts w:ascii="Arial Narrow" w:hAnsi="Arial Narrow"/>
          <w:lang w:eastAsia="en-AU"/>
        </w:rPr>
        <w:t>.</w:t>
      </w:r>
      <w:r w:rsidR="00CB3EC7">
        <w:rPr>
          <w:rFonts w:ascii="Arial Narrow" w:hAnsi="Arial Narrow"/>
          <w:lang w:eastAsia="en-AU"/>
        </w:rPr>
        <w:t xml:space="preserve"> </w:t>
      </w:r>
      <w:r w:rsidR="00837D96">
        <w:rPr>
          <w:rFonts w:ascii="Arial Narrow" w:hAnsi="Arial Narrow"/>
          <w:lang w:eastAsia="en-AU"/>
        </w:rPr>
        <w:t>NABERS star ratings must also be included in sale or lease advertisements for covered floor spaces</w:t>
      </w:r>
      <w:r w:rsidR="00CB3EC7">
        <w:rPr>
          <w:rFonts w:ascii="Arial Narrow" w:hAnsi="Arial Narrow"/>
          <w:lang w:eastAsia="en-AU"/>
        </w:rPr>
        <w:t xml:space="preserve">. </w:t>
      </w:r>
    </w:p>
    <w:p w14:paraId="0FDBEA4A" w14:textId="77777777" w:rsidR="0044208C" w:rsidRPr="00104113" w:rsidRDefault="00492194" w:rsidP="0044208C">
      <w:pPr>
        <w:pStyle w:val="BodyText"/>
      </w:pPr>
      <w:r w:rsidRPr="00104113">
        <w:t>The BEEC enables potential purchasers or lessees to include consideration of a building’s energy efficiency as part of their decision-making processes. In so doing, the CBD program provides the market with information that would, over time, encourage energy efficiency improvements to be made voluntarily. By encouraging the market to appropriately value energy efficiency, rather than forcing the adoption of particular energy efficiency measures, the CBD program is a light-handed form of regulation.</w:t>
      </w:r>
    </w:p>
    <w:p w14:paraId="02B7C193" w14:textId="77777777" w:rsidR="009133DF" w:rsidRPr="006E18E6" w:rsidRDefault="009133DF" w:rsidP="00DF71B2">
      <w:pPr>
        <w:pStyle w:val="Heading2nonumber"/>
      </w:pPr>
      <w:r>
        <w:t xml:space="preserve">Key </w:t>
      </w:r>
      <w:r w:rsidR="00F519BF">
        <w:t>findings</w:t>
      </w:r>
    </w:p>
    <w:p w14:paraId="5E89C9B7" w14:textId="77777777" w:rsidR="00411E40" w:rsidRPr="003F5F13" w:rsidRDefault="004E1D8A" w:rsidP="00F259AE">
      <w:pPr>
        <w:pStyle w:val="BodyText"/>
        <w:rPr>
          <w:b/>
        </w:rPr>
      </w:pPr>
      <w:r w:rsidRPr="006E18E6">
        <w:t>The review involved an assessment of the appropriateness of the CBD program, its effectiveness, its interaction with related programs, its benefits to date, likely benefits going forward, cost recovery options and consideration of possible changes to the scheme</w:t>
      </w:r>
      <w:r w:rsidR="00CB3EC7" w:rsidRPr="00CB66DE">
        <w:t>.</w:t>
      </w:r>
      <w:r w:rsidR="00CB3EC7">
        <w:t xml:space="preserve"> </w:t>
      </w:r>
      <w:r w:rsidRPr="00CB66DE">
        <w:t>The review has assembled and analysed the available evidence, developed a methodology for modelling past and future impacts and consulted with a broad range of stakeholders</w:t>
      </w:r>
      <w:r w:rsidR="00CB3EC7" w:rsidRPr="00CB66DE">
        <w:t>.</w:t>
      </w:r>
      <w:r w:rsidR="00CB3EC7">
        <w:t xml:space="preserve"> </w:t>
      </w:r>
      <w:r w:rsidR="00261062">
        <w:t xml:space="preserve">To ensure that the review findings are robust and </w:t>
      </w:r>
      <w:r w:rsidR="00261062">
        <w:lastRenderedPageBreak/>
        <w:t>defensible, appropriately conservative assumptions have been adopted where there is significant uncertainty.</w:t>
      </w:r>
    </w:p>
    <w:p w14:paraId="670C5CDA" w14:textId="77777777" w:rsidR="009133DF" w:rsidRDefault="009133DF" w:rsidP="009133DF">
      <w:pPr>
        <w:pStyle w:val="ListParagraph"/>
        <w:numPr>
          <w:ilvl w:val="0"/>
          <w:numId w:val="37"/>
        </w:numPr>
        <w:spacing w:line="280" w:lineRule="exact"/>
        <w:rPr>
          <w:rFonts w:ascii="Arial Narrow" w:hAnsi="Arial Narrow"/>
          <w:b/>
          <w:lang w:eastAsia="en-AU"/>
        </w:rPr>
      </w:pPr>
      <w:r>
        <w:rPr>
          <w:rFonts w:ascii="Arial Narrow" w:hAnsi="Arial Narrow"/>
          <w:b/>
          <w:lang w:eastAsia="en-AU"/>
        </w:rPr>
        <w:t>The Commercial Building Disclosure program is an appropriate program that complements a suite of related government policies and programs, including the Emissions Reduction Fund (ERF).</w:t>
      </w:r>
    </w:p>
    <w:p w14:paraId="60531333" w14:textId="77777777" w:rsidR="009133DF" w:rsidRPr="006E18E6" w:rsidRDefault="009133DF" w:rsidP="009133DF">
      <w:pPr>
        <w:spacing w:line="280" w:lineRule="exact"/>
        <w:rPr>
          <w:rFonts w:ascii="Arial Narrow" w:hAnsi="Arial Narrow"/>
          <w:lang w:eastAsia="en-AU"/>
        </w:rPr>
      </w:pPr>
      <w:r w:rsidRPr="006E18E6">
        <w:rPr>
          <w:rFonts w:ascii="Arial Narrow" w:hAnsi="Arial Narrow"/>
          <w:lang w:eastAsia="en-AU"/>
        </w:rPr>
        <w:t>ACIL Allen considers the CBD program to be an appropriate one that aligns strategically (and in practice) with related government policies and programs</w:t>
      </w:r>
      <w:r w:rsidR="00CB3EC7" w:rsidRPr="006E18E6">
        <w:rPr>
          <w:rFonts w:ascii="Arial Narrow" w:hAnsi="Arial Narrow"/>
          <w:lang w:eastAsia="en-AU"/>
        </w:rPr>
        <w:t>.</w:t>
      </w:r>
      <w:r w:rsidR="00CB3EC7">
        <w:rPr>
          <w:rFonts w:ascii="Arial Narrow" w:hAnsi="Arial Narrow"/>
          <w:lang w:eastAsia="en-AU"/>
        </w:rPr>
        <w:t xml:space="preserve"> </w:t>
      </w:r>
      <w:r w:rsidRPr="006E18E6">
        <w:rPr>
          <w:rFonts w:ascii="Arial Narrow" w:hAnsi="Arial Narrow"/>
          <w:lang w:eastAsia="en-AU"/>
        </w:rPr>
        <w:t>It is complementary to a significant number of government programs and initiatives that target building energy efficiency</w:t>
      </w:r>
      <w:r w:rsidR="00CB3EC7" w:rsidRPr="006E18E6">
        <w:rPr>
          <w:rFonts w:ascii="Arial Narrow" w:hAnsi="Arial Narrow"/>
          <w:lang w:eastAsia="en-AU"/>
        </w:rPr>
        <w:t>.</w:t>
      </w:r>
      <w:r w:rsidR="00CB3EC7">
        <w:rPr>
          <w:rFonts w:ascii="Arial Narrow" w:hAnsi="Arial Narrow"/>
          <w:lang w:eastAsia="en-AU"/>
        </w:rPr>
        <w:t xml:space="preserve"> </w:t>
      </w:r>
      <w:r w:rsidRPr="006E18E6">
        <w:rPr>
          <w:rFonts w:ascii="Arial Narrow" w:hAnsi="Arial Narrow"/>
          <w:lang w:eastAsia="en-AU"/>
        </w:rPr>
        <w:t>While some other programs also target split incentives, they primarily apply to newly co</w:t>
      </w:r>
      <w:r>
        <w:rPr>
          <w:rFonts w:ascii="Arial Narrow" w:hAnsi="Arial Narrow"/>
          <w:lang w:eastAsia="en-AU"/>
        </w:rPr>
        <w:t>nstructed buildings, whereas this</w:t>
      </w:r>
      <w:r w:rsidRPr="006E18E6">
        <w:rPr>
          <w:rFonts w:ascii="Arial Narrow" w:hAnsi="Arial Narrow"/>
          <w:lang w:eastAsia="en-AU"/>
        </w:rPr>
        <w:t xml:space="preserve"> </w:t>
      </w:r>
      <w:r>
        <w:rPr>
          <w:rFonts w:ascii="Arial Narrow" w:hAnsi="Arial Narrow"/>
          <w:lang w:eastAsia="en-AU"/>
        </w:rPr>
        <w:t>program</w:t>
      </w:r>
      <w:r w:rsidRPr="006E18E6">
        <w:rPr>
          <w:rFonts w:ascii="Arial Narrow" w:hAnsi="Arial Narrow"/>
          <w:lang w:eastAsia="en-AU"/>
        </w:rPr>
        <w:t xml:space="preserve"> applies to both existing and </w:t>
      </w:r>
      <w:r w:rsidR="000260DA">
        <w:rPr>
          <w:rFonts w:ascii="Arial Narrow" w:hAnsi="Arial Narrow"/>
          <w:lang w:eastAsia="en-AU"/>
        </w:rPr>
        <w:t xml:space="preserve">recently constructed </w:t>
      </w:r>
      <w:r w:rsidRPr="006E18E6">
        <w:rPr>
          <w:rFonts w:ascii="Arial Narrow" w:hAnsi="Arial Narrow"/>
          <w:lang w:eastAsia="en-AU"/>
        </w:rPr>
        <w:t>buildings</w:t>
      </w:r>
      <w:r w:rsidR="00CB3EC7" w:rsidRPr="006E18E6">
        <w:rPr>
          <w:rFonts w:ascii="Arial Narrow" w:hAnsi="Arial Narrow"/>
          <w:lang w:eastAsia="en-AU"/>
        </w:rPr>
        <w:t>.</w:t>
      </w:r>
      <w:r w:rsidR="00CB3EC7">
        <w:rPr>
          <w:rFonts w:ascii="Arial Narrow" w:hAnsi="Arial Narrow"/>
          <w:lang w:eastAsia="en-AU"/>
        </w:rPr>
        <w:t xml:space="preserve"> </w:t>
      </w:r>
      <w:r w:rsidRPr="006E18E6">
        <w:rPr>
          <w:rFonts w:ascii="Arial Narrow" w:hAnsi="Arial Narrow"/>
          <w:lang w:eastAsia="en-AU"/>
        </w:rPr>
        <w:t>A number of programs also target inadequate and asymmetric information; however, this information provision is primarily targeted at building owners, while CBD complements these programs by providing information to tenants</w:t>
      </w:r>
      <w:r w:rsidR="000260DA">
        <w:rPr>
          <w:rFonts w:ascii="Arial Narrow" w:hAnsi="Arial Narrow"/>
          <w:lang w:eastAsia="en-AU"/>
        </w:rPr>
        <w:t xml:space="preserve"> and prospective buyers</w:t>
      </w:r>
      <w:r w:rsidR="00CB3EC7" w:rsidRPr="006E18E6">
        <w:rPr>
          <w:rFonts w:ascii="Arial Narrow" w:hAnsi="Arial Narrow"/>
          <w:lang w:eastAsia="en-AU"/>
        </w:rPr>
        <w:t>.</w:t>
      </w:r>
      <w:r w:rsidR="00CB3EC7">
        <w:rPr>
          <w:rFonts w:ascii="Arial Narrow" w:hAnsi="Arial Narrow"/>
          <w:lang w:eastAsia="en-AU"/>
        </w:rPr>
        <w:t xml:space="preserve"> </w:t>
      </w:r>
    </w:p>
    <w:p w14:paraId="6E147CF7" w14:textId="6E0D3EE2" w:rsidR="009133DF" w:rsidRPr="00F228C1" w:rsidRDefault="009133DF" w:rsidP="009133DF">
      <w:pPr>
        <w:pStyle w:val="ListParagraph"/>
        <w:numPr>
          <w:ilvl w:val="0"/>
          <w:numId w:val="37"/>
        </w:numPr>
        <w:spacing w:line="280" w:lineRule="exact"/>
        <w:rPr>
          <w:rFonts w:ascii="Arial Narrow" w:hAnsi="Arial Narrow"/>
          <w:b/>
          <w:lang w:eastAsia="en-AU"/>
        </w:rPr>
      </w:pPr>
      <w:r w:rsidRPr="00F228C1">
        <w:rPr>
          <w:rFonts w:ascii="Arial Narrow" w:hAnsi="Arial Narrow"/>
          <w:b/>
          <w:lang w:eastAsia="en-AU"/>
        </w:rPr>
        <w:t>T</w:t>
      </w:r>
      <w:r w:rsidRPr="006E18E6">
        <w:rPr>
          <w:rFonts w:ascii="Arial Narrow" w:hAnsi="Arial Narrow"/>
          <w:b/>
          <w:lang w:eastAsia="en-AU"/>
        </w:rPr>
        <w:t xml:space="preserve">he CBD program has </w:t>
      </w:r>
      <w:r w:rsidR="000260DA">
        <w:rPr>
          <w:rFonts w:ascii="Arial Narrow" w:hAnsi="Arial Narrow"/>
          <w:b/>
          <w:lang w:eastAsia="en-AU"/>
        </w:rPr>
        <w:t xml:space="preserve">been effective in </w:t>
      </w:r>
      <w:r w:rsidRPr="006E18E6">
        <w:rPr>
          <w:rFonts w:ascii="Arial Narrow" w:hAnsi="Arial Narrow"/>
          <w:b/>
          <w:lang w:eastAsia="en-AU"/>
        </w:rPr>
        <w:t>induc</w:t>
      </w:r>
      <w:r w:rsidR="000260DA">
        <w:rPr>
          <w:rFonts w:ascii="Arial Narrow" w:hAnsi="Arial Narrow"/>
          <w:b/>
          <w:lang w:eastAsia="en-AU"/>
        </w:rPr>
        <w:t>ing</w:t>
      </w:r>
      <w:r w:rsidRPr="006E18E6">
        <w:rPr>
          <w:rFonts w:ascii="Arial Narrow" w:hAnsi="Arial Narrow"/>
          <w:b/>
          <w:lang w:eastAsia="en-AU"/>
        </w:rPr>
        <w:t xml:space="preserve"> </w:t>
      </w:r>
      <w:r w:rsidR="00952797">
        <w:rPr>
          <w:rFonts w:ascii="Arial Narrow" w:hAnsi="Arial Narrow"/>
          <w:b/>
          <w:lang w:eastAsia="en-AU"/>
        </w:rPr>
        <w:t xml:space="preserve">positive </w:t>
      </w:r>
      <w:r w:rsidRPr="006E18E6">
        <w:rPr>
          <w:rFonts w:ascii="Arial Narrow" w:hAnsi="Arial Narrow"/>
          <w:b/>
          <w:lang w:eastAsia="en-AU"/>
        </w:rPr>
        <w:t xml:space="preserve">behaviour </w:t>
      </w:r>
      <w:r>
        <w:rPr>
          <w:rFonts w:ascii="Arial Narrow" w:hAnsi="Arial Narrow"/>
          <w:b/>
          <w:lang w:eastAsia="en-AU"/>
        </w:rPr>
        <w:t>change</w:t>
      </w:r>
      <w:r w:rsidRPr="006E18E6">
        <w:rPr>
          <w:rFonts w:ascii="Arial Narrow" w:hAnsi="Arial Narrow"/>
          <w:b/>
          <w:lang w:eastAsia="en-AU"/>
        </w:rPr>
        <w:t xml:space="preserve"> in relation to commercial building energy efficiency</w:t>
      </w:r>
      <w:r w:rsidR="009D5398">
        <w:rPr>
          <w:rFonts w:ascii="Arial Narrow" w:hAnsi="Arial Narrow"/>
          <w:b/>
          <w:lang w:eastAsia="en-AU"/>
        </w:rPr>
        <w:t xml:space="preserve"> in affected buildings</w:t>
      </w:r>
      <w:r>
        <w:rPr>
          <w:rFonts w:ascii="Arial Narrow" w:hAnsi="Arial Narrow"/>
          <w:b/>
          <w:lang w:eastAsia="en-AU"/>
        </w:rPr>
        <w:t>, resulting in significant benefits.</w:t>
      </w:r>
    </w:p>
    <w:p w14:paraId="230B1016" w14:textId="77777777" w:rsidR="00F8528C" w:rsidRDefault="00C7146F" w:rsidP="00DB0E3E">
      <w:pPr>
        <w:pStyle w:val="SideNote"/>
        <w:framePr w:wrap="around"/>
      </w:pPr>
      <w:r w:rsidRPr="00C7146F">
        <w:t>ACIL Allen’s cost-benefit analysis indicates that the CBD program has been successful in inducing a change in the behaviour of building owners, operators and tenants in relation to commercial building energy efficiency</w:t>
      </w:r>
      <w:r>
        <w:t>.</w:t>
      </w:r>
    </w:p>
    <w:p w14:paraId="7A74D54F" w14:textId="77777777" w:rsidR="009133DF" w:rsidRPr="006E18E6" w:rsidRDefault="009133DF" w:rsidP="009133DF">
      <w:pPr>
        <w:spacing w:line="280" w:lineRule="exact"/>
        <w:rPr>
          <w:rFonts w:ascii="Arial Narrow" w:hAnsi="Arial Narrow"/>
          <w:lang w:eastAsia="en-AU"/>
        </w:rPr>
      </w:pPr>
      <w:r w:rsidRPr="006E18E6">
        <w:rPr>
          <w:rFonts w:ascii="Arial Narrow" w:hAnsi="Arial Narrow"/>
          <w:lang w:eastAsia="en-AU"/>
        </w:rPr>
        <w:t>ACIL</w:t>
      </w:r>
      <w:r w:rsidR="00DD2F81">
        <w:rPr>
          <w:rFonts w:ascii="Arial Narrow" w:hAnsi="Arial Narrow"/>
          <w:lang w:eastAsia="en-AU"/>
        </w:rPr>
        <w:t xml:space="preserve"> Allen’s cost-benefit analysis indicate</w:t>
      </w:r>
      <w:r w:rsidRPr="006E18E6">
        <w:rPr>
          <w:rFonts w:ascii="Arial Narrow" w:hAnsi="Arial Narrow"/>
          <w:lang w:eastAsia="en-AU"/>
        </w:rPr>
        <w:t>s that the CBD program has been successful in inducing a change in the behaviour of building owners, operators and tenants in relation to commercial building energy efficiency</w:t>
      </w:r>
      <w:r w:rsidR="00CB3EC7" w:rsidRPr="006E18E6">
        <w:rPr>
          <w:rFonts w:ascii="Arial Narrow" w:hAnsi="Arial Narrow"/>
          <w:lang w:eastAsia="en-AU"/>
        </w:rPr>
        <w:t>.</w:t>
      </w:r>
      <w:r w:rsidR="00CB3EC7">
        <w:rPr>
          <w:rFonts w:ascii="Arial Narrow" w:hAnsi="Arial Narrow"/>
          <w:lang w:eastAsia="en-AU"/>
        </w:rPr>
        <w:t xml:space="preserve"> </w:t>
      </w:r>
      <w:r w:rsidR="009D5398">
        <w:rPr>
          <w:rFonts w:ascii="Arial Narrow" w:hAnsi="Arial Narrow"/>
          <w:lang w:eastAsia="en-AU"/>
        </w:rPr>
        <w:t>This was particularly evident in buildings with relatively low</w:t>
      </w:r>
      <w:r w:rsidR="00A862DF">
        <w:rPr>
          <w:rFonts w:ascii="Arial Narrow" w:hAnsi="Arial Narrow"/>
          <w:lang w:eastAsia="en-AU"/>
        </w:rPr>
        <w:t xml:space="preserve"> initial</w:t>
      </w:r>
      <w:r w:rsidR="009D5398">
        <w:rPr>
          <w:rFonts w:ascii="Arial Narrow" w:hAnsi="Arial Narrow"/>
          <w:lang w:eastAsia="en-AU"/>
        </w:rPr>
        <w:t xml:space="preserve"> </w:t>
      </w:r>
      <w:r w:rsidR="00A862DF">
        <w:rPr>
          <w:rFonts w:ascii="Arial Narrow" w:hAnsi="Arial Narrow"/>
          <w:lang w:eastAsia="en-AU"/>
        </w:rPr>
        <w:t>levels</w:t>
      </w:r>
      <w:r w:rsidR="009D5398">
        <w:rPr>
          <w:rFonts w:ascii="Arial Narrow" w:hAnsi="Arial Narrow"/>
          <w:lang w:eastAsia="en-AU"/>
        </w:rPr>
        <w:t xml:space="preserve"> of energy performance.</w:t>
      </w:r>
    </w:p>
    <w:p w14:paraId="6F28362D" w14:textId="7313D5E4" w:rsidR="009133DF" w:rsidRDefault="009133DF" w:rsidP="009133DF">
      <w:pPr>
        <w:spacing w:line="280" w:lineRule="exact"/>
        <w:rPr>
          <w:rFonts w:ascii="Arial Narrow" w:hAnsi="Arial Narrow"/>
          <w:lang w:eastAsia="en-AU"/>
        </w:rPr>
      </w:pPr>
      <w:r>
        <w:rPr>
          <w:rFonts w:ascii="Arial Narrow" w:hAnsi="Arial Narrow"/>
          <w:lang w:eastAsia="en-AU"/>
        </w:rPr>
        <w:t>Our analysis suggests that t</w:t>
      </w:r>
      <w:r w:rsidRPr="006E18E6">
        <w:rPr>
          <w:rFonts w:ascii="Arial Narrow" w:hAnsi="Arial Narrow"/>
          <w:lang w:eastAsia="en-AU"/>
        </w:rPr>
        <w:t>he resultant improvements in base building energy performance</w:t>
      </w:r>
      <w:r>
        <w:rPr>
          <w:rFonts w:ascii="Arial Narrow" w:hAnsi="Arial Narrow"/>
          <w:lang w:eastAsia="en-AU"/>
        </w:rPr>
        <w:t>,</w:t>
      </w:r>
      <w:r w:rsidRPr="006E18E6">
        <w:rPr>
          <w:rFonts w:ascii="Arial Narrow" w:hAnsi="Arial Narrow"/>
          <w:lang w:eastAsia="en-AU"/>
        </w:rPr>
        <w:t xml:space="preserve"> as measured by </w:t>
      </w:r>
      <w:r>
        <w:rPr>
          <w:rFonts w:ascii="Arial Narrow" w:hAnsi="Arial Narrow"/>
          <w:lang w:eastAsia="en-AU"/>
        </w:rPr>
        <w:t>the</w:t>
      </w:r>
      <w:r w:rsidRPr="006E18E6">
        <w:rPr>
          <w:rFonts w:ascii="Arial Narrow" w:hAnsi="Arial Narrow"/>
          <w:lang w:eastAsia="en-AU"/>
        </w:rPr>
        <w:t xml:space="preserve"> NABERS rating, have enabled the program to achieve </w:t>
      </w:r>
      <w:r w:rsidR="00B54BBA">
        <w:rPr>
          <w:rFonts w:ascii="Arial Narrow" w:hAnsi="Arial Narrow"/>
          <w:lang w:eastAsia="en-AU"/>
        </w:rPr>
        <w:t xml:space="preserve">cumulative </w:t>
      </w:r>
      <w:r w:rsidRPr="006E18E6">
        <w:rPr>
          <w:rFonts w:ascii="Arial Narrow" w:hAnsi="Arial Narrow"/>
          <w:lang w:eastAsia="en-AU"/>
        </w:rPr>
        <w:t xml:space="preserve">benefits in excess of costs to date of $44 million </w:t>
      </w:r>
      <w:r w:rsidR="00B54BBA">
        <w:rPr>
          <w:rFonts w:ascii="Arial Narrow" w:hAnsi="Arial Narrow"/>
          <w:lang w:eastAsia="en-AU"/>
        </w:rPr>
        <w:t>between 2010 and 2014</w:t>
      </w:r>
      <w:r w:rsidR="00B54BBA">
        <w:rPr>
          <w:rStyle w:val="FootnoteReference"/>
          <w:lang w:eastAsia="en-AU"/>
        </w:rPr>
        <w:footnoteReference w:id="1"/>
      </w:r>
      <w:r w:rsidR="00804446">
        <w:rPr>
          <w:rFonts w:ascii="Arial Narrow" w:hAnsi="Arial Narrow"/>
          <w:lang w:eastAsia="en-AU"/>
        </w:rPr>
        <w:t>, even though not all buildings covered by the program have triggered disclosure in that period</w:t>
      </w:r>
      <w:r w:rsidR="00CB3EC7" w:rsidRPr="006E18E6">
        <w:rPr>
          <w:rFonts w:ascii="Arial Narrow" w:hAnsi="Arial Narrow"/>
          <w:lang w:eastAsia="en-AU"/>
        </w:rPr>
        <w:t>.</w:t>
      </w:r>
      <w:r w:rsidR="00CB3EC7">
        <w:rPr>
          <w:rFonts w:ascii="Arial Narrow" w:hAnsi="Arial Narrow"/>
          <w:lang w:eastAsia="en-AU"/>
        </w:rPr>
        <w:t xml:space="preserve"> </w:t>
      </w:r>
      <w:r w:rsidR="00E952B8">
        <w:rPr>
          <w:rFonts w:ascii="Arial Narrow" w:hAnsi="Arial Narrow"/>
          <w:lang w:eastAsia="en-AU"/>
        </w:rPr>
        <w:t>Th</w:t>
      </w:r>
      <w:r w:rsidR="00804446">
        <w:rPr>
          <w:rFonts w:ascii="Arial Narrow" w:hAnsi="Arial Narrow"/>
          <w:lang w:eastAsia="en-AU"/>
        </w:rPr>
        <w:t>e benefits</w:t>
      </w:r>
      <w:r w:rsidR="00E952B8">
        <w:rPr>
          <w:rFonts w:ascii="Arial Narrow" w:hAnsi="Arial Narrow"/>
          <w:lang w:eastAsia="en-AU"/>
        </w:rPr>
        <w:t xml:space="preserve"> include a reduction in end</w:t>
      </w:r>
      <w:r w:rsidR="00A862DF">
        <w:rPr>
          <w:rFonts w:ascii="Arial Narrow" w:hAnsi="Arial Narrow"/>
          <w:lang w:eastAsia="en-AU"/>
        </w:rPr>
        <w:t>-</w:t>
      </w:r>
      <w:r w:rsidR="00E952B8">
        <w:rPr>
          <w:rFonts w:ascii="Arial Narrow" w:hAnsi="Arial Narrow"/>
          <w:lang w:eastAsia="en-AU"/>
        </w:rPr>
        <w:t xml:space="preserve">use energy consumption of 10,020 </w:t>
      </w:r>
      <w:proofErr w:type="spellStart"/>
      <w:r w:rsidR="005470EC">
        <w:rPr>
          <w:rFonts w:ascii="Arial Narrow" w:hAnsi="Arial Narrow"/>
          <w:lang w:eastAsia="en-AU"/>
        </w:rPr>
        <w:t>terajoules</w:t>
      </w:r>
      <w:proofErr w:type="spellEnd"/>
      <w:r w:rsidR="005470EC">
        <w:rPr>
          <w:rFonts w:ascii="Arial Narrow" w:hAnsi="Arial Narrow"/>
          <w:lang w:eastAsia="en-AU"/>
        </w:rPr>
        <w:t xml:space="preserve"> (</w:t>
      </w:r>
      <w:r w:rsidR="00E952B8">
        <w:rPr>
          <w:rFonts w:ascii="Arial Narrow" w:hAnsi="Arial Narrow"/>
          <w:lang w:eastAsia="en-AU"/>
        </w:rPr>
        <w:t>TJ</w:t>
      </w:r>
      <w:r w:rsidR="005470EC">
        <w:rPr>
          <w:rFonts w:ascii="Arial Narrow" w:hAnsi="Arial Narrow"/>
          <w:lang w:eastAsia="en-AU"/>
        </w:rPr>
        <w:t>)</w:t>
      </w:r>
      <w:r w:rsidR="00E952B8">
        <w:rPr>
          <w:rFonts w:ascii="Arial Narrow" w:hAnsi="Arial Narrow"/>
          <w:lang w:eastAsia="en-AU"/>
        </w:rPr>
        <w:t xml:space="preserve"> and </w:t>
      </w:r>
      <w:r w:rsidR="005470EC">
        <w:rPr>
          <w:rFonts w:ascii="Arial Narrow" w:hAnsi="Arial Narrow"/>
          <w:lang w:eastAsia="en-AU"/>
        </w:rPr>
        <w:t>greenhouse-gas (</w:t>
      </w:r>
      <w:r w:rsidR="00E952B8">
        <w:rPr>
          <w:rFonts w:ascii="Arial Narrow" w:hAnsi="Arial Narrow"/>
          <w:lang w:eastAsia="en-AU"/>
        </w:rPr>
        <w:t>GHG</w:t>
      </w:r>
      <w:r w:rsidR="005470EC">
        <w:rPr>
          <w:rFonts w:ascii="Arial Narrow" w:hAnsi="Arial Narrow"/>
          <w:lang w:eastAsia="en-AU"/>
        </w:rPr>
        <w:t>)</w:t>
      </w:r>
      <w:r w:rsidR="00E952B8">
        <w:rPr>
          <w:rFonts w:ascii="Arial Narrow" w:hAnsi="Arial Narrow"/>
          <w:lang w:eastAsia="en-AU"/>
        </w:rPr>
        <w:t xml:space="preserve"> emissions of 2,051 </w:t>
      </w:r>
      <w:proofErr w:type="spellStart"/>
      <w:r w:rsidR="00E00025">
        <w:rPr>
          <w:rFonts w:ascii="Arial Narrow" w:hAnsi="Arial Narrow"/>
          <w:lang w:eastAsia="en-AU"/>
        </w:rPr>
        <w:t>kilo</w:t>
      </w:r>
      <w:r w:rsidR="00A862DF">
        <w:rPr>
          <w:rFonts w:ascii="Arial Narrow" w:hAnsi="Arial Narrow"/>
          <w:lang w:eastAsia="en-AU"/>
        </w:rPr>
        <w:t>tonnes</w:t>
      </w:r>
      <w:proofErr w:type="spellEnd"/>
      <w:r w:rsidR="00A862DF">
        <w:rPr>
          <w:rFonts w:ascii="Arial Narrow" w:hAnsi="Arial Narrow"/>
          <w:lang w:eastAsia="en-AU"/>
        </w:rPr>
        <w:t xml:space="preserve"> of CO</w:t>
      </w:r>
      <w:r w:rsidR="00A862DF" w:rsidRPr="006E18E6">
        <w:rPr>
          <w:rFonts w:ascii="Arial Narrow" w:hAnsi="Arial Narrow"/>
          <w:vertAlign w:val="subscript"/>
          <w:lang w:eastAsia="en-AU"/>
        </w:rPr>
        <w:t>2</w:t>
      </w:r>
      <w:r w:rsidR="00A862DF">
        <w:rPr>
          <w:rFonts w:ascii="Arial Narrow" w:hAnsi="Arial Narrow"/>
          <w:lang w:eastAsia="en-AU"/>
        </w:rPr>
        <w:t>-equivalent (</w:t>
      </w:r>
      <w:r w:rsidR="00E00025">
        <w:rPr>
          <w:rFonts w:ascii="Arial Narrow" w:hAnsi="Arial Narrow"/>
          <w:lang w:eastAsia="en-AU"/>
        </w:rPr>
        <w:t>k</w:t>
      </w:r>
      <w:r w:rsidR="00E952B8" w:rsidRPr="006E18E6">
        <w:rPr>
          <w:rFonts w:ascii="Arial Narrow" w:hAnsi="Arial Narrow"/>
          <w:lang w:eastAsia="en-AU"/>
        </w:rPr>
        <w:t>tCO</w:t>
      </w:r>
      <w:r w:rsidR="00E952B8" w:rsidRPr="006E18E6">
        <w:rPr>
          <w:rFonts w:ascii="Arial Narrow" w:hAnsi="Arial Narrow"/>
          <w:vertAlign w:val="subscript"/>
          <w:lang w:eastAsia="en-AU"/>
        </w:rPr>
        <w:t>2</w:t>
      </w:r>
      <w:r w:rsidR="00E952B8" w:rsidRPr="00CB66DE">
        <w:rPr>
          <w:rFonts w:ascii="Arial Narrow" w:hAnsi="Arial Narrow"/>
          <w:lang w:eastAsia="en-AU"/>
        </w:rPr>
        <w:t>-e</w:t>
      </w:r>
      <w:r w:rsidR="00A862DF">
        <w:rPr>
          <w:rFonts w:ascii="Arial Narrow" w:hAnsi="Arial Narrow"/>
          <w:lang w:eastAsia="en-AU"/>
        </w:rPr>
        <w:t>)</w:t>
      </w:r>
      <w:r w:rsidR="00E952B8">
        <w:rPr>
          <w:rFonts w:ascii="Arial Narrow" w:hAnsi="Arial Narrow"/>
          <w:lang w:eastAsia="en-AU"/>
        </w:rPr>
        <w:t xml:space="preserve"> over the period 2010 to 2023.</w:t>
      </w:r>
    </w:p>
    <w:p w14:paraId="73B18DA5" w14:textId="5B017E9E" w:rsidR="00804446" w:rsidRPr="006E18E6" w:rsidRDefault="009133DF" w:rsidP="009133DF">
      <w:pPr>
        <w:spacing w:line="280" w:lineRule="exact"/>
        <w:rPr>
          <w:rFonts w:ascii="Arial Narrow" w:hAnsi="Arial Narrow"/>
          <w:lang w:eastAsia="en-AU"/>
        </w:rPr>
      </w:pPr>
      <w:r w:rsidRPr="006E18E6">
        <w:rPr>
          <w:rFonts w:ascii="Arial Narrow" w:hAnsi="Arial Narrow"/>
          <w:lang w:eastAsia="en-AU"/>
        </w:rPr>
        <w:t>This</w:t>
      </w:r>
      <w:r>
        <w:rPr>
          <w:rFonts w:ascii="Arial Narrow" w:hAnsi="Arial Narrow"/>
          <w:lang w:eastAsia="en-AU"/>
        </w:rPr>
        <w:t xml:space="preserve"> figure</w:t>
      </w:r>
      <w:r w:rsidRPr="006E18E6">
        <w:rPr>
          <w:rFonts w:ascii="Arial Narrow" w:hAnsi="Arial Narrow"/>
          <w:lang w:eastAsia="en-AU"/>
        </w:rPr>
        <w:t xml:space="preserve"> does not take into account </w:t>
      </w:r>
      <w:r>
        <w:rPr>
          <w:rFonts w:ascii="Arial Narrow" w:hAnsi="Arial Narrow"/>
          <w:lang w:eastAsia="en-AU"/>
        </w:rPr>
        <w:t xml:space="preserve">the </w:t>
      </w:r>
      <w:r w:rsidRPr="006E18E6">
        <w:rPr>
          <w:rFonts w:ascii="Arial Narrow" w:hAnsi="Arial Narrow"/>
          <w:lang w:eastAsia="en-AU"/>
        </w:rPr>
        <w:t xml:space="preserve">potential </w:t>
      </w:r>
      <w:r>
        <w:rPr>
          <w:rFonts w:ascii="Arial Narrow" w:hAnsi="Arial Narrow"/>
          <w:lang w:eastAsia="en-AU"/>
        </w:rPr>
        <w:t xml:space="preserve">benefits associated with </w:t>
      </w:r>
      <w:r w:rsidRPr="006E18E6">
        <w:rPr>
          <w:rFonts w:ascii="Arial Narrow" w:hAnsi="Arial Narrow"/>
          <w:lang w:eastAsia="en-AU"/>
        </w:rPr>
        <w:t>workforce productivity gains</w:t>
      </w:r>
      <w:r w:rsidR="00CB3EC7" w:rsidRPr="006E18E6">
        <w:rPr>
          <w:rFonts w:ascii="Arial Narrow" w:hAnsi="Arial Narrow"/>
          <w:lang w:eastAsia="en-AU"/>
        </w:rPr>
        <w:t>.</w:t>
      </w:r>
      <w:r w:rsidR="00CB3EC7">
        <w:rPr>
          <w:rFonts w:ascii="Arial Narrow" w:hAnsi="Arial Narrow"/>
          <w:lang w:eastAsia="en-AU"/>
        </w:rPr>
        <w:t xml:space="preserve"> </w:t>
      </w:r>
      <w:r>
        <w:rPr>
          <w:rFonts w:ascii="Arial Narrow" w:hAnsi="Arial Narrow"/>
          <w:lang w:eastAsia="en-AU"/>
        </w:rPr>
        <w:t xml:space="preserve">Those benefits </w:t>
      </w:r>
      <w:r w:rsidRPr="006E18E6">
        <w:rPr>
          <w:rFonts w:ascii="Arial Narrow" w:hAnsi="Arial Narrow"/>
          <w:lang w:eastAsia="en-AU"/>
        </w:rPr>
        <w:t>are estimated to be approximately $168 m</w:t>
      </w:r>
      <w:r w:rsidR="00DD2F81">
        <w:rPr>
          <w:rFonts w:ascii="Arial Narrow" w:hAnsi="Arial Narrow"/>
          <w:lang w:eastAsia="en-AU"/>
        </w:rPr>
        <w:t>illion</w:t>
      </w:r>
      <w:r w:rsidR="00261062">
        <w:rPr>
          <w:rFonts w:ascii="Arial Narrow" w:hAnsi="Arial Narrow"/>
          <w:lang w:eastAsia="en-AU"/>
        </w:rPr>
        <w:t xml:space="preserve"> cumulatively</w:t>
      </w:r>
      <w:r w:rsidR="00907F2D">
        <w:rPr>
          <w:rStyle w:val="FootnoteReference"/>
          <w:lang w:eastAsia="en-AU"/>
        </w:rPr>
        <w:footnoteReference w:id="2"/>
      </w:r>
      <w:r w:rsidR="00CB3EC7">
        <w:rPr>
          <w:rFonts w:ascii="Arial Narrow" w:hAnsi="Arial Narrow"/>
          <w:lang w:eastAsia="en-AU"/>
        </w:rPr>
        <w:t xml:space="preserve">. </w:t>
      </w:r>
      <w:r w:rsidRPr="006E18E6">
        <w:rPr>
          <w:rFonts w:ascii="Arial Narrow" w:hAnsi="Arial Narrow"/>
          <w:lang w:eastAsia="en-AU"/>
        </w:rPr>
        <w:t xml:space="preserve">However, </w:t>
      </w:r>
      <w:r w:rsidR="00261062">
        <w:rPr>
          <w:rFonts w:ascii="Arial Narrow" w:hAnsi="Arial Narrow"/>
          <w:lang w:eastAsia="en-AU"/>
        </w:rPr>
        <w:t>they have not been included</w:t>
      </w:r>
      <w:r w:rsidRPr="006E18E6">
        <w:rPr>
          <w:rFonts w:ascii="Arial Narrow" w:hAnsi="Arial Narrow"/>
          <w:lang w:eastAsia="en-AU"/>
        </w:rPr>
        <w:t xml:space="preserve"> in the net benefit numbers because of the higher level of uncertainty </w:t>
      </w:r>
      <w:r w:rsidR="00261062">
        <w:rPr>
          <w:rFonts w:ascii="Arial Narrow" w:hAnsi="Arial Narrow"/>
          <w:lang w:eastAsia="en-AU"/>
        </w:rPr>
        <w:t>associated with them</w:t>
      </w:r>
      <w:r w:rsidRPr="006E18E6">
        <w:rPr>
          <w:rFonts w:ascii="Arial Narrow" w:hAnsi="Arial Narrow"/>
          <w:lang w:eastAsia="en-AU"/>
        </w:rPr>
        <w:t>.</w:t>
      </w:r>
    </w:p>
    <w:p w14:paraId="1DB378D6" w14:textId="75295CB9" w:rsidR="009133DF" w:rsidRPr="00F228C1" w:rsidRDefault="009133DF" w:rsidP="009133DF">
      <w:pPr>
        <w:pStyle w:val="ListParagraph"/>
        <w:numPr>
          <w:ilvl w:val="0"/>
          <w:numId w:val="37"/>
        </w:numPr>
        <w:spacing w:line="280" w:lineRule="exact"/>
        <w:rPr>
          <w:rFonts w:ascii="Arial Narrow" w:hAnsi="Arial Narrow"/>
          <w:b/>
          <w:lang w:eastAsia="en-AU"/>
        </w:rPr>
      </w:pPr>
      <w:r>
        <w:rPr>
          <w:rFonts w:ascii="Arial Narrow" w:hAnsi="Arial Narrow"/>
          <w:b/>
          <w:lang w:eastAsia="en-AU"/>
        </w:rPr>
        <w:t>Th</w:t>
      </w:r>
      <w:r w:rsidR="00804446">
        <w:rPr>
          <w:rFonts w:ascii="Arial Narrow" w:hAnsi="Arial Narrow"/>
          <w:b/>
          <w:lang w:eastAsia="en-AU"/>
        </w:rPr>
        <w:t>e</w:t>
      </w:r>
      <w:r>
        <w:rPr>
          <w:rFonts w:ascii="Arial Narrow" w:hAnsi="Arial Narrow"/>
          <w:b/>
          <w:lang w:eastAsia="en-AU"/>
        </w:rPr>
        <w:t xml:space="preserve"> CBD program </w:t>
      </w:r>
      <w:r w:rsidR="00804446">
        <w:rPr>
          <w:rFonts w:ascii="Arial Narrow" w:hAnsi="Arial Narrow"/>
          <w:b/>
          <w:lang w:eastAsia="en-AU"/>
        </w:rPr>
        <w:t>is expected</w:t>
      </w:r>
      <w:r>
        <w:rPr>
          <w:rFonts w:ascii="Arial Narrow" w:hAnsi="Arial Narrow"/>
          <w:b/>
          <w:lang w:eastAsia="en-AU"/>
        </w:rPr>
        <w:t xml:space="preserve"> to deliver further benefits in energy reduction and greenhouse gas abatement.</w:t>
      </w:r>
    </w:p>
    <w:p w14:paraId="092F7666" w14:textId="77777777" w:rsidR="00F8528C" w:rsidRDefault="00F8528C" w:rsidP="00DB0E3E">
      <w:pPr>
        <w:pStyle w:val="SideNote"/>
        <w:framePr w:wrap="around"/>
      </w:pPr>
      <w:r>
        <w:t xml:space="preserve">Continuation of the CBD program </w:t>
      </w:r>
      <w:r w:rsidR="00761462">
        <w:t>is expected to</w:t>
      </w:r>
      <w:r w:rsidR="00C55998">
        <w:t xml:space="preserve"> deliver significant benefits</w:t>
      </w:r>
      <w:r w:rsidR="00CB3EC7">
        <w:t xml:space="preserve">. </w:t>
      </w:r>
    </w:p>
    <w:p w14:paraId="7CDDD38F" w14:textId="171ED62D" w:rsidR="009133DF" w:rsidRPr="006E18E6" w:rsidRDefault="009133DF" w:rsidP="009133DF">
      <w:pPr>
        <w:spacing w:line="280" w:lineRule="exact"/>
        <w:rPr>
          <w:rFonts w:ascii="Arial Narrow" w:hAnsi="Arial Narrow"/>
          <w:lang w:eastAsia="en-AU"/>
        </w:rPr>
      </w:pPr>
      <w:r w:rsidRPr="006E18E6">
        <w:rPr>
          <w:rFonts w:ascii="Arial Narrow" w:hAnsi="Arial Narrow"/>
          <w:lang w:eastAsia="en-AU"/>
        </w:rPr>
        <w:t>ACIL Allen’s forward</w:t>
      </w:r>
      <w:r w:rsidR="00F900D8">
        <w:rPr>
          <w:rFonts w:ascii="Arial Narrow" w:hAnsi="Arial Narrow"/>
          <w:lang w:eastAsia="en-AU"/>
        </w:rPr>
        <w:t>-</w:t>
      </w:r>
      <w:r w:rsidRPr="006E18E6">
        <w:rPr>
          <w:rFonts w:ascii="Arial Narrow" w:hAnsi="Arial Narrow"/>
          <w:lang w:eastAsia="en-AU"/>
        </w:rPr>
        <w:t>looking analysis of the CBD program indicates that retaining the NABERS component of the program will continue to deliver substantial net benefits</w:t>
      </w:r>
      <w:r w:rsidR="00CB3EC7" w:rsidRPr="006E18E6">
        <w:rPr>
          <w:rFonts w:ascii="Arial Narrow" w:hAnsi="Arial Narrow"/>
          <w:lang w:eastAsia="en-AU"/>
        </w:rPr>
        <w:t>.</w:t>
      </w:r>
      <w:r w:rsidR="00CB3EC7">
        <w:rPr>
          <w:rFonts w:ascii="Arial Narrow" w:hAnsi="Arial Narrow"/>
          <w:lang w:eastAsia="en-AU"/>
        </w:rPr>
        <w:t xml:space="preserve"> </w:t>
      </w:r>
      <w:r w:rsidR="00D214BE">
        <w:rPr>
          <w:rFonts w:ascii="Arial Narrow" w:hAnsi="Arial Narrow"/>
          <w:lang w:eastAsia="en-AU"/>
        </w:rPr>
        <w:t>Assuming a 5</w:t>
      </w:r>
      <w:r w:rsidR="00261062">
        <w:rPr>
          <w:rFonts w:ascii="Arial Narrow" w:hAnsi="Arial Narrow"/>
          <w:lang w:eastAsia="en-AU"/>
        </w:rPr>
        <w:t>-</w:t>
      </w:r>
      <w:r w:rsidR="00D214BE">
        <w:rPr>
          <w:rFonts w:ascii="Arial Narrow" w:hAnsi="Arial Narrow"/>
          <w:lang w:eastAsia="en-AU"/>
        </w:rPr>
        <w:t>year program duration from 201</w:t>
      </w:r>
      <w:r w:rsidR="0095223F">
        <w:rPr>
          <w:rFonts w:ascii="Arial Narrow" w:hAnsi="Arial Narrow"/>
          <w:lang w:eastAsia="en-AU"/>
        </w:rPr>
        <w:t>5</w:t>
      </w:r>
      <w:r w:rsidR="00D214BE">
        <w:rPr>
          <w:rFonts w:ascii="Arial Narrow" w:hAnsi="Arial Narrow"/>
          <w:lang w:eastAsia="en-AU"/>
        </w:rPr>
        <w:t xml:space="preserve"> to 20</w:t>
      </w:r>
      <w:r w:rsidR="0095223F">
        <w:rPr>
          <w:rFonts w:ascii="Arial Narrow" w:hAnsi="Arial Narrow"/>
          <w:lang w:eastAsia="en-AU"/>
        </w:rPr>
        <w:t>19</w:t>
      </w:r>
      <w:r w:rsidR="00D214BE">
        <w:rPr>
          <w:rFonts w:ascii="Arial Narrow" w:hAnsi="Arial Narrow"/>
          <w:lang w:eastAsia="en-AU"/>
        </w:rPr>
        <w:t>, t</w:t>
      </w:r>
      <w:r w:rsidRPr="006E18E6">
        <w:rPr>
          <w:rFonts w:ascii="Arial Narrow" w:hAnsi="Arial Narrow"/>
          <w:lang w:eastAsia="en-AU"/>
        </w:rPr>
        <w:t xml:space="preserve">he </w:t>
      </w:r>
      <w:r w:rsidR="0041568D">
        <w:rPr>
          <w:rFonts w:ascii="Arial Narrow" w:hAnsi="Arial Narrow"/>
          <w:lang w:eastAsia="en-AU"/>
        </w:rPr>
        <w:t xml:space="preserve">cumulative </w:t>
      </w:r>
      <w:r w:rsidRPr="006E18E6">
        <w:rPr>
          <w:rFonts w:ascii="Arial Narrow" w:hAnsi="Arial Narrow"/>
          <w:lang w:eastAsia="en-AU"/>
        </w:rPr>
        <w:t>net benefits (not including the value of GHG reductions) are estimated to be $</w:t>
      </w:r>
      <w:r w:rsidR="00D66C3A">
        <w:rPr>
          <w:rFonts w:ascii="Arial Narrow" w:hAnsi="Arial Narrow"/>
          <w:lang w:eastAsia="en-AU"/>
        </w:rPr>
        <w:t>53</w:t>
      </w:r>
      <w:r w:rsidRPr="006E18E6">
        <w:rPr>
          <w:rFonts w:ascii="Arial Narrow" w:hAnsi="Arial Narrow"/>
          <w:lang w:eastAsia="en-AU"/>
        </w:rPr>
        <w:t>.3 million</w:t>
      </w:r>
      <w:r w:rsidR="0041568D">
        <w:rPr>
          <w:rStyle w:val="FootnoteReference"/>
          <w:lang w:eastAsia="en-AU"/>
        </w:rPr>
        <w:footnoteReference w:id="3"/>
      </w:r>
      <w:r w:rsidR="00D66C3A">
        <w:rPr>
          <w:rFonts w:ascii="Arial Narrow" w:hAnsi="Arial Narrow"/>
          <w:lang w:eastAsia="en-AU"/>
        </w:rPr>
        <w:t>.</w:t>
      </w:r>
      <w:r w:rsidR="00E00025">
        <w:rPr>
          <w:rFonts w:ascii="Arial Narrow" w:hAnsi="Arial Narrow"/>
          <w:lang w:eastAsia="en-AU"/>
        </w:rPr>
        <w:t xml:space="preserve"> </w:t>
      </w:r>
      <w:r w:rsidR="00D66C3A">
        <w:rPr>
          <w:rFonts w:ascii="Arial Narrow" w:hAnsi="Arial Narrow"/>
          <w:lang w:eastAsia="en-AU"/>
        </w:rPr>
        <w:t>The cumulative net benefits are estimated to be $76</w:t>
      </w:r>
      <w:r w:rsidR="0033348D">
        <w:rPr>
          <w:rFonts w:ascii="Arial Narrow" w:hAnsi="Arial Narrow"/>
          <w:lang w:eastAsia="en-AU"/>
        </w:rPr>
        <w:t>.0</w:t>
      </w:r>
      <w:r w:rsidR="00D66C3A">
        <w:rPr>
          <w:rFonts w:ascii="Arial Narrow" w:hAnsi="Arial Narrow"/>
          <w:lang w:eastAsia="en-AU"/>
        </w:rPr>
        <w:t xml:space="preserve"> million if </w:t>
      </w:r>
      <w:r w:rsidR="00D66C3A" w:rsidRPr="00D66C3A">
        <w:rPr>
          <w:rFonts w:ascii="Arial Narrow" w:hAnsi="Arial Narrow"/>
          <w:lang w:eastAsia="en-AU"/>
        </w:rPr>
        <w:t>GHG reductions are valued at $23/tCO2-e</w:t>
      </w:r>
      <w:r w:rsidR="00D66C3A">
        <w:rPr>
          <w:rFonts w:ascii="Arial Narrow" w:hAnsi="Arial Narrow"/>
          <w:lang w:eastAsia="en-AU"/>
        </w:rPr>
        <w:t>.</w:t>
      </w:r>
    </w:p>
    <w:p w14:paraId="650A111A" w14:textId="77777777" w:rsidR="009133DF" w:rsidRPr="006E18E6" w:rsidRDefault="009133DF" w:rsidP="009133DF">
      <w:pPr>
        <w:spacing w:line="280" w:lineRule="exact"/>
        <w:rPr>
          <w:rFonts w:ascii="Arial Narrow" w:hAnsi="Arial Narrow"/>
          <w:lang w:eastAsia="en-AU"/>
        </w:rPr>
      </w:pPr>
      <w:r w:rsidRPr="006E18E6">
        <w:rPr>
          <w:rFonts w:ascii="Arial Narrow" w:hAnsi="Arial Narrow"/>
          <w:lang w:eastAsia="en-AU"/>
        </w:rPr>
        <w:lastRenderedPageBreak/>
        <w:t>ACIL Allen’s analysis of the TLA component of the program suggests that it has yet to deliver significant benefits</w:t>
      </w:r>
      <w:r w:rsidR="00CB3EC7" w:rsidRPr="006E18E6">
        <w:rPr>
          <w:rFonts w:ascii="Arial Narrow" w:hAnsi="Arial Narrow"/>
          <w:lang w:eastAsia="en-AU"/>
        </w:rPr>
        <w:t>.</w:t>
      </w:r>
      <w:r w:rsidR="00CB3EC7">
        <w:rPr>
          <w:rFonts w:ascii="Arial Narrow" w:hAnsi="Arial Narrow"/>
          <w:lang w:eastAsia="en-AU"/>
        </w:rPr>
        <w:t xml:space="preserve"> </w:t>
      </w:r>
      <w:r w:rsidRPr="006E18E6">
        <w:rPr>
          <w:rFonts w:ascii="Arial Narrow" w:hAnsi="Arial Narrow"/>
          <w:lang w:eastAsia="en-AU"/>
        </w:rPr>
        <w:t>This is in part due to the newness of the TLA, which results in a lower level of awareness about the TLA (compared with the more well-established NABERS)</w:t>
      </w:r>
      <w:r w:rsidR="00CB3EC7" w:rsidRPr="006E18E6">
        <w:rPr>
          <w:rFonts w:ascii="Arial Narrow" w:hAnsi="Arial Narrow"/>
          <w:lang w:eastAsia="en-AU"/>
        </w:rPr>
        <w:t>.</w:t>
      </w:r>
      <w:r w:rsidR="00CB3EC7">
        <w:rPr>
          <w:rFonts w:ascii="Arial Narrow" w:hAnsi="Arial Narrow"/>
          <w:lang w:eastAsia="en-AU"/>
        </w:rPr>
        <w:t xml:space="preserve"> </w:t>
      </w:r>
      <w:r w:rsidRPr="006E18E6">
        <w:rPr>
          <w:rFonts w:ascii="Arial Narrow" w:hAnsi="Arial Narrow"/>
          <w:lang w:eastAsia="en-AU"/>
        </w:rPr>
        <w:t>Consequently, a relatively small proportion of tenants have taken advantage of the information generated by TLA assessments.</w:t>
      </w:r>
    </w:p>
    <w:p w14:paraId="4E3F11E6" w14:textId="07E8E557" w:rsidR="0008364A" w:rsidRDefault="00FA66AE" w:rsidP="009133DF">
      <w:pPr>
        <w:spacing w:line="280" w:lineRule="exact"/>
        <w:rPr>
          <w:rFonts w:ascii="Arial Narrow" w:hAnsi="Arial Narrow"/>
          <w:lang w:eastAsia="en-AU"/>
        </w:rPr>
      </w:pPr>
      <w:r>
        <w:rPr>
          <w:rFonts w:ascii="Arial Narrow" w:hAnsi="Arial Narrow"/>
          <w:lang w:eastAsia="en-AU"/>
        </w:rPr>
        <w:t>ACIL Allen</w:t>
      </w:r>
      <w:r w:rsidR="0008364A">
        <w:rPr>
          <w:rFonts w:ascii="Arial Narrow" w:hAnsi="Arial Narrow"/>
          <w:lang w:eastAsia="en-AU"/>
        </w:rPr>
        <w:t xml:space="preserve"> </w:t>
      </w:r>
      <w:r>
        <w:rPr>
          <w:rFonts w:ascii="Arial Narrow" w:hAnsi="Arial Narrow"/>
          <w:lang w:eastAsia="en-AU"/>
        </w:rPr>
        <w:t xml:space="preserve">estimated the </w:t>
      </w:r>
      <w:r w:rsidR="005562ED">
        <w:rPr>
          <w:rFonts w:ascii="Arial Narrow" w:hAnsi="Arial Narrow"/>
          <w:lang w:eastAsia="en-AU"/>
        </w:rPr>
        <w:t xml:space="preserve">costs and benefits </w:t>
      </w:r>
      <w:r w:rsidR="0008364A">
        <w:rPr>
          <w:rFonts w:ascii="Arial Narrow" w:hAnsi="Arial Narrow"/>
          <w:lang w:eastAsia="en-AU"/>
        </w:rPr>
        <w:t>for retaining the TLA</w:t>
      </w:r>
      <w:r>
        <w:rPr>
          <w:rFonts w:ascii="Arial Narrow" w:hAnsi="Arial Narrow"/>
          <w:lang w:eastAsia="en-AU"/>
        </w:rPr>
        <w:t xml:space="preserve"> under two cases</w:t>
      </w:r>
      <w:r w:rsidR="00CB3EC7">
        <w:rPr>
          <w:rFonts w:ascii="Arial Narrow" w:hAnsi="Arial Narrow"/>
          <w:lang w:eastAsia="en-AU"/>
        </w:rPr>
        <w:t xml:space="preserve">. </w:t>
      </w:r>
      <w:r w:rsidR="0008364A">
        <w:rPr>
          <w:rFonts w:ascii="Arial Narrow" w:hAnsi="Arial Narrow"/>
          <w:lang w:eastAsia="en-AU"/>
        </w:rPr>
        <w:t>The first is based on retaining the TLA in its current form</w:t>
      </w:r>
      <w:r w:rsidR="00CB3EC7">
        <w:rPr>
          <w:rFonts w:ascii="Arial Narrow" w:hAnsi="Arial Narrow"/>
          <w:lang w:eastAsia="en-AU"/>
        </w:rPr>
        <w:t xml:space="preserve">. </w:t>
      </w:r>
      <w:r w:rsidR="0008364A">
        <w:rPr>
          <w:rFonts w:ascii="Arial Narrow" w:hAnsi="Arial Narrow"/>
          <w:lang w:eastAsia="en-AU"/>
        </w:rPr>
        <w:t>The second is based on extending the validity period of the TLA from one year to five years</w:t>
      </w:r>
      <w:r w:rsidR="00CB3EC7">
        <w:rPr>
          <w:rFonts w:ascii="Arial Narrow" w:hAnsi="Arial Narrow"/>
          <w:lang w:eastAsia="en-AU"/>
        </w:rPr>
        <w:t xml:space="preserve">. </w:t>
      </w:r>
      <w:r w:rsidR="004D7797">
        <w:rPr>
          <w:rFonts w:ascii="Arial Narrow" w:hAnsi="Arial Narrow"/>
          <w:lang w:eastAsia="en-AU"/>
        </w:rPr>
        <w:t xml:space="preserve">Extension of </w:t>
      </w:r>
      <w:r w:rsidR="006463E2">
        <w:rPr>
          <w:rFonts w:ascii="Arial Narrow" w:hAnsi="Arial Narrow"/>
          <w:lang w:eastAsia="en-AU"/>
        </w:rPr>
        <w:t xml:space="preserve">the </w:t>
      </w:r>
      <w:r w:rsidR="004D7797">
        <w:rPr>
          <w:rFonts w:ascii="Arial Narrow" w:hAnsi="Arial Narrow"/>
          <w:lang w:eastAsia="en-AU"/>
        </w:rPr>
        <w:t xml:space="preserve">validity period is </w:t>
      </w:r>
      <w:r w:rsidR="0008364A">
        <w:rPr>
          <w:rFonts w:ascii="Arial Narrow" w:hAnsi="Arial Narrow"/>
          <w:lang w:eastAsia="en-AU"/>
        </w:rPr>
        <w:t xml:space="preserve">recommended as it is estimated to reduce industry burden </w:t>
      </w:r>
      <w:r w:rsidR="0085648B">
        <w:rPr>
          <w:rFonts w:ascii="Arial Narrow" w:hAnsi="Arial Narrow"/>
          <w:lang w:eastAsia="en-AU"/>
        </w:rPr>
        <w:t>(by approximately $2.0 million</w:t>
      </w:r>
      <w:r w:rsidR="008A3B6C">
        <w:rPr>
          <w:rFonts w:ascii="Arial Narrow" w:hAnsi="Arial Narrow"/>
          <w:lang w:eastAsia="en-AU"/>
        </w:rPr>
        <w:t xml:space="preserve"> cumulatively</w:t>
      </w:r>
      <w:r w:rsidR="0085648B">
        <w:rPr>
          <w:rFonts w:ascii="Arial Narrow" w:hAnsi="Arial Narrow"/>
          <w:lang w:eastAsia="en-AU"/>
        </w:rPr>
        <w:t xml:space="preserve">) </w:t>
      </w:r>
      <w:r w:rsidR="0008364A">
        <w:rPr>
          <w:rFonts w:ascii="Arial Narrow" w:hAnsi="Arial Narrow"/>
          <w:lang w:eastAsia="en-AU"/>
        </w:rPr>
        <w:t xml:space="preserve">with negligible impact </w:t>
      </w:r>
      <w:r w:rsidR="006463E2">
        <w:rPr>
          <w:rFonts w:ascii="Arial Narrow" w:hAnsi="Arial Narrow"/>
          <w:lang w:eastAsia="en-AU"/>
        </w:rPr>
        <w:t xml:space="preserve">on </w:t>
      </w:r>
      <w:r w:rsidR="0008364A">
        <w:rPr>
          <w:rFonts w:ascii="Arial Narrow" w:hAnsi="Arial Narrow"/>
          <w:lang w:eastAsia="en-AU"/>
        </w:rPr>
        <w:t>the scheme’s effectiveness</w:t>
      </w:r>
      <w:r w:rsidR="00CB3EC7">
        <w:rPr>
          <w:rFonts w:ascii="Arial Narrow" w:hAnsi="Arial Narrow"/>
          <w:lang w:eastAsia="en-AU"/>
        </w:rPr>
        <w:t xml:space="preserve">. </w:t>
      </w:r>
    </w:p>
    <w:p w14:paraId="649E7D45" w14:textId="77777777" w:rsidR="009133DF" w:rsidRDefault="009133DF" w:rsidP="009133DF">
      <w:pPr>
        <w:spacing w:line="280" w:lineRule="exact"/>
        <w:rPr>
          <w:rFonts w:ascii="Arial Narrow" w:hAnsi="Arial Narrow"/>
          <w:lang w:eastAsia="en-AU"/>
        </w:rPr>
      </w:pPr>
      <w:r w:rsidRPr="006E18E6">
        <w:rPr>
          <w:rFonts w:ascii="Arial Narrow" w:hAnsi="Arial Narrow"/>
          <w:lang w:eastAsia="en-AU"/>
        </w:rPr>
        <w:t xml:space="preserve">ACIL Allen’s analysis suggests that retaining the TLA in its current form will generate a </w:t>
      </w:r>
      <w:r w:rsidR="00B2365D">
        <w:rPr>
          <w:rFonts w:ascii="Arial Narrow" w:hAnsi="Arial Narrow"/>
          <w:lang w:eastAsia="en-AU"/>
        </w:rPr>
        <w:t xml:space="preserve">net </w:t>
      </w:r>
      <w:r w:rsidR="008F2886">
        <w:rPr>
          <w:rFonts w:ascii="Arial Narrow" w:hAnsi="Arial Narrow"/>
          <w:lang w:eastAsia="en-AU"/>
        </w:rPr>
        <w:t xml:space="preserve">cumulative cost </w:t>
      </w:r>
      <w:r w:rsidRPr="006E18E6">
        <w:rPr>
          <w:rFonts w:ascii="Arial Narrow" w:hAnsi="Arial Narrow"/>
          <w:lang w:eastAsia="en-AU"/>
        </w:rPr>
        <w:t xml:space="preserve">of </w:t>
      </w:r>
      <w:r>
        <w:rPr>
          <w:rFonts w:ascii="Arial Narrow" w:hAnsi="Arial Narrow"/>
          <w:lang w:eastAsia="en-AU"/>
        </w:rPr>
        <w:t xml:space="preserve">minus </w:t>
      </w:r>
      <w:r w:rsidRPr="006E18E6">
        <w:rPr>
          <w:rFonts w:ascii="Arial Narrow" w:hAnsi="Arial Narrow"/>
          <w:lang w:eastAsia="en-AU"/>
        </w:rPr>
        <w:t>$3.9 million</w:t>
      </w:r>
      <w:r w:rsidR="008F2886">
        <w:rPr>
          <w:rStyle w:val="FootnoteReference"/>
          <w:lang w:eastAsia="en-AU"/>
        </w:rPr>
        <w:footnoteReference w:id="4"/>
      </w:r>
      <w:r w:rsidRPr="006E18E6">
        <w:rPr>
          <w:rFonts w:ascii="Arial Narrow" w:hAnsi="Arial Narrow"/>
          <w:lang w:eastAsia="en-AU"/>
        </w:rPr>
        <w:t xml:space="preserve"> excluding the value of GHG reduction, and a </w:t>
      </w:r>
      <w:r w:rsidR="00F8209E">
        <w:rPr>
          <w:rFonts w:ascii="Arial Narrow" w:hAnsi="Arial Narrow"/>
          <w:lang w:eastAsia="en-AU"/>
        </w:rPr>
        <w:t xml:space="preserve">net cumulative benefit </w:t>
      </w:r>
      <w:r w:rsidRPr="006E18E6">
        <w:rPr>
          <w:rFonts w:ascii="Arial Narrow" w:hAnsi="Arial Narrow"/>
          <w:lang w:eastAsia="en-AU"/>
        </w:rPr>
        <w:t>of $6.9 million</w:t>
      </w:r>
      <w:r w:rsidR="008F2886">
        <w:rPr>
          <w:rStyle w:val="FootnoteReference"/>
          <w:lang w:eastAsia="en-AU"/>
        </w:rPr>
        <w:footnoteReference w:id="5"/>
      </w:r>
      <w:r w:rsidRPr="006E18E6">
        <w:rPr>
          <w:rFonts w:ascii="Arial Narrow" w:hAnsi="Arial Narrow"/>
          <w:lang w:eastAsia="en-AU"/>
        </w:rPr>
        <w:t xml:space="preserve"> including the GHG benefits (at $23/tCO</w:t>
      </w:r>
      <w:r w:rsidRPr="006E18E6">
        <w:rPr>
          <w:rFonts w:ascii="Arial Narrow" w:hAnsi="Arial Narrow"/>
          <w:vertAlign w:val="subscript"/>
          <w:lang w:eastAsia="en-AU"/>
        </w:rPr>
        <w:t>2</w:t>
      </w:r>
      <w:r w:rsidRPr="00CB66DE">
        <w:rPr>
          <w:rFonts w:ascii="Arial Narrow" w:hAnsi="Arial Narrow"/>
          <w:lang w:eastAsia="en-AU"/>
        </w:rPr>
        <w:t>-e</w:t>
      </w:r>
      <w:r w:rsidRPr="006E18E6">
        <w:rPr>
          <w:rFonts w:ascii="Arial Narrow" w:hAnsi="Arial Narrow"/>
          <w:lang w:eastAsia="en-AU"/>
        </w:rPr>
        <w:t>)</w:t>
      </w:r>
      <w:r w:rsidR="00CB3EC7" w:rsidRPr="006E18E6">
        <w:rPr>
          <w:rFonts w:ascii="Arial Narrow" w:hAnsi="Arial Narrow"/>
          <w:lang w:eastAsia="en-AU"/>
        </w:rPr>
        <w:t>.</w:t>
      </w:r>
      <w:r w:rsidR="00CB3EC7">
        <w:rPr>
          <w:rFonts w:ascii="Arial Narrow" w:hAnsi="Arial Narrow"/>
          <w:lang w:eastAsia="en-AU"/>
        </w:rPr>
        <w:t xml:space="preserve"> </w:t>
      </w:r>
      <w:r w:rsidR="00FA66AE">
        <w:rPr>
          <w:rFonts w:ascii="Arial Narrow" w:hAnsi="Arial Narrow"/>
          <w:lang w:eastAsia="en-AU"/>
        </w:rPr>
        <w:t xml:space="preserve">ACIL Allen’s analysis suggests that if the validity period of the TLA is extended to five years, these NPV estimates improve to minus $1.9 million </w:t>
      </w:r>
      <w:r w:rsidR="00FA66AE" w:rsidRPr="006E18E6">
        <w:rPr>
          <w:rFonts w:ascii="Arial Narrow" w:hAnsi="Arial Narrow"/>
          <w:lang w:eastAsia="en-AU"/>
        </w:rPr>
        <w:t>excluding the value of GHG reduction</w:t>
      </w:r>
      <w:r w:rsidR="00FA66AE">
        <w:rPr>
          <w:rFonts w:ascii="Arial Narrow" w:hAnsi="Arial Narrow"/>
          <w:lang w:eastAsia="en-AU"/>
        </w:rPr>
        <w:t>, and $</w:t>
      </w:r>
      <w:r w:rsidR="002A41D7">
        <w:rPr>
          <w:rFonts w:ascii="Arial Narrow" w:hAnsi="Arial Narrow"/>
          <w:lang w:eastAsia="en-AU"/>
        </w:rPr>
        <w:t xml:space="preserve">8.9 million </w:t>
      </w:r>
      <w:r w:rsidR="002A41D7" w:rsidRPr="006E18E6">
        <w:rPr>
          <w:rFonts w:ascii="Arial Narrow" w:hAnsi="Arial Narrow"/>
          <w:lang w:eastAsia="en-AU"/>
        </w:rPr>
        <w:t>including the GHG benefits (at $23/tCO</w:t>
      </w:r>
      <w:r w:rsidR="002A41D7" w:rsidRPr="006E18E6">
        <w:rPr>
          <w:rFonts w:ascii="Arial Narrow" w:hAnsi="Arial Narrow"/>
          <w:vertAlign w:val="subscript"/>
          <w:lang w:eastAsia="en-AU"/>
        </w:rPr>
        <w:t>2</w:t>
      </w:r>
      <w:r w:rsidR="002A41D7" w:rsidRPr="00CB66DE">
        <w:rPr>
          <w:rFonts w:ascii="Arial Narrow" w:hAnsi="Arial Narrow"/>
          <w:lang w:eastAsia="en-AU"/>
        </w:rPr>
        <w:t>-e</w:t>
      </w:r>
      <w:r w:rsidR="002A41D7" w:rsidRPr="006E18E6">
        <w:rPr>
          <w:rFonts w:ascii="Arial Narrow" w:hAnsi="Arial Narrow"/>
          <w:lang w:eastAsia="en-AU"/>
        </w:rPr>
        <w:t>)</w:t>
      </w:r>
      <w:r w:rsidR="008F2886">
        <w:rPr>
          <w:rFonts w:ascii="Arial Narrow" w:hAnsi="Arial Narrow"/>
          <w:lang w:eastAsia="en-AU"/>
        </w:rPr>
        <w:t xml:space="preserve"> respectively</w:t>
      </w:r>
      <w:r w:rsidR="00CB3EC7">
        <w:rPr>
          <w:rFonts w:ascii="Arial Narrow" w:hAnsi="Arial Narrow"/>
          <w:lang w:eastAsia="en-AU"/>
        </w:rPr>
        <w:t xml:space="preserve">. </w:t>
      </w:r>
      <w:r w:rsidRPr="006E18E6">
        <w:rPr>
          <w:rFonts w:ascii="Arial Narrow" w:hAnsi="Arial Narrow"/>
          <w:lang w:eastAsia="en-AU"/>
        </w:rPr>
        <w:t>The net benefits of retaining the TLA are likely to be significantly higher if measures that accelerate awareness and understanding of the TLA by tenants are adopted.</w:t>
      </w:r>
    </w:p>
    <w:p w14:paraId="2F389C4E" w14:textId="03DD7A03" w:rsidR="006B7154" w:rsidRPr="006E18E6" w:rsidRDefault="006B7154" w:rsidP="009133DF">
      <w:pPr>
        <w:spacing w:line="280" w:lineRule="exact"/>
        <w:rPr>
          <w:rFonts w:ascii="Arial Narrow" w:hAnsi="Arial Narrow"/>
          <w:lang w:eastAsia="en-AU"/>
        </w:rPr>
      </w:pPr>
      <w:r>
        <w:rPr>
          <w:rFonts w:ascii="Arial Narrow" w:hAnsi="Arial Narrow"/>
          <w:lang w:eastAsia="en-AU"/>
        </w:rPr>
        <w:t xml:space="preserve">Through both the NABERS and TLA components, continuing the program is projected to reduce </w:t>
      </w:r>
      <w:r w:rsidR="00E952B8">
        <w:rPr>
          <w:rFonts w:ascii="Arial Narrow" w:hAnsi="Arial Narrow"/>
          <w:lang w:eastAsia="en-AU"/>
        </w:rPr>
        <w:t xml:space="preserve">end use </w:t>
      </w:r>
      <w:r>
        <w:rPr>
          <w:rFonts w:ascii="Arial Narrow" w:hAnsi="Arial Narrow"/>
          <w:lang w:eastAsia="en-AU"/>
        </w:rPr>
        <w:t xml:space="preserve">energy consumption by 14,565 TJ and </w:t>
      </w:r>
      <w:r w:rsidR="00B961A7">
        <w:rPr>
          <w:rFonts w:ascii="Arial Narrow" w:hAnsi="Arial Narrow"/>
          <w:lang w:eastAsia="en-AU"/>
        </w:rPr>
        <w:t xml:space="preserve">GHG emissions </w:t>
      </w:r>
      <w:r w:rsidR="008A3B6C">
        <w:rPr>
          <w:rFonts w:ascii="Arial Narrow" w:hAnsi="Arial Narrow"/>
          <w:lang w:eastAsia="en-AU"/>
        </w:rPr>
        <w:t xml:space="preserve">by </w:t>
      </w:r>
      <w:r>
        <w:rPr>
          <w:rFonts w:ascii="Arial Narrow" w:hAnsi="Arial Narrow"/>
          <w:lang w:eastAsia="en-AU"/>
        </w:rPr>
        <w:t xml:space="preserve">3,116 </w:t>
      </w:r>
      <w:r w:rsidR="00EE2613">
        <w:rPr>
          <w:rFonts w:ascii="Arial Narrow" w:hAnsi="Arial Narrow"/>
          <w:lang w:eastAsia="en-AU"/>
        </w:rPr>
        <w:t>k</w:t>
      </w:r>
      <w:r w:rsidRPr="006E18E6">
        <w:rPr>
          <w:rFonts w:ascii="Arial Narrow" w:hAnsi="Arial Narrow"/>
          <w:lang w:eastAsia="en-AU"/>
        </w:rPr>
        <w:t>tCO</w:t>
      </w:r>
      <w:r w:rsidRPr="006E18E6">
        <w:rPr>
          <w:rFonts w:ascii="Arial Narrow" w:hAnsi="Arial Narrow"/>
          <w:vertAlign w:val="subscript"/>
          <w:lang w:eastAsia="en-AU"/>
        </w:rPr>
        <w:t>2</w:t>
      </w:r>
      <w:r w:rsidRPr="00CB66DE">
        <w:rPr>
          <w:rFonts w:ascii="Arial Narrow" w:hAnsi="Arial Narrow"/>
          <w:lang w:eastAsia="en-AU"/>
        </w:rPr>
        <w:t>-e</w:t>
      </w:r>
      <w:r w:rsidR="00B961A7">
        <w:rPr>
          <w:rFonts w:ascii="Arial Narrow" w:hAnsi="Arial Narrow"/>
          <w:lang w:eastAsia="en-AU"/>
        </w:rPr>
        <w:t xml:space="preserve"> </w:t>
      </w:r>
      <w:r w:rsidR="0098197C" w:rsidRPr="0098197C">
        <w:rPr>
          <w:rFonts w:ascii="Arial Narrow" w:hAnsi="Arial Narrow"/>
          <w:lang w:eastAsia="en-AU"/>
        </w:rPr>
        <w:t>(equivalent to installing about 50,000 rooftop solar panels</w:t>
      </w:r>
      <w:r w:rsidR="008000C7">
        <w:rPr>
          <w:rFonts w:ascii="Arial Narrow" w:hAnsi="Arial Narrow"/>
          <w:lang w:eastAsia="en-AU"/>
        </w:rPr>
        <w:t xml:space="preserve"> at an indicative cost of $350 million</w:t>
      </w:r>
      <w:r w:rsidR="008000C7">
        <w:rPr>
          <w:rStyle w:val="FootnoteReference"/>
          <w:lang w:eastAsia="en-AU"/>
        </w:rPr>
        <w:footnoteReference w:id="6"/>
      </w:r>
      <w:r w:rsidR="0098197C" w:rsidRPr="0098197C">
        <w:rPr>
          <w:rFonts w:ascii="Arial Narrow" w:hAnsi="Arial Narrow"/>
          <w:lang w:eastAsia="en-AU"/>
        </w:rPr>
        <w:t>)</w:t>
      </w:r>
      <w:r w:rsidR="0098197C">
        <w:rPr>
          <w:rFonts w:ascii="Arial Narrow" w:hAnsi="Arial Narrow"/>
          <w:lang w:eastAsia="en-AU"/>
        </w:rPr>
        <w:t xml:space="preserve"> </w:t>
      </w:r>
      <w:r w:rsidR="00B961A7">
        <w:rPr>
          <w:rFonts w:ascii="Arial Narrow" w:hAnsi="Arial Narrow"/>
          <w:lang w:eastAsia="en-AU"/>
        </w:rPr>
        <w:t>over the period 2015 to 2028</w:t>
      </w:r>
      <w:r w:rsidR="00CB3EC7">
        <w:rPr>
          <w:rFonts w:ascii="Arial Narrow" w:hAnsi="Arial Narrow"/>
          <w:lang w:eastAsia="en-AU"/>
        </w:rPr>
        <w:t xml:space="preserve">. </w:t>
      </w:r>
    </w:p>
    <w:p w14:paraId="29D126D1" w14:textId="77777777" w:rsidR="009133DF" w:rsidRPr="00F228C1" w:rsidRDefault="009133DF" w:rsidP="009133DF">
      <w:pPr>
        <w:pStyle w:val="ListParagraph"/>
        <w:numPr>
          <w:ilvl w:val="0"/>
          <w:numId w:val="37"/>
        </w:numPr>
        <w:spacing w:line="280" w:lineRule="exact"/>
        <w:rPr>
          <w:rFonts w:ascii="Arial Narrow" w:hAnsi="Arial Narrow"/>
          <w:b/>
          <w:lang w:eastAsia="en-AU"/>
        </w:rPr>
      </w:pPr>
      <w:r>
        <w:rPr>
          <w:rFonts w:ascii="Arial Narrow" w:hAnsi="Arial Narrow"/>
          <w:b/>
          <w:lang w:eastAsia="en-AU"/>
        </w:rPr>
        <w:t xml:space="preserve">CBD </w:t>
      </w:r>
      <w:r w:rsidRPr="00F228C1">
        <w:rPr>
          <w:rFonts w:ascii="Arial Narrow" w:hAnsi="Arial Narrow"/>
          <w:b/>
          <w:lang w:eastAsia="en-AU"/>
        </w:rPr>
        <w:t xml:space="preserve">remains the principal Commonwealth Government program </w:t>
      </w:r>
      <w:r>
        <w:rPr>
          <w:rFonts w:ascii="Arial Narrow" w:hAnsi="Arial Narrow"/>
          <w:b/>
          <w:lang w:eastAsia="en-AU"/>
        </w:rPr>
        <w:t>for</w:t>
      </w:r>
      <w:r w:rsidRPr="00F228C1">
        <w:rPr>
          <w:rFonts w:ascii="Arial Narrow" w:hAnsi="Arial Narrow"/>
          <w:b/>
          <w:lang w:eastAsia="en-AU"/>
        </w:rPr>
        <w:t xml:space="preserve"> driv</w:t>
      </w:r>
      <w:r>
        <w:rPr>
          <w:rFonts w:ascii="Arial Narrow" w:hAnsi="Arial Narrow"/>
          <w:b/>
          <w:lang w:eastAsia="en-AU"/>
        </w:rPr>
        <w:t>ing</w:t>
      </w:r>
      <w:r w:rsidRPr="00F228C1">
        <w:rPr>
          <w:rFonts w:ascii="Arial Narrow" w:hAnsi="Arial Narrow"/>
          <w:b/>
          <w:lang w:eastAsia="en-AU"/>
        </w:rPr>
        <w:t xml:space="preserve"> energy efficiency improvements in the office sector.</w:t>
      </w:r>
    </w:p>
    <w:p w14:paraId="57CAE888" w14:textId="0CB2FA00" w:rsidR="00D33D48" w:rsidRDefault="00D33D48" w:rsidP="009133DF">
      <w:pPr>
        <w:spacing w:line="280" w:lineRule="exact"/>
        <w:rPr>
          <w:rFonts w:ascii="Arial Narrow" w:hAnsi="Arial Narrow"/>
          <w:lang w:eastAsia="en-AU"/>
        </w:rPr>
      </w:pPr>
      <w:r w:rsidRPr="00D33D48">
        <w:rPr>
          <w:rFonts w:ascii="Arial Narrow" w:hAnsi="Arial Narrow"/>
          <w:lang w:eastAsia="en-AU"/>
        </w:rPr>
        <w:t>The CBD program is expected to be complementary to the ERF rather than duplicative</w:t>
      </w:r>
      <w:r w:rsidR="00CB3EC7" w:rsidRPr="00D33D48">
        <w:rPr>
          <w:rFonts w:ascii="Arial Narrow" w:hAnsi="Arial Narrow"/>
          <w:lang w:eastAsia="en-AU"/>
        </w:rPr>
        <w:t>.</w:t>
      </w:r>
      <w:r w:rsidR="00CB3EC7">
        <w:rPr>
          <w:rFonts w:ascii="Arial Narrow" w:hAnsi="Arial Narrow"/>
          <w:lang w:eastAsia="en-AU"/>
        </w:rPr>
        <w:t xml:space="preserve"> </w:t>
      </w:r>
      <w:r w:rsidRPr="00D33D48">
        <w:rPr>
          <w:rFonts w:ascii="Arial Narrow" w:hAnsi="Arial Narrow"/>
          <w:lang w:eastAsia="en-AU"/>
        </w:rPr>
        <w:t>This is mainly because the purpose of ERF is to provide funding for emission reduction projects, whereas the focus of the CBD is to provide information to potential tenants and buyers</w:t>
      </w:r>
      <w:r w:rsidR="00CB3EC7" w:rsidRPr="00D33D48">
        <w:rPr>
          <w:rFonts w:ascii="Arial Narrow" w:hAnsi="Arial Narrow"/>
          <w:lang w:eastAsia="en-AU"/>
        </w:rPr>
        <w:t>.</w:t>
      </w:r>
      <w:r w:rsidR="00CB3EC7">
        <w:rPr>
          <w:rFonts w:ascii="Arial Narrow" w:hAnsi="Arial Narrow"/>
          <w:lang w:eastAsia="en-AU"/>
        </w:rPr>
        <w:t xml:space="preserve"> </w:t>
      </w:r>
    </w:p>
    <w:p w14:paraId="1E47839F" w14:textId="77777777" w:rsidR="009133DF" w:rsidRPr="006E18E6" w:rsidRDefault="009133DF" w:rsidP="009133DF">
      <w:pPr>
        <w:spacing w:line="280" w:lineRule="exact"/>
        <w:rPr>
          <w:rFonts w:ascii="Arial Narrow" w:hAnsi="Arial Narrow"/>
          <w:lang w:eastAsia="en-AU"/>
        </w:rPr>
      </w:pPr>
      <w:r>
        <w:rPr>
          <w:rFonts w:ascii="Arial Narrow" w:hAnsi="Arial Narrow"/>
        </w:rPr>
        <w:t>As such, CBD remains a low-cost, high-value program that drives significant energy efficiency improvements within the commercial office sector</w:t>
      </w:r>
      <w:r w:rsidR="00CB3EC7">
        <w:rPr>
          <w:rFonts w:ascii="Arial Narrow" w:hAnsi="Arial Narrow"/>
        </w:rPr>
        <w:t xml:space="preserve">. </w:t>
      </w:r>
      <w:r w:rsidR="008C439B">
        <w:rPr>
          <w:rFonts w:ascii="Arial Narrow" w:hAnsi="Arial Narrow"/>
        </w:rPr>
        <w:t>T</w:t>
      </w:r>
      <w:r w:rsidR="008C439B" w:rsidRPr="008C439B">
        <w:rPr>
          <w:rFonts w:ascii="Arial Narrow" w:hAnsi="Arial Narrow"/>
        </w:rPr>
        <w:t>he CBD is a light</w:t>
      </w:r>
      <w:r w:rsidR="00041EFD">
        <w:rPr>
          <w:rFonts w:ascii="Arial Narrow" w:hAnsi="Arial Narrow"/>
        </w:rPr>
        <w:t>-</w:t>
      </w:r>
      <w:r w:rsidR="008C439B" w:rsidRPr="008C439B">
        <w:rPr>
          <w:rFonts w:ascii="Arial Narrow" w:hAnsi="Arial Narrow"/>
        </w:rPr>
        <w:t>handed form of regulation</w:t>
      </w:r>
      <w:r w:rsidR="008C439B">
        <w:rPr>
          <w:rFonts w:ascii="Arial Narrow" w:hAnsi="Arial Narrow"/>
        </w:rPr>
        <w:t>, which supports the market to value energy efficiency through greater information</w:t>
      </w:r>
      <w:r w:rsidR="00CB3EC7">
        <w:rPr>
          <w:rFonts w:ascii="Arial Narrow" w:hAnsi="Arial Narrow"/>
        </w:rPr>
        <w:t xml:space="preserve">. </w:t>
      </w:r>
      <w:r w:rsidR="008C439B">
        <w:rPr>
          <w:rFonts w:ascii="Arial Narrow" w:hAnsi="Arial Narrow"/>
        </w:rPr>
        <w:t>This contrasts with heavy</w:t>
      </w:r>
      <w:r w:rsidR="00041EFD">
        <w:rPr>
          <w:rFonts w:ascii="Arial Narrow" w:hAnsi="Arial Narrow"/>
        </w:rPr>
        <w:t>-</w:t>
      </w:r>
      <w:r w:rsidR="008C439B">
        <w:rPr>
          <w:rFonts w:ascii="Arial Narrow" w:hAnsi="Arial Narrow"/>
        </w:rPr>
        <w:t>handed regulation or non-regulatory approaches, both of which are not supported by industry.</w:t>
      </w:r>
    </w:p>
    <w:p w14:paraId="389138EA" w14:textId="77777777" w:rsidR="009133DF" w:rsidRPr="00AA08C7" w:rsidRDefault="009133DF" w:rsidP="009133DF">
      <w:pPr>
        <w:pStyle w:val="ListParagraph"/>
        <w:numPr>
          <w:ilvl w:val="0"/>
          <w:numId w:val="37"/>
        </w:numPr>
        <w:spacing w:line="280" w:lineRule="exact"/>
        <w:rPr>
          <w:rFonts w:ascii="Arial Narrow" w:hAnsi="Arial Narrow"/>
          <w:b/>
          <w:lang w:eastAsia="en-AU"/>
        </w:rPr>
      </w:pPr>
      <w:r>
        <w:rPr>
          <w:rFonts w:ascii="Arial Narrow" w:hAnsi="Arial Narrow"/>
          <w:b/>
          <w:lang w:eastAsia="en-AU"/>
        </w:rPr>
        <w:t>There are several viable o</w:t>
      </w:r>
      <w:r w:rsidRPr="00AA08C7">
        <w:rPr>
          <w:rFonts w:ascii="Arial Narrow" w:hAnsi="Arial Narrow"/>
          <w:b/>
          <w:lang w:eastAsia="en-AU"/>
        </w:rPr>
        <w:t xml:space="preserve">ptions for </w:t>
      </w:r>
      <w:r>
        <w:rPr>
          <w:rFonts w:ascii="Arial Narrow" w:hAnsi="Arial Narrow"/>
          <w:b/>
          <w:lang w:eastAsia="en-AU"/>
        </w:rPr>
        <w:t xml:space="preserve">the </w:t>
      </w:r>
      <w:r w:rsidRPr="00AA08C7">
        <w:rPr>
          <w:rFonts w:ascii="Arial Narrow" w:hAnsi="Arial Narrow"/>
          <w:b/>
          <w:lang w:eastAsia="en-AU"/>
        </w:rPr>
        <w:t xml:space="preserve">future funding </w:t>
      </w:r>
      <w:r>
        <w:rPr>
          <w:rFonts w:ascii="Arial Narrow" w:hAnsi="Arial Narrow"/>
          <w:b/>
          <w:lang w:eastAsia="en-AU"/>
        </w:rPr>
        <w:t>of</w:t>
      </w:r>
      <w:r w:rsidRPr="00AA08C7">
        <w:rPr>
          <w:rFonts w:ascii="Arial Narrow" w:hAnsi="Arial Narrow"/>
          <w:b/>
          <w:lang w:eastAsia="en-AU"/>
        </w:rPr>
        <w:t xml:space="preserve"> the CBD program</w:t>
      </w:r>
      <w:r>
        <w:rPr>
          <w:rFonts w:ascii="Arial Narrow" w:hAnsi="Arial Narrow"/>
          <w:b/>
          <w:lang w:eastAsia="en-AU"/>
        </w:rPr>
        <w:t>.</w:t>
      </w:r>
    </w:p>
    <w:p w14:paraId="36412DCB" w14:textId="492D78BD" w:rsidR="009133DF" w:rsidRPr="006E18E6" w:rsidRDefault="009133DF" w:rsidP="009133DF">
      <w:pPr>
        <w:spacing w:line="280" w:lineRule="exact"/>
        <w:rPr>
          <w:rFonts w:ascii="Arial Narrow" w:hAnsi="Arial Narrow"/>
          <w:lang w:eastAsia="en-AU"/>
        </w:rPr>
      </w:pPr>
      <w:r>
        <w:rPr>
          <w:rFonts w:ascii="Arial Narrow" w:hAnsi="Arial Narrow"/>
          <w:lang w:eastAsia="en-AU"/>
        </w:rPr>
        <w:t>There are a number of options for how the costs of running the CBD program might be recovered</w:t>
      </w:r>
      <w:r w:rsidR="00CB3EC7">
        <w:rPr>
          <w:rFonts w:ascii="Arial Narrow" w:hAnsi="Arial Narrow"/>
          <w:lang w:eastAsia="en-AU"/>
        </w:rPr>
        <w:t xml:space="preserve">. </w:t>
      </w:r>
      <w:r>
        <w:rPr>
          <w:rFonts w:ascii="Arial Narrow" w:hAnsi="Arial Narrow"/>
          <w:lang w:eastAsia="en-AU"/>
        </w:rPr>
        <w:t>Each option has its own advantages and disadvantages</w:t>
      </w:r>
      <w:r w:rsidR="00CB3EC7">
        <w:rPr>
          <w:rFonts w:ascii="Arial Narrow" w:hAnsi="Arial Narrow"/>
          <w:lang w:eastAsia="en-AU"/>
        </w:rPr>
        <w:t xml:space="preserve">. </w:t>
      </w:r>
      <w:r w:rsidRPr="006E18E6">
        <w:rPr>
          <w:rFonts w:ascii="Arial Narrow" w:hAnsi="Arial Narrow"/>
          <w:lang w:eastAsia="en-AU"/>
        </w:rPr>
        <w:t xml:space="preserve">A two-tier BEEC pricing scheme is likely to be perceived as fairer than </w:t>
      </w:r>
      <w:r w:rsidR="001E2256">
        <w:rPr>
          <w:rFonts w:ascii="Arial Narrow" w:hAnsi="Arial Narrow"/>
          <w:lang w:eastAsia="en-AU"/>
        </w:rPr>
        <w:t>a</w:t>
      </w:r>
      <w:r w:rsidRPr="006E18E6">
        <w:rPr>
          <w:rFonts w:ascii="Arial Narrow" w:hAnsi="Arial Narrow"/>
          <w:lang w:eastAsia="en-AU"/>
        </w:rPr>
        <w:t xml:space="preserve"> single flat fee</w:t>
      </w:r>
      <w:r w:rsidR="00CB3EC7" w:rsidRPr="006E18E6">
        <w:rPr>
          <w:rFonts w:ascii="Arial Narrow" w:hAnsi="Arial Narrow"/>
          <w:lang w:eastAsia="en-AU"/>
        </w:rPr>
        <w:t>.</w:t>
      </w:r>
      <w:r w:rsidR="00CB3EC7">
        <w:rPr>
          <w:rFonts w:ascii="Arial Narrow" w:hAnsi="Arial Narrow"/>
          <w:lang w:eastAsia="en-AU"/>
        </w:rPr>
        <w:t xml:space="preserve"> </w:t>
      </w:r>
      <w:r w:rsidRPr="006E18E6">
        <w:rPr>
          <w:rFonts w:ascii="Arial Narrow" w:hAnsi="Arial Narrow"/>
          <w:lang w:eastAsia="en-AU"/>
        </w:rPr>
        <w:t>However, it is less transparent and would be more complex to administer</w:t>
      </w:r>
      <w:r w:rsidR="00CB3EC7" w:rsidRPr="006E18E6">
        <w:rPr>
          <w:rFonts w:ascii="Arial Narrow" w:hAnsi="Arial Narrow"/>
          <w:lang w:eastAsia="en-AU"/>
        </w:rPr>
        <w:t>.</w:t>
      </w:r>
      <w:r w:rsidR="00CB3EC7">
        <w:rPr>
          <w:rFonts w:ascii="Arial Narrow" w:hAnsi="Arial Narrow"/>
          <w:lang w:eastAsia="en-AU"/>
        </w:rPr>
        <w:t xml:space="preserve"> </w:t>
      </w:r>
      <w:r w:rsidR="009A2BD9">
        <w:rPr>
          <w:rFonts w:ascii="Arial Narrow" w:hAnsi="Arial Narrow"/>
          <w:lang w:eastAsia="en-AU"/>
        </w:rPr>
        <w:t>Conversely, a</w:t>
      </w:r>
      <w:r w:rsidRPr="006E18E6">
        <w:rPr>
          <w:rFonts w:ascii="Arial Narrow" w:hAnsi="Arial Narrow"/>
          <w:lang w:eastAsia="en-AU"/>
        </w:rPr>
        <w:t xml:space="preserve"> single flat fee is more transparent and is likely to result in a more </w:t>
      </w:r>
      <w:r w:rsidRPr="006E18E6">
        <w:rPr>
          <w:rFonts w:ascii="Arial Narrow" w:hAnsi="Arial Narrow"/>
          <w:lang w:eastAsia="en-AU"/>
        </w:rPr>
        <w:lastRenderedPageBreak/>
        <w:t>predictable revenue stream</w:t>
      </w:r>
      <w:r w:rsidR="00CB3EC7" w:rsidRPr="006E18E6">
        <w:rPr>
          <w:rFonts w:ascii="Arial Narrow" w:hAnsi="Arial Narrow"/>
          <w:lang w:eastAsia="en-AU"/>
        </w:rPr>
        <w:t>.</w:t>
      </w:r>
      <w:r w:rsidR="00CB3EC7">
        <w:rPr>
          <w:rFonts w:ascii="Arial Narrow" w:hAnsi="Arial Narrow"/>
          <w:lang w:eastAsia="en-AU"/>
        </w:rPr>
        <w:t xml:space="preserve"> </w:t>
      </w:r>
      <w:r w:rsidRPr="006E18E6">
        <w:rPr>
          <w:rFonts w:ascii="Arial Narrow" w:hAnsi="Arial Narrow"/>
          <w:lang w:eastAsia="en-AU"/>
        </w:rPr>
        <w:t xml:space="preserve">Maintaining the </w:t>
      </w:r>
      <w:r w:rsidR="001E2256">
        <w:rPr>
          <w:rFonts w:ascii="Arial Narrow" w:hAnsi="Arial Narrow"/>
          <w:lang w:eastAsia="en-AU"/>
        </w:rPr>
        <w:t xml:space="preserve">no fee </w:t>
      </w:r>
      <w:r w:rsidRPr="006E18E6">
        <w:rPr>
          <w:rFonts w:ascii="Arial Narrow" w:hAnsi="Arial Narrow"/>
          <w:lang w:eastAsia="en-AU"/>
        </w:rPr>
        <w:t>status quo is extremely simple and transparent</w:t>
      </w:r>
      <w:r w:rsidR="00041EFD">
        <w:rPr>
          <w:rFonts w:ascii="Arial Narrow" w:hAnsi="Arial Narrow"/>
          <w:lang w:eastAsia="en-AU"/>
        </w:rPr>
        <w:t>,</w:t>
      </w:r>
      <w:r w:rsidRPr="006E18E6">
        <w:rPr>
          <w:rFonts w:ascii="Arial Narrow" w:hAnsi="Arial Narrow"/>
          <w:lang w:eastAsia="en-AU"/>
        </w:rPr>
        <w:t xml:space="preserve"> but it may not be financially sustainable over the longer term.</w:t>
      </w:r>
    </w:p>
    <w:p w14:paraId="7D8694D7" w14:textId="707DC0FA" w:rsidR="009133DF" w:rsidRDefault="009133DF" w:rsidP="009133DF">
      <w:pPr>
        <w:spacing w:line="280" w:lineRule="exact"/>
        <w:rPr>
          <w:rFonts w:ascii="Arial Narrow" w:hAnsi="Arial Narrow"/>
          <w:lang w:eastAsia="en-AU"/>
        </w:rPr>
      </w:pPr>
      <w:r>
        <w:rPr>
          <w:rFonts w:ascii="Arial Narrow" w:hAnsi="Arial Narrow"/>
          <w:lang w:eastAsia="en-AU"/>
        </w:rPr>
        <w:t xml:space="preserve">The choice of </w:t>
      </w:r>
      <w:r w:rsidR="004F210D">
        <w:rPr>
          <w:rFonts w:ascii="Arial Narrow" w:hAnsi="Arial Narrow"/>
          <w:lang w:eastAsia="en-AU"/>
        </w:rPr>
        <w:t xml:space="preserve">which </w:t>
      </w:r>
      <w:r>
        <w:rPr>
          <w:rFonts w:ascii="Arial Narrow" w:hAnsi="Arial Narrow"/>
          <w:lang w:eastAsia="en-AU"/>
        </w:rPr>
        <w:t>option to adopt is a question of striking the appropriate balance between the disadvantages and advantages of the various options</w:t>
      </w:r>
      <w:r w:rsidR="004F210D">
        <w:rPr>
          <w:rFonts w:ascii="Arial Narrow" w:hAnsi="Arial Narrow"/>
          <w:lang w:eastAsia="en-AU"/>
        </w:rPr>
        <w:t>,</w:t>
      </w:r>
      <w:r>
        <w:rPr>
          <w:rFonts w:ascii="Arial Narrow" w:hAnsi="Arial Narrow"/>
          <w:lang w:eastAsia="en-AU"/>
        </w:rPr>
        <w:t xml:space="preserve"> and the government’s deregulation agenda</w:t>
      </w:r>
      <w:r w:rsidR="00CB3EC7">
        <w:rPr>
          <w:rFonts w:ascii="Arial Narrow" w:hAnsi="Arial Narrow"/>
          <w:lang w:eastAsia="en-AU"/>
        </w:rPr>
        <w:t xml:space="preserve">. </w:t>
      </w:r>
      <w:r w:rsidRPr="006E18E6">
        <w:rPr>
          <w:rFonts w:ascii="Arial Narrow" w:hAnsi="Arial Narrow"/>
          <w:lang w:eastAsia="en-AU"/>
        </w:rPr>
        <w:t xml:space="preserve">ACIL Allen </w:t>
      </w:r>
      <w:r>
        <w:rPr>
          <w:rFonts w:ascii="Arial Narrow" w:hAnsi="Arial Narrow"/>
          <w:lang w:eastAsia="en-AU"/>
        </w:rPr>
        <w:t xml:space="preserve">therefore </w:t>
      </w:r>
      <w:r w:rsidRPr="006E18E6">
        <w:rPr>
          <w:rFonts w:ascii="Arial Narrow" w:hAnsi="Arial Narrow"/>
          <w:lang w:eastAsia="en-AU"/>
        </w:rPr>
        <w:t>does not have a recommendation on the recovery of the costs incurred by the Department in administering the CBD program</w:t>
      </w:r>
      <w:r>
        <w:rPr>
          <w:rFonts w:ascii="Arial Narrow" w:hAnsi="Arial Narrow"/>
          <w:lang w:eastAsia="en-AU"/>
        </w:rPr>
        <w:t>, or indeed if there even should be any effort to recover costs.</w:t>
      </w:r>
    </w:p>
    <w:p w14:paraId="2F0902FA" w14:textId="77777777" w:rsidR="009B30B8" w:rsidRDefault="009B30B8" w:rsidP="009B30B8">
      <w:pPr>
        <w:pStyle w:val="ListParagraph"/>
        <w:numPr>
          <w:ilvl w:val="0"/>
          <w:numId w:val="37"/>
        </w:numPr>
        <w:spacing w:line="280" w:lineRule="exact"/>
        <w:rPr>
          <w:rFonts w:ascii="Arial Narrow" w:hAnsi="Arial Narrow"/>
          <w:b/>
          <w:lang w:eastAsia="en-AU"/>
        </w:rPr>
      </w:pPr>
      <w:r>
        <w:rPr>
          <w:rFonts w:ascii="Arial Narrow" w:hAnsi="Arial Narrow"/>
          <w:b/>
          <w:lang w:eastAsia="en-AU"/>
        </w:rPr>
        <w:t xml:space="preserve">Future evaluations of energy efficiency programs would benefit from </w:t>
      </w:r>
      <w:r w:rsidR="00A54C36">
        <w:rPr>
          <w:rFonts w:ascii="Arial Narrow" w:hAnsi="Arial Narrow"/>
          <w:b/>
          <w:lang w:eastAsia="en-AU"/>
        </w:rPr>
        <w:t xml:space="preserve">improved </w:t>
      </w:r>
      <w:r>
        <w:rPr>
          <w:rFonts w:ascii="Arial Narrow" w:hAnsi="Arial Narrow"/>
          <w:b/>
          <w:lang w:eastAsia="en-AU"/>
        </w:rPr>
        <w:t>data relating to pay</w:t>
      </w:r>
      <w:r w:rsidR="008709E9">
        <w:rPr>
          <w:rFonts w:ascii="Arial Narrow" w:hAnsi="Arial Narrow"/>
          <w:b/>
          <w:lang w:eastAsia="en-AU"/>
        </w:rPr>
        <w:t>-</w:t>
      </w:r>
      <w:r>
        <w:rPr>
          <w:rFonts w:ascii="Arial Narrow" w:hAnsi="Arial Narrow"/>
          <w:b/>
          <w:lang w:eastAsia="en-AU"/>
        </w:rPr>
        <w:t xml:space="preserve">offs of energy efficiency upgrades and </w:t>
      </w:r>
      <w:r w:rsidR="00922972">
        <w:rPr>
          <w:rFonts w:ascii="Arial Narrow" w:hAnsi="Arial Narrow"/>
          <w:b/>
          <w:lang w:eastAsia="en-AU"/>
        </w:rPr>
        <w:t>workforce</w:t>
      </w:r>
      <w:r>
        <w:rPr>
          <w:rFonts w:ascii="Arial Narrow" w:hAnsi="Arial Narrow"/>
          <w:b/>
          <w:lang w:eastAsia="en-AU"/>
        </w:rPr>
        <w:t xml:space="preserve"> productivity</w:t>
      </w:r>
      <w:r w:rsidR="00922972">
        <w:rPr>
          <w:rFonts w:ascii="Arial Narrow" w:hAnsi="Arial Narrow"/>
          <w:b/>
          <w:lang w:eastAsia="en-AU"/>
        </w:rPr>
        <w:t xml:space="preserve"> improvements</w:t>
      </w:r>
      <w:r>
        <w:rPr>
          <w:rFonts w:ascii="Arial Narrow" w:hAnsi="Arial Narrow"/>
          <w:b/>
          <w:lang w:eastAsia="en-AU"/>
        </w:rPr>
        <w:t>.</w:t>
      </w:r>
    </w:p>
    <w:p w14:paraId="07C408DD" w14:textId="77777777" w:rsidR="009B30B8" w:rsidRDefault="009B30B8" w:rsidP="009B30B8">
      <w:pPr>
        <w:spacing w:line="280" w:lineRule="exact"/>
        <w:rPr>
          <w:rFonts w:ascii="Arial Narrow" w:hAnsi="Arial Narrow"/>
          <w:lang w:eastAsia="en-AU"/>
        </w:rPr>
      </w:pPr>
      <w:r>
        <w:rPr>
          <w:rFonts w:ascii="Arial Narrow" w:hAnsi="Arial Narrow"/>
          <w:lang w:eastAsia="en-AU"/>
        </w:rPr>
        <w:t xml:space="preserve">Key data gaps encountered by ACIL Allen included the </w:t>
      </w:r>
      <w:r w:rsidR="00B379DF">
        <w:rPr>
          <w:rFonts w:ascii="Arial Narrow" w:hAnsi="Arial Narrow"/>
          <w:lang w:eastAsia="en-AU"/>
        </w:rPr>
        <w:t>pay-off</w:t>
      </w:r>
      <w:r>
        <w:rPr>
          <w:rFonts w:ascii="Arial Narrow" w:hAnsi="Arial Narrow"/>
          <w:lang w:eastAsia="en-AU"/>
        </w:rPr>
        <w:t xml:space="preserve"> from energy efficiency upgrades and </w:t>
      </w:r>
      <w:r w:rsidR="00922972">
        <w:rPr>
          <w:rFonts w:ascii="Arial Narrow" w:hAnsi="Arial Narrow"/>
          <w:lang w:eastAsia="en-AU"/>
        </w:rPr>
        <w:t>the valuation of</w:t>
      </w:r>
      <w:r>
        <w:rPr>
          <w:rFonts w:ascii="Arial Narrow" w:hAnsi="Arial Narrow"/>
          <w:lang w:eastAsia="en-AU"/>
        </w:rPr>
        <w:t xml:space="preserve"> improved </w:t>
      </w:r>
      <w:r w:rsidR="00922972">
        <w:rPr>
          <w:rFonts w:ascii="Arial Narrow" w:hAnsi="Arial Narrow"/>
          <w:lang w:eastAsia="en-AU"/>
        </w:rPr>
        <w:t xml:space="preserve">workforce </w:t>
      </w:r>
      <w:r>
        <w:rPr>
          <w:rFonts w:ascii="Arial Narrow" w:hAnsi="Arial Narrow"/>
          <w:lang w:eastAsia="en-AU"/>
        </w:rPr>
        <w:t>productivity</w:t>
      </w:r>
      <w:r w:rsidR="003F1BDF">
        <w:rPr>
          <w:rFonts w:ascii="Arial Narrow" w:hAnsi="Arial Narrow"/>
          <w:lang w:eastAsia="en-AU"/>
        </w:rPr>
        <w:t xml:space="preserve"> in more energy efficient buildings</w:t>
      </w:r>
      <w:r>
        <w:rPr>
          <w:rFonts w:ascii="Arial Narrow" w:hAnsi="Arial Narrow"/>
          <w:lang w:eastAsia="en-AU"/>
        </w:rPr>
        <w:t>.</w:t>
      </w:r>
    </w:p>
    <w:p w14:paraId="0694CA2D" w14:textId="77777777" w:rsidR="009B30B8" w:rsidRDefault="009B30B8" w:rsidP="009B30B8">
      <w:pPr>
        <w:spacing w:line="280" w:lineRule="exact"/>
        <w:rPr>
          <w:rFonts w:ascii="Arial Narrow" w:hAnsi="Arial Narrow"/>
          <w:lang w:eastAsia="en-AU"/>
        </w:rPr>
      </w:pPr>
      <w:r>
        <w:rPr>
          <w:rFonts w:ascii="Arial Narrow" w:hAnsi="Arial Narrow"/>
          <w:lang w:eastAsia="en-AU"/>
        </w:rPr>
        <w:t>Pay</w:t>
      </w:r>
      <w:r w:rsidR="008709E9">
        <w:rPr>
          <w:rFonts w:ascii="Arial Narrow" w:hAnsi="Arial Narrow"/>
          <w:lang w:eastAsia="en-AU"/>
        </w:rPr>
        <w:t>-</w:t>
      </w:r>
      <w:r>
        <w:rPr>
          <w:rFonts w:ascii="Arial Narrow" w:hAnsi="Arial Narrow"/>
          <w:lang w:eastAsia="en-AU"/>
        </w:rPr>
        <w:t>off estimates used in the analysis, referred to as the ‘net benefits of energy efficiency’, were derived from abatement cost curve analysis, cross</w:t>
      </w:r>
      <w:r w:rsidR="008709E9">
        <w:rPr>
          <w:rFonts w:ascii="Arial Narrow" w:hAnsi="Arial Narrow"/>
          <w:lang w:eastAsia="en-AU"/>
        </w:rPr>
        <w:t>-</w:t>
      </w:r>
      <w:r>
        <w:rPr>
          <w:rFonts w:ascii="Arial Narrow" w:hAnsi="Arial Narrow"/>
          <w:lang w:eastAsia="en-AU"/>
        </w:rPr>
        <w:t>checked against multiple sources and tested with industry stakeholders</w:t>
      </w:r>
      <w:r w:rsidR="00CB3EC7">
        <w:rPr>
          <w:rFonts w:ascii="Arial Narrow" w:hAnsi="Arial Narrow"/>
          <w:lang w:eastAsia="en-AU"/>
        </w:rPr>
        <w:t xml:space="preserve">. </w:t>
      </w:r>
      <w:r>
        <w:rPr>
          <w:rFonts w:ascii="Arial Narrow" w:hAnsi="Arial Narrow"/>
          <w:lang w:eastAsia="en-AU"/>
        </w:rPr>
        <w:t>Extensive sensitivity analysis was also performed to ensure the review’s conclusions were robust in light of the uncertainty around project pay</w:t>
      </w:r>
      <w:r w:rsidR="008709E9">
        <w:rPr>
          <w:rFonts w:ascii="Arial Narrow" w:hAnsi="Arial Narrow"/>
          <w:lang w:eastAsia="en-AU"/>
        </w:rPr>
        <w:t>-</w:t>
      </w:r>
      <w:r>
        <w:rPr>
          <w:rFonts w:ascii="Arial Narrow" w:hAnsi="Arial Narrow"/>
          <w:lang w:eastAsia="en-AU"/>
        </w:rPr>
        <w:t>offs.</w:t>
      </w:r>
    </w:p>
    <w:p w14:paraId="151CC331" w14:textId="77777777" w:rsidR="009B30B8" w:rsidRDefault="009B30B8" w:rsidP="009B30B8">
      <w:pPr>
        <w:spacing w:line="280" w:lineRule="exact"/>
        <w:rPr>
          <w:rFonts w:ascii="Arial Narrow" w:hAnsi="Arial Narrow"/>
          <w:lang w:eastAsia="en-AU"/>
        </w:rPr>
      </w:pPr>
      <w:r>
        <w:rPr>
          <w:rFonts w:ascii="Arial Narrow" w:hAnsi="Arial Narrow"/>
          <w:lang w:eastAsia="en-AU"/>
        </w:rPr>
        <w:t>Nevertheless, future evaluations would benefit from a greater resolution and diversity of data related to project pay</w:t>
      </w:r>
      <w:r w:rsidR="008709E9">
        <w:rPr>
          <w:rFonts w:ascii="Arial Narrow" w:hAnsi="Arial Narrow"/>
          <w:lang w:eastAsia="en-AU"/>
        </w:rPr>
        <w:t>-</w:t>
      </w:r>
      <w:r>
        <w:rPr>
          <w:rFonts w:ascii="Arial Narrow" w:hAnsi="Arial Narrow"/>
          <w:lang w:eastAsia="en-AU"/>
        </w:rPr>
        <w:t>offs</w:t>
      </w:r>
      <w:r w:rsidR="00CB3EC7">
        <w:rPr>
          <w:rFonts w:ascii="Arial Narrow" w:hAnsi="Arial Narrow"/>
          <w:lang w:eastAsia="en-AU"/>
        </w:rPr>
        <w:t xml:space="preserve">. </w:t>
      </w:r>
      <w:r>
        <w:rPr>
          <w:rFonts w:ascii="Arial Narrow" w:hAnsi="Arial Narrow"/>
          <w:lang w:eastAsia="en-AU"/>
        </w:rPr>
        <w:t>Available data was used to construct low, medium and high estimates of project pay</w:t>
      </w:r>
      <w:r w:rsidR="005632C6">
        <w:rPr>
          <w:rFonts w:ascii="Arial Narrow" w:hAnsi="Arial Narrow"/>
          <w:lang w:eastAsia="en-AU"/>
        </w:rPr>
        <w:t>-</w:t>
      </w:r>
      <w:r>
        <w:rPr>
          <w:rFonts w:ascii="Arial Narrow" w:hAnsi="Arial Narrow"/>
          <w:lang w:eastAsia="en-AU"/>
        </w:rPr>
        <w:t xml:space="preserve">offs applying to buildings performing upgrades from a low, medium and high </w:t>
      </w:r>
      <w:r w:rsidR="005632C6">
        <w:rPr>
          <w:rFonts w:ascii="Arial Narrow" w:hAnsi="Arial Narrow"/>
          <w:lang w:eastAsia="en-AU"/>
        </w:rPr>
        <w:t xml:space="preserve">initial level </w:t>
      </w:r>
      <w:r>
        <w:rPr>
          <w:rFonts w:ascii="Arial Narrow" w:hAnsi="Arial Narrow"/>
          <w:lang w:eastAsia="en-AU"/>
        </w:rPr>
        <w:t>of energy efficiency respectively</w:t>
      </w:r>
      <w:r w:rsidR="00CB3EC7">
        <w:rPr>
          <w:rFonts w:ascii="Arial Narrow" w:hAnsi="Arial Narrow"/>
          <w:lang w:eastAsia="en-AU"/>
        </w:rPr>
        <w:t xml:space="preserve">. </w:t>
      </w:r>
      <w:r>
        <w:rPr>
          <w:rFonts w:ascii="Arial Narrow" w:hAnsi="Arial Narrow"/>
          <w:lang w:eastAsia="en-AU"/>
        </w:rPr>
        <w:t>This captured the effect that returns from energy efficiency are relatively higher for poorer performing buildings</w:t>
      </w:r>
      <w:r w:rsidR="00CB3EC7">
        <w:rPr>
          <w:rFonts w:ascii="Arial Narrow" w:hAnsi="Arial Narrow"/>
          <w:lang w:eastAsia="en-AU"/>
        </w:rPr>
        <w:t xml:space="preserve">. </w:t>
      </w:r>
      <w:r>
        <w:rPr>
          <w:rFonts w:ascii="Arial Narrow" w:hAnsi="Arial Narrow"/>
          <w:lang w:eastAsia="en-AU"/>
        </w:rPr>
        <w:t>However, further data would allow greater differentiation of project pay</w:t>
      </w:r>
      <w:r w:rsidR="005632C6">
        <w:rPr>
          <w:rFonts w:ascii="Arial Narrow" w:hAnsi="Arial Narrow"/>
          <w:lang w:eastAsia="en-AU"/>
        </w:rPr>
        <w:t>-</w:t>
      </w:r>
      <w:r>
        <w:rPr>
          <w:rFonts w:ascii="Arial Narrow" w:hAnsi="Arial Narrow"/>
          <w:lang w:eastAsia="en-AU"/>
        </w:rPr>
        <w:t>offs, if necessary, based on current star rating, building characteristics, jurisdiction, climate zone and tenants etc</w:t>
      </w:r>
      <w:r w:rsidR="00CB3EC7">
        <w:rPr>
          <w:rFonts w:ascii="Arial Narrow" w:hAnsi="Arial Narrow"/>
          <w:lang w:eastAsia="en-AU"/>
        </w:rPr>
        <w:t xml:space="preserve">. </w:t>
      </w:r>
      <w:r>
        <w:rPr>
          <w:rFonts w:ascii="Arial Narrow" w:hAnsi="Arial Narrow"/>
          <w:lang w:eastAsia="en-AU"/>
        </w:rPr>
        <w:t>It would also allow greater precision in economic benefit estimates.</w:t>
      </w:r>
    </w:p>
    <w:p w14:paraId="0B78F40A" w14:textId="77777777" w:rsidR="009B30B8" w:rsidRPr="006E18E6" w:rsidRDefault="009B30B8" w:rsidP="009B30B8">
      <w:pPr>
        <w:spacing w:line="280" w:lineRule="exact"/>
        <w:rPr>
          <w:rFonts w:ascii="Arial Narrow" w:hAnsi="Arial Narrow"/>
          <w:lang w:eastAsia="en-AU"/>
        </w:rPr>
      </w:pPr>
      <w:r>
        <w:rPr>
          <w:rFonts w:ascii="Arial Narrow" w:hAnsi="Arial Narrow"/>
          <w:lang w:eastAsia="en-AU"/>
        </w:rPr>
        <w:t>Improvements in workforce productivity were found to be potentially significant</w:t>
      </w:r>
      <w:r w:rsidR="00CB3EC7">
        <w:rPr>
          <w:rFonts w:ascii="Arial Narrow" w:hAnsi="Arial Narrow"/>
          <w:lang w:eastAsia="en-AU"/>
        </w:rPr>
        <w:t xml:space="preserve">. </w:t>
      </w:r>
      <w:r>
        <w:rPr>
          <w:rFonts w:ascii="Arial Narrow" w:hAnsi="Arial Narrow"/>
          <w:lang w:eastAsia="en-AU"/>
        </w:rPr>
        <w:t xml:space="preserve">ACIL Allen estimates that this improvement could be higher than the combined benefit of project </w:t>
      </w:r>
      <w:r w:rsidR="00B379DF">
        <w:rPr>
          <w:rFonts w:ascii="Arial Narrow" w:hAnsi="Arial Narrow"/>
          <w:lang w:eastAsia="en-AU"/>
        </w:rPr>
        <w:t>pay-off</w:t>
      </w:r>
      <w:r>
        <w:rPr>
          <w:rFonts w:ascii="Arial Narrow" w:hAnsi="Arial Narrow"/>
          <w:lang w:eastAsia="en-AU"/>
        </w:rPr>
        <w:t>s and GHG reductions, even under conservative assumptions about productivity increases</w:t>
      </w:r>
      <w:r w:rsidR="00CB3EC7">
        <w:rPr>
          <w:rFonts w:ascii="Arial Narrow" w:hAnsi="Arial Narrow"/>
          <w:lang w:eastAsia="en-AU"/>
        </w:rPr>
        <w:t xml:space="preserve">. </w:t>
      </w:r>
      <w:r>
        <w:rPr>
          <w:rFonts w:ascii="Arial Narrow" w:hAnsi="Arial Narrow"/>
          <w:lang w:eastAsia="en-AU"/>
        </w:rPr>
        <w:t xml:space="preserve">However, there is a high level of uncertainty surrounding </w:t>
      </w:r>
      <w:r w:rsidR="00B379DF">
        <w:rPr>
          <w:rFonts w:ascii="Arial Narrow" w:hAnsi="Arial Narrow"/>
          <w:lang w:eastAsia="en-AU"/>
        </w:rPr>
        <w:t xml:space="preserve">the valuation of </w:t>
      </w:r>
      <w:r>
        <w:rPr>
          <w:rFonts w:ascii="Arial Narrow" w:hAnsi="Arial Narrow"/>
          <w:lang w:eastAsia="en-AU"/>
        </w:rPr>
        <w:t xml:space="preserve">productivity benefits due to </w:t>
      </w:r>
      <w:r w:rsidR="00B379DF">
        <w:rPr>
          <w:rFonts w:ascii="Arial Narrow" w:hAnsi="Arial Narrow"/>
          <w:lang w:eastAsia="en-AU"/>
        </w:rPr>
        <w:t xml:space="preserve">the </w:t>
      </w:r>
      <w:r>
        <w:rPr>
          <w:rFonts w:ascii="Arial Narrow" w:hAnsi="Arial Narrow"/>
          <w:lang w:eastAsia="en-AU"/>
        </w:rPr>
        <w:t xml:space="preserve">paucity of robust data on </w:t>
      </w:r>
      <w:r w:rsidR="00B379DF">
        <w:rPr>
          <w:rFonts w:ascii="Arial Narrow" w:hAnsi="Arial Narrow"/>
          <w:lang w:eastAsia="en-AU"/>
        </w:rPr>
        <w:t xml:space="preserve">the </w:t>
      </w:r>
      <w:r>
        <w:rPr>
          <w:rFonts w:ascii="Arial Narrow" w:hAnsi="Arial Narrow"/>
          <w:lang w:eastAsia="en-AU"/>
        </w:rPr>
        <w:t>productivity benefits of energy efficient buildings.</w:t>
      </w:r>
    </w:p>
    <w:p w14:paraId="3A36D0D1" w14:textId="77777777" w:rsidR="009133DF" w:rsidRPr="0069009F" w:rsidRDefault="009133DF" w:rsidP="0069009F">
      <w:pPr>
        <w:pStyle w:val="Heading1nonumber"/>
      </w:pPr>
      <w:r w:rsidRPr="0069009F">
        <w:t>Recommendations</w:t>
      </w:r>
    </w:p>
    <w:p w14:paraId="63F5A9B5" w14:textId="77777777" w:rsidR="009133DF" w:rsidRDefault="009133DF" w:rsidP="009133DF">
      <w:pPr>
        <w:pStyle w:val="ListParagraph"/>
        <w:numPr>
          <w:ilvl w:val="0"/>
          <w:numId w:val="38"/>
        </w:numPr>
        <w:spacing w:line="280" w:lineRule="exact"/>
        <w:rPr>
          <w:rFonts w:ascii="Arial Narrow" w:hAnsi="Arial Narrow"/>
          <w:b/>
          <w:lang w:eastAsia="en-AU"/>
        </w:rPr>
      </w:pPr>
      <w:r>
        <w:rPr>
          <w:rFonts w:ascii="Arial Narrow" w:hAnsi="Arial Narrow"/>
          <w:b/>
          <w:lang w:eastAsia="en-AU"/>
        </w:rPr>
        <w:t>The CBD program should continue.</w:t>
      </w:r>
    </w:p>
    <w:p w14:paraId="627C5F0A" w14:textId="11EE72A0" w:rsidR="009133DF" w:rsidRDefault="009133DF" w:rsidP="009133DF">
      <w:pPr>
        <w:spacing w:line="280" w:lineRule="exact"/>
        <w:rPr>
          <w:rFonts w:ascii="Arial Narrow" w:hAnsi="Arial Narrow"/>
          <w:lang w:eastAsia="en-AU"/>
        </w:rPr>
      </w:pPr>
      <w:r>
        <w:rPr>
          <w:rFonts w:ascii="Arial Narrow" w:hAnsi="Arial Narrow"/>
          <w:lang w:eastAsia="en-AU"/>
        </w:rPr>
        <w:t xml:space="preserve">ACIL Allen finds that the CBD program has delivered benefits that </w:t>
      </w:r>
      <w:r w:rsidR="00764FFC">
        <w:rPr>
          <w:rFonts w:ascii="Arial Narrow" w:hAnsi="Arial Narrow"/>
          <w:lang w:eastAsia="en-AU"/>
        </w:rPr>
        <w:t xml:space="preserve">significantly </w:t>
      </w:r>
      <w:r>
        <w:rPr>
          <w:rFonts w:ascii="Arial Narrow" w:hAnsi="Arial Narrow"/>
          <w:lang w:eastAsia="en-AU"/>
        </w:rPr>
        <w:t>outweigh its costs</w:t>
      </w:r>
      <w:r w:rsidR="002B77C2">
        <w:rPr>
          <w:rFonts w:ascii="Arial Narrow" w:hAnsi="Arial Narrow"/>
          <w:lang w:eastAsia="en-AU"/>
        </w:rPr>
        <w:t xml:space="preserve"> but has yet to reach its full potential</w:t>
      </w:r>
      <w:r w:rsidR="00CB3EC7">
        <w:rPr>
          <w:rFonts w:ascii="Arial Narrow" w:hAnsi="Arial Narrow"/>
          <w:lang w:eastAsia="en-AU"/>
        </w:rPr>
        <w:t xml:space="preserve">. </w:t>
      </w:r>
    </w:p>
    <w:p w14:paraId="5856FE1D" w14:textId="77777777" w:rsidR="00AE7C08" w:rsidRDefault="009133DF" w:rsidP="009133DF">
      <w:pPr>
        <w:spacing w:line="280" w:lineRule="exact"/>
        <w:rPr>
          <w:rFonts w:ascii="Arial Narrow" w:hAnsi="Arial Narrow"/>
          <w:lang w:eastAsia="en-AU"/>
        </w:rPr>
      </w:pPr>
      <w:r w:rsidRPr="00F4220E">
        <w:rPr>
          <w:rFonts w:ascii="Arial Narrow" w:hAnsi="Arial Narrow"/>
          <w:lang w:eastAsia="en-AU"/>
        </w:rPr>
        <w:t>With expected robust growth in the number of commercial buildings in major cities around the country (commensurate with projected population and economic growth) and an increasingly urgent need to address the climate change challenge, the program is as relevant to Australia’s needs today and in the future as it was at conception</w:t>
      </w:r>
      <w:r w:rsidR="00CB3EC7" w:rsidRPr="00F4220E">
        <w:rPr>
          <w:rFonts w:ascii="Arial Narrow" w:hAnsi="Arial Narrow"/>
          <w:lang w:eastAsia="en-AU"/>
        </w:rPr>
        <w:t>.</w:t>
      </w:r>
    </w:p>
    <w:p w14:paraId="1C5F8590" w14:textId="77777777" w:rsidR="009133DF" w:rsidRDefault="00FB65A7" w:rsidP="009133DF">
      <w:pPr>
        <w:spacing w:line="280" w:lineRule="exact"/>
        <w:rPr>
          <w:rFonts w:ascii="Arial Narrow" w:hAnsi="Arial Narrow"/>
          <w:lang w:eastAsia="en-AU"/>
        </w:rPr>
      </w:pPr>
      <w:r>
        <w:rPr>
          <w:rFonts w:ascii="Arial Narrow" w:hAnsi="Arial Narrow"/>
          <w:lang w:eastAsia="en-AU"/>
        </w:rPr>
        <w:t xml:space="preserve">A significant proportion of the building stock is yet to </w:t>
      </w:r>
      <w:r w:rsidR="00AE7C08">
        <w:rPr>
          <w:rFonts w:ascii="Arial Narrow" w:hAnsi="Arial Narrow"/>
          <w:lang w:eastAsia="en-AU"/>
        </w:rPr>
        <w:t xml:space="preserve">be </w:t>
      </w:r>
      <w:r>
        <w:rPr>
          <w:rFonts w:ascii="Arial Narrow" w:hAnsi="Arial Narrow"/>
          <w:lang w:eastAsia="en-AU"/>
        </w:rPr>
        <w:t>rate</w:t>
      </w:r>
      <w:r w:rsidR="00AE7C08">
        <w:rPr>
          <w:rFonts w:ascii="Arial Narrow" w:hAnsi="Arial Narrow"/>
          <w:lang w:eastAsia="en-AU"/>
        </w:rPr>
        <w:t>d</w:t>
      </w:r>
      <w:r>
        <w:rPr>
          <w:rFonts w:ascii="Arial Narrow" w:hAnsi="Arial Narrow"/>
          <w:lang w:eastAsia="en-AU"/>
        </w:rPr>
        <w:t xml:space="preserve"> given that the mandatory obligations to disclose are only triggered on offer to </w:t>
      </w:r>
      <w:r w:rsidR="006500CA">
        <w:rPr>
          <w:rFonts w:ascii="Arial Narrow" w:hAnsi="Arial Narrow"/>
          <w:lang w:eastAsia="en-AU"/>
        </w:rPr>
        <w:t xml:space="preserve">sell </w:t>
      </w:r>
      <w:r>
        <w:rPr>
          <w:rFonts w:ascii="Arial Narrow" w:hAnsi="Arial Narrow"/>
          <w:lang w:eastAsia="en-AU"/>
        </w:rPr>
        <w:t>or lease</w:t>
      </w:r>
      <w:r w:rsidR="00CB3EC7">
        <w:rPr>
          <w:rFonts w:ascii="Arial Narrow" w:hAnsi="Arial Narrow"/>
          <w:lang w:eastAsia="en-AU"/>
        </w:rPr>
        <w:t xml:space="preserve">. </w:t>
      </w:r>
      <w:r>
        <w:rPr>
          <w:rFonts w:ascii="Arial Narrow" w:hAnsi="Arial Narrow"/>
          <w:lang w:eastAsia="en-AU"/>
        </w:rPr>
        <w:t>The rating of as yet unrated stock is expected to occur in the coming years</w:t>
      </w:r>
      <w:r w:rsidR="00CB3EC7">
        <w:rPr>
          <w:rFonts w:ascii="Arial Narrow" w:hAnsi="Arial Narrow"/>
          <w:lang w:eastAsia="en-AU"/>
        </w:rPr>
        <w:t xml:space="preserve">. </w:t>
      </w:r>
      <w:r w:rsidR="009133DF">
        <w:rPr>
          <w:rFonts w:ascii="Arial Narrow" w:hAnsi="Arial Narrow"/>
          <w:lang w:eastAsia="en-AU"/>
        </w:rPr>
        <w:t xml:space="preserve">Our analysis </w:t>
      </w:r>
      <w:r w:rsidR="009133DF">
        <w:rPr>
          <w:rFonts w:ascii="Arial Narrow" w:hAnsi="Arial Narrow"/>
          <w:lang w:eastAsia="en-AU"/>
        </w:rPr>
        <w:lastRenderedPageBreak/>
        <w:t>suggests that the program will continue to deliver benefits that exceed costs if the program’s life was extended for five years</w:t>
      </w:r>
      <w:r w:rsidR="00CB3EC7">
        <w:rPr>
          <w:rFonts w:ascii="Arial Narrow" w:hAnsi="Arial Narrow"/>
          <w:lang w:eastAsia="en-AU"/>
        </w:rPr>
        <w:t>.</w:t>
      </w:r>
    </w:p>
    <w:p w14:paraId="75ACB929" w14:textId="77777777" w:rsidR="009133DF" w:rsidRPr="00AA08C7" w:rsidRDefault="009133DF" w:rsidP="009133DF">
      <w:pPr>
        <w:pStyle w:val="ListParagraph"/>
        <w:numPr>
          <w:ilvl w:val="0"/>
          <w:numId w:val="38"/>
        </w:numPr>
        <w:spacing w:line="280" w:lineRule="exact"/>
        <w:rPr>
          <w:rFonts w:ascii="Arial Narrow" w:hAnsi="Arial Narrow"/>
          <w:b/>
          <w:lang w:eastAsia="en-AU"/>
        </w:rPr>
      </w:pPr>
      <w:r w:rsidRPr="00AA08C7">
        <w:rPr>
          <w:rFonts w:ascii="Arial Narrow" w:hAnsi="Arial Narrow"/>
          <w:b/>
          <w:lang w:eastAsia="en-AU"/>
        </w:rPr>
        <w:t>The focus for the CBD program should remain on office buildings.</w:t>
      </w:r>
    </w:p>
    <w:p w14:paraId="7E484603" w14:textId="77777777" w:rsidR="009133DF" w:rsidRPr="006E18E6" w:rsidRDefault="009133DF" w:rsidP="009133DF">
      <w:pPr>
        <w:spacing w:line="280" w:lineRule="exact"/>
        <w:rPr>
          <w:rFonts w:ascii="Arial Narrow" w:hAnsi="Arial Narrow"/>
          <w:lang w:eastAsia="en-AU"/>
        </w:rPr>
      </w:pPr>
      <w:r w:rsidRPr="006E18E6">
        <w:rPr>
          <w:rFonts w:ascii="Arial Narrow" w:hAnsi="Arial Narrow"/>
          <w:lang w:eastAsia="en-AU"/>
        </w:rPr>
        <w:t xml:space="preserve">ACIL Allen does not </w:t>
      </w:r>
      <w:r>
        <w:rPr>
          <w:rFonts w:ascii="Arial Narrow" w:hAnsi="Arial Narrow"/>
          <w:lang w:eastAsia="en-AU"/>
        </w:rPr>
        <w:t>believe</w:t>
      </w:r>
      <w:r w:rsidRPr="006E18E6">
        <w:rPr>
          <w:rFonts w:ascii="Arial Narrow" w:hAnsi="Arial Narrow"/>
          <w:lang w:eastAsia="en-AU"/>
        </w:rPr>
        <w:t xml:space="preserve"> that mandatory disclosure </w:t>
      </w:r>
      <w:r>
        <w:rPr>
          <w:rFonts w:ascii="Arial Narrow" w:hAnsi="Arial Narrow"/>
          <w:lang w:eastAsia="en-AU"/>
        </w:rPr>
        <w:t xml:space="preserve">should </w:t>
      </w:r>
      <w:r w:rsidRPr="006E18E6">
        <w:rPr>
          <w:rFonts w:ascii="Arial Narrow" w:hAnsi="Arial Narrow"/>
          <w:lang w:eastAsia="en-AU"/>
        </w:rPr>
        <w:t>be extended to other types of commercial buildings at this time</w:t>
      </w:r>
      <w:r w:rsidR="00CB3EC7" w:rsidRPr="006E18E6">
        <w:rPr>
          <w:rFonts w:ascii="Arial Narrow" w:hAnsi="Arial Narrow"/>
          <w:lang w:eastAsia="en-AU"/>
        </w:rPr>
        <w:t>.</w:t>
      </w:r>
      <w:r w:rsidR="00CB3EC7">
        <w:rPr>
          <w:rFonts w:ascii="Arial Narrow" w:hAnsi="Arial Narrow"/>
          <w:lang w:eastAsia="en-AU"/>
        </w:rPr>
        <w:t xml:space="preserve"> </w:t>
      </w:r>
      <w:r w:rsidR="00402C79">
        <w:rPr>
          <w:rFonts w:ascii="Arial Narrow" w:hAnsi="Arial Narrow"/>
          <w:lang w:eastAsia="en-AU"/>
        </w:rPr>
        <w:t>At present, the</w:t>
      </w:r>
      <w:r w:rsidRPr="006E18E6">
        <w:rPr>
          <w:rFonts w:ascii="Arial Narrow" w:hAnsi="Arial Narrow"/>
          <w:lang w:eastAsia="en-AU"/>
        </w:rPr>
        <w:t xml:space="preserve"> NABERS </w:t>
      </w:r>
      <w:r w:rsidR="00402C79">
        <w:rPr>
          <w:rFonts w:ascii="Arial Narrow" w:hAnsi="Arial Narrow"/>
          <w:lang w:eastAsia="en-AU"/>
        </w:rPr>
        <w:t>rating tool for data centres is still relatively new and not yet widely embraced by industry</w:t>
      </w:r>
      <w:r w:rsidR="00CB3EC7">
        <w:rPr>
          <w:rFonts w:ascii="Arial Narrow" w:hAnsi="Arial Narrow"/>
          <w:lang w:eastAsia="en-AU"/>
        </w:rPr>
        <w:t xml:space="preserve">. </w:t>
      </w:r>
      <w:r w:rsidR="00402C79">
        <w:rPr>
          <w:rFonts w:ascii="Arial Narrow" w:hAnsi="Arial Narrow"/>
          <w:lang w:eastAsia="en-AU"/>
        </w:rPr>
        <w:t>In addition, some data centre operators</w:t>
      </w:r>
      <w:r w:rsidRPr="006E18E6">
        <w:rPr>
          <w:rFonts w:ascii="Arial Narrow" w:hAnsi="Arial Narrow"/>
          <w:lang w:eastAsia="en-AU"/>
        </w:rPr>
        <w:t xml:space="preserve"> m</w:t>
      </w:r>
      <w:r w:rsidR="00402C79">
        <w:rPr>
          <w:rFonts w:ascii="Arial Narrow" w:hAnsi="Arial Narrow"/>
          <w:lang w:eastAsia="en-AU"/>
        </w:rPr>
        <w:t>ight</w:t>
      </w:r>
      <w:r w:rsidRPr="006E18E6">
        <w:rPr>
          <w:rFonts w:ascii="Arial Narrow" w:hAnsi="Arial Narrow"/>
          <w:lang w:eastAsia="en-AU"/>
        </w:rPr>
        <w:t xml:space="preserve"> be unwilling </w:t>
      </w:r>
      <w:r w:rsidR="00F56F37">
        <w:rPr>
          <w:rFonts w:ascii="Arial Narrow" w:hAnsi="Arial Narrow"/>
          <w:lang w:eastAsia="en-AU"/>
        </w:rPr>
        <w:t xml:space="preserve">to </w:t>
      </w:r>
      <w:r w:rsidRPr="006E18E6">
        <w:rPr>
          <w:rFonts w:ascii="Arial Narrow" w:hAnsi="Arial Narrow"/>
          <w:lang w:eastAsia="en-AU"/>
        </w:rPr>
        <w:t>allow access to energy consumption data due to the commercial sensitivity of that information</w:t>
      </w:r>
      <w:r w:rsidR="00CB3EC7" w:rsidRPr="006E18E6">
        <w:rPr>
          <w:rFonts w:ascii="Arial Narrow" w:hAnsi="Arial Narrow"/>
          <w:lang w:eastAsia="en-AU"/>
        </w:rPr>
        <w:t>.</w:t>
      </w:r>
      <w:r w:rsidR="00CB3EC7">
        <w:rPr>
          <w:rFonts w:ascii="Arial Narrow" w:hAnsi="Arial Narrow"/>
          <w:lang w:eastAsia="en-AU"/>
        </w:rPr>
        <w:t xml:space="preserve"> </w:t>
      </w:r>
    </w:p>
    <w:p w14:paraId="35B2E57D" w14:textId="77777777" w:rsidR="009133DF" w:rsidRPr="00240AC6" w:rsidRDefault="009133DF" w:rsidP="009133DF">
      <w:pPr>
        <w:spacing w:line="280" w:lineRule="exact"/>
        <w:rPr>
          <w:rFonts w:ascii="Arial Narrow" w:hAnsi="Arial Narrow"/>
          <w:lang w:eastAsia="en-AU"/>
        </w:rPr>
      </w:pPr>
      <w:r w:rsidRPr="006E18E6">
        <w:rPr>
          <w:rFonts w:ascii="Arial Narrow" w:hAnsi="Arial Narrow"/>
          <w:lang w:eastAsia="en-AU"/>
        </w:rPr>
        <w:t xml:space="preserve">The split incentive market failure may not be as acute for tenants of retail buildings, as they are more likely to be concerned with site size, configuration, location and rental price and conditions </w:t>
      </w:r>
      <w:r w:rsidR="00EA4449">
        <w:rPr>
          <w:rFonts w:ascii="Arial Narrow" w:hAnsi="Arial Narrow"/>
          <w:lang w:eastAsia="en-AU"/>
        </w:rPr>
        <w:t>(</w:t>
      </w:r>
      <w:r w:rsidRPr="006E18E6">
        <w:rPr>
          <w:rFonts w:ascii="Arial Narrow" w:hAnsi="Arial Narrow"/>
          <w:lang w:eastAsia="en-AU"/>
        </w:rPr>
        <w:t>rather than energy costs</w:t>
      </w:r>
      <w:r w:rsidR="00EA4449">
        <w:rPr>
          <w:rFonts w:ascii="Arial Narrow" w:hAnsi="Arial Narrow"/>
          <w:lang w:eastAsia="en-AU"/>
        </w:rPr>
        <w:t>)</w:t>
      </w:r>
      <w:r w:rsidR="00F56F37">
        <w:rPr>
          <w:rFonts w:ascii="Arial Narrow" w:hAnsi="Arial Narrow"/>
          <w:lang w:eastAsia="en-AU"/>
        </w:rPr>
        <w:t>,</w:t>
      </w:r>
      <w:r w:rsidRPr="006E18E6">
        <w:rPr>
          <w:rFonts w:ascii="Arial Narrow" w:hAnsi="Arial Narrow"/>
          <w:lang w:eastAsia="en-AU"/>
        </w:rPr>
        <w:t xml:space="preserve"> as these are the key determinants of a tenant’s profitability</w:t>
      </w:r>
      <w:r w:rsidR="00CB3EC7" w:rsidRPr="006E18E6">
        <w:rPr>
          <w:rFonts w:ascii="Arial Narrow" w:hAnsi="Arial Narrow"/>
          <w:lang w:eastAsia="en-AU"/>
        </w:rPr>
        <w:t>.</w:t>
      </w:r>
      <w:r w:rsidR="00CB3EC7">
        <w:rPr>
          <w:rFonts w:ascii="Arial Narrow" w:hAnsi="Arial Narrow"/>
          <w:lang w:eastAsia="en-AU"/>
        </w:rPr>
        <w:t xml:space="preserve"> </w:t>
      </w:r>
      <w:r>
        <w:rPr>
          <w:rFonts w:ascii="Arial Narrow" w:hAnsi="Arial Narrow"/>
          <w:lang w:eastAsia="en-AU"/>
        </w:rPr>
        <w:t>In the hotel sector, the split incentive issue does not arise if h</w:t>
      </w:r>
      <w:r w:rsidRPr="006E18E6">
        <w:rPr>
          <w:rFonts w:ascii="Arial Narrow" w:hAnsi="Arial Narrow"/>
          <w:lang w:eastAsia="en-AU"/>
        </w:rPr>
        <w:t xml:space="preserve">otel operators </w:t>
      </w:r>
      <w:r>
        <w:rPr>
          <w:rFonts w:ascii="Arial Narrow" w:hAnsi="Arial Narrow"/>
          <w:lang w:eastAsia="en-AU"/>
        </w:rPr>
        <w:t>are also the building owners</w:t>
      </w:r>
      <w:r w:rsidR="00CB3EC7">
        <w:rPr>
          <w:rFonts w:ascii="Arial Narrow" w:hAnsi="Arial Narrow"/>
          <w:lang w:eastAsia="en-AU"/>
        </w:rPr>
        <w:t xml:space="preserve">. </w:t>
      </w:r>
      <w:r w:rsidRPr="006E18E6">
        <w:rPr>
          <w:rFonts w:ascii="Arial Narrow" w:hAnsi="Arial Narrow"/>
          <w:lang w:eastAsia="en-AU"/>
        </w:rPr>
        <w:t>Even if they do not own the building, they still have a natural incentive to seek out buildings that are more energy efficient and have lower energy costs</w:t>
      </w:r>
    </w:p>
    <w:p w14:paraId="2B1AC4C1" w14:textId="77777777" w:rsidR="009133DF" w:rsidRPr="006B0565" w:rsidRDefault="007B616B" w:rsidP="009133DF">
      <w:pPr>
        <w:pStyle w:val="ListParagraph"/>
        <w:numPr>
          <w:ilvl w:val="0"/>
          <w:numId w:val="38"/>
        </w:numPr>
        <w:spacing w:line="280" w:lineRule="exact"/>
        <w:rPr>
          <w:rFonts w:ascii="Arial Narrow" w:hAnsi="Arial Narrow"/>
          <w:b/>
          <w:lang w:eastAsia="en-AU"/>
        </w:rPr>
      </w:pPr>
      <w:r>
        <w:rPr>
          <w:rFonts w:ascii="Arial Narrow" w:hAnsi="Arial Narrow"/>
          <w:b/>
          <w:lang w:eastAsia="en-AU"/>
        </w:rPr>
        <w:t>T</w:t>
      </w:r>
      <w:r w:rsidR="009133DF">
        <w:rPr>
          <w:rFonts w:ascii="Arial Narrow" w:hAnsi="Arial Narrow"/>
          <w:b/>
          <w:lang w:eastAsia="en-AU"/>
        </w:rPr>
        <w:t>he CBD p</w:t>
      </w:r>
      <w:r w:rsidR="009133DF" w:rsidRPr="006B0565">
        <w:rPr>
          <w:rFonts w:ascii="Arial Narrow" w:hAnsi="Arial Narrow"/>
          <w:b/>
          <w:lang w:eastAsia="en-AU"/>
        </w:rPr>
        <w:t xml:space="preserve">rogram </w:t>
      </w:r>
      <w:r>
        <w:rPr>
          <w:rFonts w:ascii="Arial Narrow" w:hAnsi="Arial Narrow"/>
          <w:b/>
          <w:lang w:eastAsia="en-AU"/>
        </w:rPr>
        <w:t>should be</w:t>
      </w:r>
      <w:r w:rsidR="009133DF">
        <w:rPr>
          <w:rFonts w:ascii="Arial Narrow" w:hAnsi="Arial Narrow"/>
          <w:b/>
          <w:lang w:eastAsia="en-AU"/>
        </w:rPr>
        <w:t xml:space="preserve"> </w:t>
      </w:r>
      <w:r>
        <w:rPr>
          <w:rFonts w:ascii="Arial Narrow" w:hAnsi="Arial Narrow"/>
          <w:b/>
          <w:lang w:eastAsia="en-AU"/>
        </w:rPr>
        <w:t xml:space="preserve">expanded to </w:t>
      </w:r>
      <w:r w:rsidR="009133DF">
        <w:rPr>
          <w:rFonts w:ascii="Arial Narrow" w:hAnsi="Arial Narrow"/>
          <w:b/>
          <w:lang w:eastAsia="en-AU"/>
        </w:rPr>
        <w:t>include</w:t>
      </w:r>
      <w:r w:rsidR="009133DF" w:rsidRPr="006B0565">
        <w:rPr>
          <w:rFonts w:ascii="Arial Narrow" w:hAnsi="Arial Narrow"/>
          <w:b/>
          <w:lang w:eastAsia="en-AU"/>
        </w:rPr>
        <w:t xml:space="preserve"> smaller </w:t>
      </w:r>
      <w:r w:rsidR="00FD41DC">
        <w:rPr>
          <w:rFonts w:ascii="Arial Narrow" w:hAnsi="Arial Narrow"/>
          <w:b/>
          <w:lang w:eastAsia="en-AU"/>
        </w:rPr>
        <w:t>office spaces</w:t>
      </w:r>
      <w:r w:rsidR="009133DF">
        <w:rPr>
          <w:rFonts w:ascii="Arial Narrow" w:hAnsi="Arial Narrow"/>
          <w:b/>
          <w:lang w:eastAsia="en-AU"/>
        </w:rPr>
        <w:t>.</w:t>
      </w:r>
    </w:p>
    <w:p w14:paraId="3CFAD982" w14:textId="77777777" w:rsidR="00761462" w:rsidRDefault="00761462" w:rsidP="00DB0E3E">
      <w:pPr>
        <w:pStyle w:val="SideNote"/>
        <w:framePr w:wrap="around"/>
      </w:pPr>
      <w:r>
        <w:t xml:space="preserve">Lowering </w:t>
      </w:r>
      <w:r w:rsidR="001E2256">
        <w:t xml:space="preserve">the </w:t>
      </w:r>
      <w:r>
        <w:t xml:space="preserve">threshold for mandatory disclosure to </w:t>
      </w:r>
      <w:r w:rsidRPr="006B0565">
        <w:t>1,000m</w:t>
      </w:r>
      <w:r w:rsidRPr="006B0565">
        <w:rPr>
          <w:vertAlign w:val="superscript"/>
        </w:rPr>
        <w:t>2</w:t>
      </w:r>
      <w:r>
        <w:t xml:space="preserve"> will generate </w:t>
      </w:r>
      <w:r w:rsidR="00FB0C7B">
        <w:t>additional economic benefits.</w:t>
      </w:r>
    </w:p>
    <w:p w14:paraId="7E772F4F" w14:textId="77777777" w:rsidR="009133DF" w:rsidRDefault="009133DF" w:rsidP="009133DF">
      <w:pPr>
        <w:spacing w:line="280" w:lineRule="exact"/>
        <w:rPr>
          <w:rFonts w:ascii="Arial Narrow" w:hAnsi="Arial Narrow"/>
          <w:lang w:eastAsia="en-AU"/>
        </w:rPr>
      </w:pPr>
      <w:r w:rsidRPr="006B0565">
        <w:rPr>
          <w:rFonts w:ascii="Arial Narrow" w:hAnsi="Arial Narrow"/>
          <w:lang w:eastAsia="en-AU"/>
        </w:rPr>
        <w:t>ACIL Allen’s analysis suggests there is merit in lowering the threshold for mandatory disclosure from 2,000m</w:t>
      </w:r>
      <w:r w:rsidRPr="006B0565">
        <w:rPr>
          <w:rFonts w:ascii="Arial Narrow" w:hAnsi="Arial Narrow"/>
          <w:vertAlign w:val="superscript"/>
          <w:lang w:eastAsia="en-AU"/>
        </w:rPr>
        <w:t>2</w:t>
      </w:r>
      <w:r w:rsidRPr="006B0565">
        <w:rPr>
          <w:rFonts w:ascii="Arial Narrow" w:hAnsi="Arial Narrow"/>
          <w:lang w:eastAsia="en-AU"/>
        </w:rPr>
        <w:t xml:space="preserve"> to 1,000m</w:t>
      </w:r>
      <w:r w:rsidRPr="006B0565">
        <w:rPr>
          <w:rFonts w:ascii="Arial Narrow" w:hAnsi="Arial Narrow"/>
          <w:vertAlign w:val="superscript"/>
          <w:lang w:eastAsia="en-AU"/>
        </w:rPr>
        <w:t>2</w:t>
      </w:r>
      <w:r w:rsidR="00CB3EC7" w:rsidRPr="006B0565">
        <w:rPr>
          <w:rFonts w:ascii="Arial Narrow" w:hAnsi="Arial Narrow"/>
          <w:lang w:eastAsia="en-AU"/>
        </w:rPr>
        <w:t>.</w:t>
      </w:r>
      <w:r w:rsidR="00CB3EC7">
        <w:rPr>
          <w:rFonts w:ascii="Arial Narrow" w:hAnsi="Arial Narrow"/>
          <w:lang w:eastAsia="en-AU"/>
        </w:rPr>
        <w:t xml:space="preserve"> </w:t>
      </w:r>
      <w:r w:rsidRPr="006B0565">
        <w:rPr>
          <w:rFonts w:ascii="Arial Narrow" w:hAnsi="Arial Narrow"/>
          <w:lang w:eastAsia="en-AU"/>
        </w:rPr>
        <w:t xml:space="preserve">The projected net benefits of lowering the disclosure threshold </w:t>
      </w:r>
      <w:r w:rsidR="00075197">
        <w:rPr>
          <w:rFonts w:ascii="Arial Narrow" w:hAnsi="Arial Narrow"/>
          <w:lang w:eastAsia="en-AU"/>
        </w:rPr>
        <w:t>are</w:t>
      </w:r>
      <w:r w:rsidRPr="006B0565">
        <w:rPr>
          <w:rFonts w:ascii="Arial Narrow" w:hAnsi="Arial Narrow"/>
          <w:lang w:eastAsia="en-AU"/>
        </w:rPr>
        <w:t xml:space="preserve"> estimated to be $</w:t>
      </w:r>
      <w:r w:rsidR="00F41DC6" w:rsidRPr="006B0565">
        <w:rPr>
          <w:rFonts w:ascii="Arial Narrow" w:hAnsi="Arial Narrow"/>
          <w:lang w:eastAsia="en-AU"/>
        </w:rPr>
        <w:t>2</w:t>
      </w:r>
      <w:r w:rsidR="00F41DC6">
        <w:rPr>
          <w:rFonts w:ascii="Arial Narrow" w:hAnsi="Arial Narrow"/>
          <w:lang w:eastAsia="en-AU"/>
        </w:rPr>
        <w:t>4</w:t>
      </w:r>
      <w:r w:rsidR="00F41DC6" w:rsidRPr="006B0565">
        <w:rPr>
          <w:rFonts w:ascii="Arial Narrow" w:hAnsi="Arial Narrow"/>
          <w:lang w:eastAsia="en-AU"/>
        </w:rPr>
        <w:t xml:space="preserve"> </w:t>
      </w:r>
      <w:r w:rsidRPr="006B0565">
        <w:rPr>
          <w:rFonts w:ascii="Arial Narrow" w:hAnsi="Arial Narrow"/>
          <w:lang w:eastAsia="en-AU"/>
        </w:rPr>
        <w:t>million</w:t>
      </w:r>
      <w:r w:rsidR="00075197">
        <w:rPr>
          <w:rFonts w:ascii="Arial Narrow" w:hAnsi="Arial Narrow"/>
          <w:lang w:eastAsia="en-AU"/>
        </w:rPr>
        <w:t xml:space="preserve"> cumulatively</w:t>
      </w:r>
      <w:r w:rsidR="000036E5">
        <w:rPr>
          <w:rStyle w:val="FootnoteReference"/>
          <w:lang w:eastAsia="en-AU"/>
        </w:rPr>
        <w:footnoteReference w:id="7"/>
      </w:r>
      <w:r w:rsidR="00CB3EC7" w:rsidRPr="006B0565">
        <w:rPr>
          <w:rFonts w:ascii="Arial Narrow" w:hAnsi="Arial Narrow"/>
          <w:lang w:eastAsia="en-AU"/>
        </w:rPr>
        <w:t>.</w:t>
      </w:r>
      <w:r w:rsidR="00CB3EC7">
        <w:rPr>
          <w:rFonts w:ascii="Arial Narrow" w:hAnsi="Arial Narrow"/>
          <w:lang w:eastAsia="en-AU"/>
        </w:rPr>
        <w:t xml:space="preserve"> </w:t>
      </w:r>
      <w:r w:rsidRPr="006B0565">
        <w:rPr>
          <w:rFonts w:ascii="Arial Narrow" w:hAnsi="Arial Narrow"/>
          <w:lang w:eastAsia="en-AU"/>
        </w:rPr>
        <w:t xml:space="preserve">This is based on </w:t>
      </w:r>
      <w:r w:rsidR="00F41DC6">
        <w:rPr>
          <w:rFonts w:ascii="Arial Narrow" w:hAnsi="Arial Narrow"/>
          <w:lang w:eastAsia="en-AU"/>
        </w:rPr>
        <w:t xml:space="preserve">an </w:t>
      </w:r>
      <w:r w:rsidRPr="006B0565">
        <w:rPr>
          <w:rFonts w:ascii="Arial Narrow" w:hAnsi="Arial Narrow"/>
          <w:lang w:eastAsia="en-AU"/>
        </w:rPr>
        <w:t>estimate</w:t>
      </w:r>
      <w:r w:rsidR="00F41DC6">
        <w:rPr>
          <w:rFonts w:ascii="Arial Narrow" w:hAnsi="Arial Narrow"/>
          <w:lang w:eastAsia="en-AU"/>
        </w:rPr>
        <w:t>d</w:t>
      </w:r>
      <w:r w:rsidRPr="006B0565">
        <w:rPr>
          <w:rFonts w:ascii="Arial Narrow" w:hAnsi="Arial Narrow"/>
          <w:lang w:eastAsia="en-AU"/>
        </w:rPr>
        <w:t xml:space="preserve"> </w:t>
      </w:r>
      <w:r w:rsidR="00F41DC6">
        <w:rPr>
          <w:rFonts w:ascii="Arial Narrow" w:hAnsi="Arial Narrow"/>
          <w:lang w:eastAsia="en-AU"/>
        </w:rPr>
        <w:t>1.5</w:t>
      </w:r>
      <w:r w:rsidRPr="006B0565">
        <w:rPr>
          <w:rFonts w:ascii="Arial Narrow" w:hAnsi="Arial Narrow"/>
          <w:lang w:eastAsia="en-AU"/>
        </w:rPr>
        <w:t xml:space="preserve"> million m</w:t>
      </w:r>
      <w:r w:rsidRPr="006B0565">
        <w:rPr>
          <w:rFonts w:ascii="Arial Narrow" w:hAnsi="Arial Narrow"/>
          <w:vertAlign w:val="superscript"/>
          <w:lang w:eastAsia="en-AU"/>
        </w:rPr>
        <w:t>2</w:t>
      </w:r>
      <w:r w:rsidRPr="006B0565">
        <w:rPr>
          <w:rFonts w:ascii="Arial Narrow" w:hAnsi="Arial Narrow"/>
          <w:lang w:eastAsia="en-AU"/>
        </w:rPr>
        <w:t xml:space="preserve"> of additional floor space </w:t>
      </w:r>
      <w:r w:rsidR="00075197">
        <w:rPr>
          <w:rFonts w:ascii="Arial Narrow" w:hAnsi="Arial Narrow"/>
          <w:lang w:eastAsia="en-AU"/>
        </w:rPr>
        <w:t>being</w:t>
      </w:r>
      <w:r w:rsidRPr="006B0565">
        <w:rPr>
          <w:rFonts w:ascii="Arial Narrow" w:hAnsi="Arial Narrow"/>
          <w:lang w:eastAsia="en-AU"/>
        </w:rPr>
        <w:t xml:space="preserve"> captured by the CBD program if the threshold was reduced to 1,000 m</w:t>
      </w:r>
      <w:r w:rsidRPr="006B0565">
        <w:rPr>
          <w:rFonts w:ascii="Arial Narrow" w:hAnsi="Arial Narrow"/>
          <w:vertAlign w:val="superscript"/>
          <w:lang w:eastAsia="en-AU"/>
        </w:rPr>
        <w:t>2</w:t>
      </w:r>
      <w:r w:rsidR="00CB3EC7" w:rsidRPr="006B0565">
        <w:rPr>
          <w:rFonts w:ascii="Arial Narrow" w:hAnsi="Arial Narrow"/>
          <w:lang w:eastAsia="en-AU"/>
        </w:rPr>
        <w:t>.</w:t>
      </w:r>
      <w:r w:rsidR="00CB3EC7">
        <w:rPr>
          <w:rFonts w:ascii="Arial Narrow" w:hAnsi="Arial Narrow"/>
          <w:lang w:eastAsia="en-AU"/>
        </w:rPr>
        <w:t xml:space="preserve"> </w:t>
      </w:r>
      <w:r w:rsidRPr="00903022">
        <w:rPr>
          <w:rFonts w:ascii="Arial Narrow" w:hAnsi="Arial Narrow"/>
          <w:lang w:eastAsia="en-AU"/>
        </w:rPr>
        <w:t xml:space="preserve">Lowering the disclosure threshold is also expected to result in a further </w:t>
      </w:r>
      <w:r w:rsidR="00F41DC6">
        <w:rPr>
          <w:rFonts w:ascii="Arial Narrow" w:hAnsi="Arial Narrow"/>
          <w:lang w:eastAsia="en-AU"/>
        </w:rPr>
        <w:t>707</w:t>
      </w:r>
      <w:r w:rsidR="006417B2">
        <w:rPr>
          <w:rFonts w:ascii="Arial Narrow" w:hAnsi="Arial Narrow"/>
          <w:lang w:eastAsia="en-AU"/>
        </w:rPr>
        <w:t xml:space="preserve"> </w:t>
      </w:r>
      <w:r w:rsidRPr="00903022">
        <w:rPr>
          <w:rFonts w:ascii="Arial Narrow" w:hAnsi="Arial Narrow"/>
          <w:lang w:eastAsia="en-AU"/>
        </w:rPr>
        <w:t>ktCO</w:t>
      </w:r>
      <w:r w:rsidRPr="00CB66DE">
        <w:rPr>
          <w:rFonts w:ascii="Arial Narrow" w:hAnsi="Arial Narrow"/>
          <w:vertAlign w:val="subscript"/>
          <w:lang w:eastAsia="en-AU"/>
        </w:rPr>
        <w:t>2</w:t>
      </w:r>
      <w:r>
        <w:rPr>
          <w:rFonts w:ascii="Arial Narrow" w:hAnsi="Arial Narrow"/>
          <w:lang w:eastAsia="en-AU"/>
        </w:rPr>
        <w:t>-</w:t>
      </w:r>
      <w:r w:rsidRPr="00903022">
        <w:rPr>
          <w:rFonts w:ascii="Arial Narrow" w:hAnsi="Arial Narrow"/>
          <w:lang w:eastAsia="en-AU"/>
        </w:rPr>
        <w:t xml:space="preserve">e reduction between 2015 and </w:t>
      </w:r>
      <w:r w:rsidR="0095223F" w:rsidRPr="006417B2">
        <w:rPr>
          <w:rFonts w:ascii="Arial Narrow" w:hAnsi="Arial Narrow"/>
          <w:lang w:eastAsia="en-AU"/>
        </w:rPr>
        <w:t>2028</w:t>
      </w:r>
      <w:r w:rsidR="0095223F" w:rsidRPr="00903022">
        <w:rPr>
          <w:rFonts w:ascii="Arial Narrow" w:hAnsi="Arial Narrow"/>
          <w:lang w:eastAsia="en-AU"/>
        </w:rPr>
        <w:t xml:space="preserve"> </w:t>
      </w:r>
      <w:r w:rsidRPr="00903022">
        <w:rPr>
          <w:rFonts w:ascii="Arial Narrow" w:hAnsi="Arial Narrow"/>
          <w:lang w:eastAsia="en-AU"/>
        </w:rPr>
        <w:t>(cumulative).</w:t>
      </w:r>
    </w:p>
    <w:p w14:paraId="3D5ED6CC" w14:textId="77777777" w:rsidR="009133DF" w:rsidRDefault="009133DF" w:rsidP="009133DF">
      <w:pPr>
        <w:spacing w:line="280" w:lineRule="exact"/>
        <w:rPr>
          <w:rFonts w:ascii="Arial Narrow" w:hAnsi="Arial Narrow"/>
          <w:lang w:eastAsia="en-AU"/>
        </w:rPr>
      </w:pPr>
      <w:r>
        <w:rPr>
          <w:rFonts w:ascii="Arial Narrow" w:hAnsi="Arial Narrow"/>
          <w:lang w:eastAsia="en-AU"/>
        </w:rPr>
        <w:t xml:space="preserve">ACIL Allen recommends </w:t>
      </w:r>
      <w:r w:rsidR="00FD41DC">
        <w:rPr>
          <w:rFonts w:ascii="Arial Narrow" w:hAnsi="Arial Narrow"/>
          <w:lang w:eastAsia="en-AU"/>
        </w:rPr>
        <w:t xml:space="preserve">lowering the disclosure threshold to include </w:t>
      </w:r>
      <w:r w:rsidR="00BD5D7D">
        <w:rPr>
          <w:rFonts w:ascii="Arial Narrow" w:hAnsi="Arial Narrow"/>
          <w:lang w:eastAsia="en-AU"/>
        </w:rPr>
        <w:t xml:space="preserve">the </w:t>
      </w:r>
      <w:r w:rsidR="00FD41DC">
        <w:rPr>
          <w:rFonts w:ascii="Arial Narrow" w:hAnsi="Arial Narrow"/>
          <w:lang w:eastAsia="en-AU"/>
        </w:rPr>
        <w:t xml:space="preserve">sale or lease of floor space </w:t>
      </w:r>
      <w:r>
        <w:rPr>
          <w:rFonts w:ascii="Arial Narrow" w:hAnsi="Arial Narrow"/>
          <w:lang w:eastAsia="en-AU"/>
        </w:rPr>
        <w:t>between 1,000m</w:t>
      </w:r>
      <w:r w:rsidRPr="008C0644">
        <w:rPr>
          <w:rFonts w:ascii="Arial Narrow" w:hAnsi="Arial Narrow"/>
          <w:vertAlign w:val="superscript"/>
          <w:lang w:eastAsia="en-AU"/>
        </w:rPr>
        <w:t>2</w:t>
      </w:r>
      <w:r>
        <w:rPr>
          <w:rFonts w:ascii="Arial Narrow" w:hAnsi="Arial Narrow"/>
          <w:lang w:eastAsia="en-AU"/>
        </w:rPr>
        <w:t xml:space="preserve"> and 2,000m</w:t>
      </w:r>
      <w:r w:rsidRPr="008C0644">
        <w:rPr>
          <w:rFonts w:ascii="Arial Narrow" w:hAnsi="Arial Narrow"/>
          <w:vertAlign w:val="superscript"/>
          <w:lang w:eastAsia="en-AU"/>
        </w:rPr>
        <w:t>2</w:t>
      </w:r>
      <w:r>
        <w:rPr>
          <w:rFonts w:ascii="Arial Narrow" w:hAnsi="Arial Narrow"/>
          <w:lang w:eastAsia="en-AU"/>
        </w:rPr>
        <w:t>.</w:t>
      </w:r>
    </w:p>
    <w:p w14:paraId="7A631591" w14:textId="77777777" w:rsidR="009133DF" w:rsidRDefault="009133DF" w:rsidP="009133DF">
      <w:pPr>
        <w:pStyle w:val="ListParagraph"/>
        <w:numPr>
          <w:ilvl w:val="0"/>
          <w:numId w:val="38"/>
        </w:numPr>
        <w:spacing w:line="280" w:lineRule="exact"/>
        <w:rPr>
          <w:rFonts w:ascii="Arial Narrow" w:hAnsi="Arial Narrow"/>
          <w:b/>
          <w:lang w:eastAsia="en-AU"/>
        </w:rPr>
      </w:pPr>
      <w:r>
        <w:rPr>
          <w:rFonts w:ascii="Arial Narrow" w:hAnsi="Arial Narrow"/>
          <w:b/>
          <w:lang w:eastAsia="en-AU"/>
        </w:rPr>
        <w:t>The CBD program should continue to harness opportunities for further process and administrative efficiency improvements.</w:t>
      </w:r>
    </w:p>
    <w:p w14:paraId="463F4420" w14:textId="6AAF1261" w:rsidR="00A42E60" w:rsidRDefault="009133DF" w:rsidP="009133DF">
      <w:pPr>
        <w:spacing w:line="280" w:lineRule="exact"/>
        <w:rPr>
          <w:rFonts w:ascii="Arial Narrow" w:hAnsi="Arial Narrow"/>
          <w:lang w:eastAsia="en-AU"/>
        </w:rPr>
      </w:pPr>
      <w:r>
        <w:rPr>
          <w:rFonts w:ascii="Arial Narrow" w:hAnsi="Arial Narrow"/>
          <w:lang w:eastAsia="en-AU"/>
        </w:rPr>
        <w:t>There are well</w:t>
      </w:r>
      <w:r w:rsidR="00A42E60">
        <w:rPr>
          <w:rFonts w:ascii="Arial Narrow" w:hAnsi="Arial Narrow"/>
          <w:lang w:eastAsia="en-AU"/>
        </w:rPr>
        <w:t>-</w:t>
      </w:r>
      <w:r>
        <w:rPr>
          <w:rFonts w:ascii="Arial Narrow" w:hAnsi="Arial Narrow"/>
          <w:lang w:eastAsia="en-AU"/>
        </w:rPr>
        <w:t>established mechanisms for making ongoing improvements to the CBD program</w:t>
      </w:r>
      <w:r w:rsidR="00CB3EC7" w:rsidRPr="00F4220E">
        <w:rPr>
          <w:rFonts w:ascii="Arial Narrow" w:hAnsi="Arial Narrow"/>
          <w:lang w:eastAsia="en-AU"/>
        </w:rPr>
        <w:t>.</w:t>
      </w:r>
      <w:r w:rsidR="00CB3EC7">
        <w:rPr>
          <w:rFonts w:ascii="Arial Narrow" w:hAnsi="Arial Narrow"/>
          <w:lang w:eastAsia="en-AU"/>
        </w:rPr>
        <w:t xml:space="preserve"> </w:t>
      </w:r>
      <w:r>
        <w:rPr>
          <w:rFonts w:ascii="Arial Narrow" w:hAnsi="Arial Narrow"/>
          <w:lang w:eastAsia="en-AU"/>
        </w:rPr>
        <w:t>These include measures for improving the administrative efficiency of the program and the NABERS assessment process</w:t>
      </w:r>
      <w:r w:rsidR="00CB3EC7">
        <w:rPr>
          <w:rFonts w:ascii="Arial Narrow" w:hAnsi="Arial Narrow"/>
          <w:lang w:eastAsia="en-AU"/>
        </w:rPr>
        <w:t xml:space="preserve">. </w:t>
      </w:r>
      <w:r w:rsidR="00A42E60">
        <w:rPr>
          <w:rFonts w:ascii="Arial Narrow" w:hAnsi="Arial Narrow"/>
          <w:lang w:eastAsia="en-AU"/>
        </w:rPr>
        <w:t>For example, the NSW Office of Environment and Heritage has implemented multiple automatic checks that have streamlined the work of assessors by preventing the most common mistakes found in audits</w:t>
      </w:r>
      <w:r w:rsidR="00CB3EC7">
        <w:rPr>
          <w:rFonts w:ascii="Arial Narrow" w:hAnsi="Arial Narrow"/>
          <w:lang w:eastAsia="en-AU"/>
        </w:rPr>
        <w:t xml:space="preserve">. </w:t>
      </w:r>
      <w:r w:rsidR="00462787">
        <w:rPr>
          <w:rFonts w:ascii="Arial Narrow" w:hAnsi="Arial Narrow"/>
          <w:lang w:eastAsia="en-AU"/>
        </w:rPr>
        <w:t>The Department has also adopted recommendations from a review of the program’s operational efficiency conducted in 2013</w:t>
      </w:r>
      <w:r w:rsidR="002B77C2">
        <w:rPr>
          <w:rFonts w:ascii="Arial Narrow" w:hAnsi="Arial Narrow"/>
          <w:lang w:eastAsia="en-AU"/>
        </w:rPr>
        <w:t>, strengthening requirements for conducting TLAs and improving administrative IT systems</w:t>
      </w:r>
      <w:r w:rsidR="00462787">
        <w:rPr>
          <w:rFonts w:ascii="Arial Narrow" w:hAnsi="Arial Narrow"/>
          <w:lang w:eastAsia="en-AU"/>
        </w:rPr>
        <w:t>.</w:t>
      </w:r>
    </w:p>
    <w:p w14:paraId="0425618F" w14:textId="77777777" w:rsidR="009133DF" w:rsidRDefault="009133DF" w:rsidP="009133DF">
      <w:pPr>
        <w:spacing w:line="280" w:lineRule="exact"/>
        <w:rPr>
          <w:rFonts w:ascii="Arial Narrow" w:hAnsi="Arial Narrow"/>
          <w:lang w:eastAsia="en-AU"/>
        </w:rPr>
      </w:pPr>
      <w:r>
        <w:rPr>
          <w:rFonts w:ascii="Arial Narrow" w:hAnsi="Arial Narrow"/>
          <w:lang w:eastAsia="en-AU"/>
        </w:rPr>
        <w:t xml:space="preserve">ACIL Allen recommends that these </w:t>
      </w:r>
      <w:r w:rsidR="00A42E60">
        <w:rPr>
          <w:rFonts w:ascii="Arial Narrow" w:hAnsi="Arial Narrow"/>
          <w:lang w:eastAsia="en-AU"/>
        </w:rPr>
        <w:t xml:space="preserve">process improvements </w:t>
      </w:r>
      <w:r>
        <w:rPr>
          <w:rFonts w:ascii="Arial Narrow" w:hAnsi="Arial Narrow"/>
          <w:lang w:eastAsia="en-AU"/>
        </w:rPr>
        <w:t>should continue</w:t>
      </w:r>
      <w:r w:rsidR="007B616B">
        <w:rPr>
          <w:rFonts w:ascii="Arial Narrow" w:hAnsi="Arial Narrow"/>
          <w:lang w:eastAsia="en-AU"/>
        </w:rPr>
        <w:t>.</w:t>
      </w:r>
    </w:p>
    <w:p w14:paraId="32BA2EF5" w14:textId="2BA828A6" w:rsidR="0069009F" w:rsidRDefault="0069009F">
      <w:pPr>
        <w:spacing w:before="180" w:after="0" w:line="300" w:lineRule="exact"/>
        <w:rPr>
          <w:rFonts w:ascii="Arial Narrow" w:hAnsi="Arial Narrow"/>
          <w:lang w:eastAsia="en-AU"/>
        </w:rPr>
      </w:pPr>
      <w:r>
        <w:rPr>
          <w:rFonts w:ascii="Arial Narrow" w:hAnsi="Arial Narrow"/>
          <w:lang w:eastAsia="en-AU"/>
        </w:rPr>
        <w:br w:type="page"/>
      </w:r>
    </w:p>
    <w:p w14:paraId="291C6DF0" w14:textId="77777777" w:rsidR="007B616B" w:rsidRDefault="007B616B" w:rsidP="007B616B">
      <w:pPr>
        <w:pStyle w:val="ListParagraph"/>
        <w:numPr>
          <w:ilvl w:val="0"/>
          <w:numId w:val="38"/>
        </w:numPr>
        <w:spacing w:line="280" w:lineRule="exact"/>
        <w:rPr>
          <w:rFonts w:ascii="Arial Narrow" w:hAnsi="Arial Narrow"/>
          <w:b/>
          <w:lang w:eastAsia="en-AU"/>
        </w:rPr>
      </w:pPr>
      <w:r>
        <w:rPr>
          <w:rFonts w:ascii="Arial Narrow" w:hAnsi="Arial Narrow"/>
          <w:b/>
          <w:lang w:eastAsia="en-AU"/>
        </w:rPr>
        <w:lastRenderedPageBreak/>
        <w:t>There are clear opportunities to improve the TLA component of the CBD program.</w:t>
      </w:r>
    </w:p>
    <w:p w14:paraId="42B25280" w14:textId="77777777" w:rsidR="009133DF" w:rsidRPr="00AA08C7" w:rsidRDefault="009133DF" w:rsidP="009133DF">
      <w:pPr>
        <w:keepNext/>
        <w:keepLines/>
        <w:spacing w:line="280" w:lineRule="exact"/>
        <w:rPr>
          <w:rFonts w:ascii="Arial Narrow" w:hAnsi="Arial Narrow"/>
          <w:lang w:eastAsia="en-AU"/>
        </w:rPr>
      </w:pPr>
      <w:r w:rsidRPr="00AA08C7">
        <w:rPr>
          <w:rFonts w:ascii="Arial Narrow" w:hAnsi="Arial Narrow"/>
          <w:lang w:eastAsia="en-AU"/>
        </w:rPr>
        <w:t>ACIL Allen believes that much can be done to accelerate awareness and appreciation of TLA by tenants, and recommends the following:</w:t>
      </w:r>
    </w:p>
    <w:p w14:paraId="4E13C8D3" w14:textId="77777777" w:rsidR="00D1197C" w:rsidRDefault="009133DF" w:rsidP="009133DF">
      <w:pPr>
        <w:keepNext/>
        <w:keepLines/>
        <w:numPr>
          <w:ilvl w:val="0"/>
          <w:numId w:val="30"/>
        </w:numPr>
        <w:spacing w:before="60" w:after="60" w:line="280" w:lineRule="exact"/>
        <w:rPr>
          <w:rFonts w:ascii="Arial Narrow" w:hAnsi="Arial Narrow"/>
          <w:lang w:eastAsia="en-AU"/>
        </w:rPr>
      </w:pPr>
      <w:r w:rsidRPr="006E18E6">
        <w:rPr>
          <w:rFonts w:ascii="Arial Narrow" w:hAnsi="Arial Narrow"/>
          <w:lang w:eastAsia="en-AU"/>
        </w:rPr>
        <w:t>Requiring some information on tenancy lighting performance be provided when advertising for sale or lease</w:t>
      </w:r>
      <w:r w:rsidR="00CB3EC7" w:rsidRPr="006E18E6">
        <w:rPr>
          <w:rFonts w:ascii="Arial Narrow" w:hAnsi="Arial Narrow"/>
          <w:lang w:eastAsia="en-AU"/>
        </w:rPr>
        <w:t>.</w:t>
      </w:r>
    </w:p>
    <w:p w14:paraId="680C15B3" w14:textId="77777777" w:rsidR="00D1197C" w:rsidRDefault="009133DF" w:rsidP="003F5F13">
      <w:pPr>
        <w:pStyle w:val="ListDash2"/>
      </w:pPr>
      <w:r w:rsidRPr="006E18E6">
        <w:t>Where a single functional space is being leased, this could simply be the power density</w:t>
      </w:r>
      <w:r w:rsidR="000036E5">
        <w:rPr>
          <w:rStyle w:val="FootnoteReference"/>
        </w:rPr>
        <w:footnoteReference w:id="8"/>
      </w:r>
      <w:r w:rsidRPr="006E18E6">
        <w:t xml:space="preserve"> and control system capacity for that space</w:t>
      </w:r>
      <w:r w:rsidR="00CB3EC7" w:rsidRPr="006E18E6">
        <w:t>.</w:t>
      </w:r>
    </w:p>
    <w:p w14:paraId="32A96612" w14:textId="77777777" w:rsidR="00D1197C" w:rsidRDefault="009133DF" w:rsidP="003F5F13">
      <w:pPr>
        <w:pStyle w:val="ListDash2"/>
      </w:pPr>
      <w:r w:rsidRPr="006E18E6">
        <w:t>Where a number of functional spaces or the entire building is being sold or leased, an ‘aggregate’ measure will need to be devised that is meaningful and useful to the tenant</w:t>
      </w:r>
      <w:r w:rsidR="00CB3EC7" w:rsidRPr="006E18E6">
        <w:t>.</w:t>
      </w:r>
      <w:r w:rsidR="00CB3EC7">
        <w:t xml:space="preserve"> </w:t>
      </w:r>
      <w:r w:rsidR="00D34032">
        <w:t xml:space="preserve">An aggregate measure is preferred over listing TLA information for all functional spaces </w:t>
      </w:r>
      <w:r w:rsidR="00616065">
        <w:t xml:space="preserve">for simplicity </w:t>
      </w:r>
      <w:r w:rsidR="00D34032">
        <w:t>and because there is limited space in some media, such as billboards</w:t>
      </w:r>
      <w:r w:rsidR="00CB3EC7">
        <w:t xml:space="preserve">. </w:t>
      </w:r>
      <w:r w:rsidRPr="006E18E6">
        <w:t xml:space="preserve">This information should include an indication of the potential ‘dollar difference’ in </w:t>
      </w:r>
      <w:r w:rsidR="00D1197C">
        <w:t xml:space="preserve">lighting </w:t>
      </w:r>
      <w:r w:rsidRPr="006E18E6">
        <w:t xml:space="preserve">operating costs </w:t>
      </w:r>
      <w:r w:rsidR="00D1197C">
        <w:t>between the rated space(s) and an appropriate benchmark</w:t>
      </w:r>
      <w:r w:rsidR="00CB3EC7" w:rsidRPr="006E18E6">
        <w:t>.</w:t>
      </w:r>
    </w:p>
    <w:p w14:paraId="27BD858D" w14:textId="259EE71B" w:rsidR="009133DF" w:rsidRPr="006E18E6" w:rsidRDefault="00D34032" w:rsidP="003F5F13">
      <w:pPr>
        <w:pStyle w:val="ListDash2"/>
      </w:pPr>
      <w:r>
        <w:t xml:space="preserve">Stakeholders </w:t>
      </w:r>
      <w:r w:rsidR="00D1197C">
        <w:t xml:space="preserve">consulted by ACIL Allen </w:t>
      </w:r>
      <w:r>
        <w:t xml:space="preserve">noted </w:t>
      </w:r>
      <w:r w:rsidR="00B65B17">
        <w:t>potential challenges with this proposal inc</w:t>
      </w:r>
      <w:r w:rsidR="000D7871">
        <w:t>l</w:t>
      </w:r>
      <w:r w:rsidR="00B65B17">
        <w:t>ude</w:t>
      </w:r>
      <w:r>
        <w:t xml:space="preserve"> the ability to devise a meaningful aggregate figure, potential confusion with NABERS if star ratings are also used to represent tenancy lighting performance</w:t>
      </w:r>
      <w:r w:rsidR="000D7871">
        <w:t>,</w:t>
      </w:r>
      <w:r>
        <w:t xml:space="preserve"> and </w:t>
      </w:r>
      <w:r w:rsidR="0042454B">
        <w:t>limited understanding of power density by tenants</w:t>
      </w:r>
      <w:r w:rsidR="000D7871">
        <w:t>.</w:t>
      </w:r>
    </w:p>
    <w:p w14:paraId="2CB930DD" w14:textId="77777777" w:rsidR="009133DF" w:rsidRDefault="009133DF" w:rsidP="009133DF">
      <w:pPr>
        <w:numPr>
          <w:ilvl w:val="0"/>
          <w:numId w:val="30"/>
        </w:numPr>
        <w:spacing w:before="60" w:after="60" w:line="280" w:lineRule="exact"/>
        <w:rPr>
          <w:rFonts w:ascii="Arial Narrow" w:hAnsi="Arial Narrow"/>
          <w:lang w:eastAsia="en-AU"/>
        </w:rPr>
      </w:pPr>
      <w:r w:rsidRPr="006E18E6">
        <w:rPr>
          <w:rFonts w:ascii="Arial Narrow" w:hAnsi="Arial Narrow"/>
          <w:lang w:eastAsia="en-AU"/>
        </w:rPr>
        <w:t xml:space="preserve">The TLA certificate should have provision to include a proposed (and binding) commitment of tenancy lighting </w:t>
      </w:r>
      <w:r w:rsidR="00403B8F">
        <w:rPr>
          <w:rFonts w:ascii="Arial Narrow" w:hAnsi="Arial Narrow"/>
          <w:lang w:eastAsia="en-AU"/>
        </w:rPr>
        <w:t>upgrades</w:t>
      </w:r>
      <w:r w:rsidRPr="006E18E6">
        <w:rPr>
          <w:rFonts w:ascii="Arial Narrow" w:hAnsi="Arial Narrow"/>
          <w:lang w:eastAsia="en-AU"/>
        </w:rPr>
        <w:t xml:space="preserve"> for new tenancies</w:t>
      </w:r>
      <w:r w:rsidR="00CB3EC7" w:rsidRPr="006E18E6">
        <w:rPr>
          <w:rFonts w:ascii="Arial Narrow" w:hAnsi="Arial Narrow"/>
          <w:lang w:eastAsia="en-AU"/>
        </w:rPr>
        <w:t>.</w:t>
      </w:r>
      <w:r w:rsidR="00CB3EC7">
        <w:rPr>
          <w:rFonts w:ascii="Arial Narrow" w:hAnsi="Arial Narrow"/>
          <w:lang w:eastAsia="en-AU"/>
        </w:rPr>
        <w:t xml:space="preserve"> </w:t>
      </w:r>
      <w:r w:rsidRPr="006E18E6">
        <w:rPr>
          <w:rFonts w:ascii="Arial Narrow" w:hAnsi="Arial Narrow"/>
          <w:lang w:eastAsia="en-AU"/>
        </w:rPr>
        <w:t>This information should be prominent</w:t>
      </w:r>
      <w:r w:rsidR="00403B8F">
        <w:rPr>
          <w:rFonts w:ascii="Arial Narrow" w:hAnsi="Arial Narrow"/>
          <w:lang w:eastAsia="en-AU"/>
        </w:rPr>
        <w:t>ly displayed</w:t>
      </w:r>
      <w:r w:rsidRPr="006E18E6">
        <w:rPr>
          <w:rFonts w:ascii="Arial Narrow" w:hAnsi="Arial Narrow"/>
          <w:lang w:eastAsia="en-AU"/>
        </w:rPr>
        <w:t xml:space="preserve"> on the TLA certificate.</w:t>
      </w:r>
    </w:p>
    <w:p w14:paraId="09E20E2F" w14:textId="1CAEF143" w:rsidR="00571AA9" w:rsidRPr="006E18E6" w:rsidRDefault="00571AA9" w:rsidP="00B00613">
      <w:pPr>
        <w:spacing w:before="60" w:after="60" w:line="280" w:lineRule="exact"/>
        <w:rPr>
          <w:rFonts w:ascii="Arial Narrow" w:hAnsi="Arial Narrow"/>
          <w:lang w:eastAsia="en-AU"/>
        </w:rPr>
      </w:pPr>
      <w:r>
        <w:rPr>
          <w:rFonts w:ascii="Arial Narrow" w:hAnsi="Arial Narrow"/>
          <w:lang w:eastAsia="en-AU"/>
        </w:rPr>
        <w:t xml:space="preserve">The implementation of these measures to accelerate awareness and appreciation </w:t>
      </w:r>
      <w:r w:rsidR="00E87DF3">
        <w:rPr>
          <w:rFonts w:ascii="Arial Narrow" w:hAnsi="Arial Narrow"/>
          <w:lang w:eastAsia="en-AU"/>
        </w:rPr>
        <w:t xml:space="preserve">of TLA </w:t>
      </w:r>
      <w:r>
        <w:rPr>
          <w:rFonts w:ascii="Arial Narrow" w:hAnsi="Arial Narrow"/>
          <w:lang w:eastAsia="en-AU"/>
        </w:rPr>
        <w:t xml:space="preserve">would result in both costs and benefits. </w:t>
      </w:r>
      <w:r w:rsidR="00E87DF3">
        <w:rPr>
          <w:rFonts w:ascii="Arial Narrow" w:hAnsi="Arial Narrow"/>
          <w:lang w:eastAsia="en-AU"/>
        </w:rPr>
        <w:t>While c</w:t>
      </w:r>
      <w:r>
        <w:rPr>
          <w:rFonts w:ascii="Arial Narrow" w:hAnsi="Arial Narrow"/>
          <w:lang w:eastAsia="en-AU"/>
        </w:rPr>
        <w:t>osts have not been estimate</w:t>
      </w:r>
      <w:r w:rsidR="00777903">
        <w:rPr>
          <w:rFonts w:ascii="Arial Narrow" w:hAnsi="Arial Narrow"/>
          <w:lang w:eastAsia="en-AU"/>
        </w:rPr>
        <w:t>d</w:t>
      </w:r>
      <w:r>
        <w:rPr>
          <w:rFonts w:ascii="Arial Narrow" w:hAnsi="Arial Narrow"/>
          <w:lang w:eastAsia="en-AU"/>
        </w:rPr>
        <w:t xml:space="preserve">, </w:t>
      </w:r>
      <w:r w:rsidR="00E87DF3">
        <w:rPr>
          <w:rFonts w:ascii="Arial Narrow" w:hAnsi="Arial Narrow"/>
          <w:lang w:eastAsia="en-AU"/>
        </w:rPr>
        <w:t>ACIL Allen estimates cumulative benefits</w:t>
      </w:r>
      <w:r w:rsidR="00037AB3">
        <w:rPr>
          <w:rFonts w:ascii="Arial Narrow" w:hAnsi="Arial Narrow"/>
          <w:lang w:eastAsia="en-AU"/>
        </w:rPr>
        <w:t xml:space="preserve"> of </w:t>
      </w:r>
      <w:r>
        <w:rPr>
          <w:rFonts w:ascii="Arial Narrow" w:hAnsi="Arial Narrow"/>
          <w:lang w:eastAsia="en-AU"/>
        </w:rPr>
        <w:t>$4.2</w:t>
      </w:r>
      <w:r w:rsidR="00E87DF3">
        <w:rPr>
          <w:rFonts w:ascii="Arial Narrow" w:hAnsi="Arial Narrow"/>
          <w:lang w:eastAsia="en-AU"/>
        </w:rPr>
        <w:t xml:space="preserve"> </w:t>
      </w:r>
      <w:r>
        <w:rPr>
          <w:rFonts w:ascii="Arial Narrow" w:hAnsi="Arial Narrow"/>
          <w:lang w:eastAsia="en-AU"/>
        </w:rPr>
        <w:t>m</w:t>
      </w:r>
      <w:r w:rsidR="00E87DF3">
        <w:rPr>
          <w:rFonts w:ascii="Arial Narrow" w:hAnsi="Arial Narrow"/>
          <w:lang w:eastAsia="en-AU"/>
        </w:rPr>
        <w:t>illion</w:t>
      </w:r>
      <w:r>
        <w:rPr>
          <w:rFonts w:ascii="Arial Narrow" w:hAnsi="Arial Narrow"/>
          <w:lang w:eastAsia="en-AU"/>
        </w:rPr>
        <w:t>.</w:t>
      </w:r>
    </w:p>
    <w:p w14:paraId="5794626E" w14:textId="77777777" w:rsidR="00761462" w:rsidRDefault="00761462" w:rsidP="00DB0E3E">
      <w:pPr>
        <w:pStyle w:val="SideNote"/>
        <w:framePr w:wrap="around"/>
      </w:pPr>
      <w:r>
        <w:t xml:space="preserve">Extending the validity period of the TLA from one to five years will generate </w:t>
      </w:r>
      <w:r w:rsidR="00FB0C7B">
        <w:t xml:space="preserve">additional </w:t>
      </w:r>
      <w:r>
        <w:t>net benefits</w:t>
      </w:r>
      <w:r w:rsidR="00FB0C7B">
        <w:t xml:space="preserve"> with no </w:t>
      </w:r>
      <w:r w:rsidR="00D06342">
        <w:t xml:space="preserve">adverse </w:t>
      </w:r>
      <w:r w:rsidR="00FB0C7B">
        <w:t xml:space="preserve">impact </w:t>
      </w:r>
      <w:r w:rsidR="00FB0836">
        <w:t>on</w:t>
      </w:r>
      <w:r w:rsidR="00FB0C7B">
        <w:t xml:space="preserve"> </w:t>
      </w:r>
      <w:r w:rsidR="00FB0836">
        <w:t xml:space="preserve">energy efficiency </w:t>
      </w:r>
      <w:r w:rsidR="00FB0C7B">
        <w:t>outcomes</w:t>
      </w:r>
      <w:r>
        <w:t>.</w:t>
      </w:r>
    </w:p>
    <w:p w14:paraId="7290EF1F" w14:textId="77777777" w:rsidR="009133DF" w:rsidRPr="006E18E6" w:rsidRDefault="009133DF" w:rsidP="009133DF">
      <w:pPr>
        <w:spacing w:line="280" w:lineRule="exact"/>
        <w:rPr>
          <w:rFonts w:ascii="Arial Narrow" w:hAnsi="Arial Narrow"/>
          <w:lang w:eastAsia="en-AU"/>
        </w:rPr>
      </w:pPr>
      <w:r w:rsidRPr="006E18E6">
        <w:rPr>
          <w:rFonts w:ascii="Arial Narrow" w:hAnsi="Arial Narrow"/>
          <w:lang w:eastAsia="en-AU"/>
        </w:rPr>
        <w:t>ACIL Allen also believes that the validity period for the TLA should be extended from one year to five years</w:t>
      </w:r>
      <w:r w:rsidR="00CB3EC7" w:rsidRPr="006E18E6">
        <w:rPr>
          <w:rFonts w:ascii="Arial Narrow" w:hAnsi="Arial Narrow"/>
          <w:lang w:eastAsia="en-AU"/>
        </w:rPr>
        <w:t>.</w:t>
      </w:r>
      <w:r w:rsidR="00CB3EC7">
        <w:rPr>
          <w:rFonts w:ascii="Arial Narrow" w:hAnsi="Arial Narrow"/>
          <w:lang w:eastAsia="en-AU"/>
        </w:rPr>
        <w:t xml:space="preserve"> </w:t>
      </w:r>
      <w:r w:rsidRPr="006E18E6">
        <w:rPr>
          <w:rFonts w:ascii="Arial Narrow" w:hAnsi="Arial Narrow"/>
          <w:lang w:eastAsia="en-AU"/>
        </w:rPr>
        <w:t>This is because tenancy lighting performance is unlikely to change unless lighting systems are changed, which generally only occurs during a period of vacancy prior to a new tenant occupying the space</w:t>
      </w:r>
      <w:r w:rsidR="00CB3EC7" w:rsidRPr="006E18E6">
        <w:rPr>
          <w:rFonts w:ascii="Arial Narrow" w:hAnsi="Arial Narrow"/>
          <w:lang w:eastAsia="en-AU"/>
        </w:rPr>
        <w:t>.</w:t>
      </w:r>
      <w:r w:rsidR="00CB3EC7">
        <w:rPr>
          <w:rFonts w:ascii="Arial Narrow" w:hAnsi="Arial Narrow"/>
          <w:lang w:eastAsia="en-AU"/>
        </w:rPr>
        <w:t xml:space="preserve"> </w:t>
      </w:r>
      <w:r w:rsidRPr="006E18E6">
        <w:rPr>
          <w:rFonts w:ascii="Arial Narrow" w:hAnsi="Arial Narrow"/>
          <w:lang w:eastAsia="en-AU"/>
        </w:rPr>
        <w:t>Therefore, requiring building owners who wish to maintain an up</w:t>
      </w:r>
      <w:r w:rsidR="00403B8F">
        <w:rPr>
          <w:rFonts w:ascii="Arial Narrow" w:hAnsi="Arial Narrow"/>
          <w:lang w:eastAsia="en-AU"/>
        </w:rPr>
        <w:t>-</w:t>
      </w:r>
      <w:r w:rsidRPr="006E18E6">
        <w:rPr>
          <w:rFonts w:ascii="Arial Narrow" w:hAnsi="Arial Narrow"/>
          <w:lang w:eastAsia="en-AU"/>
        </w:rPr>
        <w:t>to</w:t>
      </w:r>
      <w:r w:rsidR="00403B8F">
        <w:rPr>
          <w:rFonts w:ascii="Arial Narrow" w:hAnsi="Arial Narrow"/>
          <w:lang w:eastAsia="en-AU"/>
        </w:rPr>
        <w:t>-</w:t>
      </w:r>
      <w:r w:rsidRPr="006E18E6">
        <w:rPr>
          <w:rFonts w:ascii="Arial Narrow" w:hAnsi="Arial Narrow"/>
          <w:lang w:eastAsia="en-AU"/>
        </w:rPr>
        <w:t>date BEEC to re-assess lighting systems annually imposes an unnecessary cost on them.</w:t>
      </w:r>
    </w:p>
    <w:p w14:paraId="3D327E4F" w14:textId="4FCBFEF0" w:rsidR="009133DF" w:rsidRDefault="009133DF" w:rsidP="009133DF">
      <w:pPr>
        <w:spacing w:line="280" w:lineRule="exact"/>
        <w:rPr>
          <w:rFonts w:ascii="Arial Narrow" w:hAnsi="Arial Narrow"/>
          <w:lang w:eastAsia="en-AU"/>
        </w:rPr>
      </w:pPr>
      <w:r w:rsidRPr="006E18E6">
        <w:rPr>
          <w:rFonts w:ascii="Arial Narrow" w:hAnsi="Arial Narrow"/>
          <w:lang w:eastAsia="en-AU"/>
        </w:rPr>
        <w:t>ACIL Allen’s analysis suggests that an extension of the validity period from one year to five years increases the net benefits of the TLA by approximately $2 million</w:t>
      </w:r>
      <w:r w:rsidR="000036E5">
        <w:rPr>
          <w:rStyle w:val="FootnoteReference"/>
          <w:lang w:eastAsia="en-AU"/>
        </w:rPr>
        <w:footnoteReference w:id="9"/>
      </w:r>
      <w:r w:rsidRPr="006E18E6">
        <w:rPr>
          <w:rFonts w:ascii="Arial Narrow" w:hAnsi="Arial Narrow"/>
          <w:lang w:eastAsia="en-AU"/>
        </w:rPr>
        <w:t>.</w:t>
      </w:r>
      <w:r w:rsidR="002B77C2">
        <w:rPr>
          <w:rFonts w:ascii="Arial Narrow" w:hAnsi="Arial Narrow"/>
          <w:lang w:eastAsia="en-AU"/>
        </w:rPr>
        <w:t xml:space="preserve"> It also represents a reduction in regulatory burden for owners of disclosure-affected buildings.</w:t>
      </w:r>
    </w:p>
    <w:p w14:paraId="552474E4" w14:textId="77777777" w:rsidR="00B91ECA" w:rsidRPr="006E18E6" w:rsidRDefault="00B91ECA" w:rsidP="0069009F">
      <w:pPr>
        <w:pStyle w:val="Heading1nonumber"/>
      </w:pPr>
      <w:r>
        <w:t>Summary of results</w:t>
      </w:r>
    </w:p>
    <w:p w14:paraId="72A520A6" w14:textId="77777777" w:rsidR="00CC41A6" w:rsidRDefault="006E1099">
      <w:pPr>
        <w:pStyle w:val="BodyText"/>
      </w:pPr>
      <w:r>
        <w:t xml:space="preserve">The results from </w:t>
      </w:r>
      <w:r w:rsidR="0057632B">
        <w:t>ACIL Allen’s</w:t>
      </w:r>
      <w:r>
        <w:t xml:space="preserve"> analysis of the benefits of the CBD program to date and the benefits going forward </w:t>
      </w:r>
      <w:r w:rsidR="00F0253A">
        <w:t xml:space="preserve">are </w:t>
      </w:r>
      <w:r>
        <w:t xml:space="preserve">summarised in </w:t>
      </w:r>
      <w:r w:rsidR="00492194">
        <w:fldChar w:fldCharType="begin"/>
      </w:r>
      <w:r w:rsidR="00F0253A">
        <w:instrText xml:space="preserve"> REF _Ref414262564 \h </w:instrText>
      </w:r>
      <w:r w:rsidR="00492194">
        <w:fldChar w:fldCharType="separate"/>
      </w:r>
      <w:r w:rsidR="006A273E">
        <w:t xml:space="preserve">Table ES </w:t>
      </w:r>
      <w:r w:rsidR="006A273E">
        <w:rPr>
          <w:noProof/>
        </w:rPr>
        <w:t>1</w:t>
      </w:r>
      <w:r w:rsidR="00492194">
        <w:fldChar w:fldCharType="end"/>
      </w:r>
      <w:r>
        <w:t>.</w:t>
      </w:r>
    </w:p>
    <w:p w14:paraId="43E267A2" w14:textId="0C073824" w:rsidR="006E1099" w:rsidRPr="00857D65" w:rsidRDefault="006E1099" w:rsidP="003F5F13">
      <w:pPr>
        <w:pStyle w:val="Caption"/>
        <w:ind w:left="-1701"/>
        <w:rPr>
          <w:rStyle w:val="CaptionLabel"/>
          <w:rFonts w:asciiTheme="minorHAnsi" w:hAnsiTheme="minorHAnsi" w:cs="Times New Roman"/>
          <w:sz w:val="22"/>
          <w:szCs w:val="22"/>
          <w:lang w:eastAsia="en-AU"/>
        </w:rPr>
      </w:pPr>
      <w:bookmarkStart w:id="3" w:name="_Ref414262564"/>
      <w:r>
        <w:lastRenderedPageBreak/>
        <w:t xml:space="preserve">Table ES </w:t>
      </w:r>
      <w:r w:rsidR="00492194">
        <w:fldChar w:fldCharType="begin"/>
      </w:r>
      <w:r w:rsidR="0044208C">
        <w:instrText xml:space="preserve"> SEQ Table_ES \* ARABIC </w:instrText>
      </w:r>
      <w:r w:rsidR="00492194">
        <w:fldChar w:fldCharType="separate"/>
      </w:r>
      <w:r w:rsidR="006A273E">
        <w:rPr>
          <w:noProof/>
        </w:rPr>
        <w:t>1</w:t>
      </w:r>
      <w:r w:rsidR="00492194">
        <w:rPr>
          <w:noProof/>
        </w:rPr>
        <w:fldChar w:fldCharType="end"/>
      </w:r>
      <w:bookmarkEnd w:id="3"/>
      <w:r w:rsidRPr="00F36917">
        <w:tab/>
      </w:r>
      <w:r w:rsidR="00A904CD">
        <w:t xml:space="preserve"> </w:t>
      </w:r>
      <w:r w:rsidR="00F0253A">
        <w:rPr>
          <w:rStyle w:val="CaptionLabel"/>
        </w:rPr>
        <w:t>Summary of benefits of the CBD program</w:t>
      </w:r>
    </w:p>
    <w:tbl>
      <w:tblPr>
        <w:tblStyle w:val="ACILAllenTable"/>
        <w:tblW w:w="10172" w:type="dxa"/>
        <w:tblInd w:w="-2551" w:type="dxa"/>
        <w:tblLook w:val="04A0" w:firstRow="1" w:lastRow="0" w:firstColumn="1" w:lastColumn="0" w:noHBand="0" w:noVBand="1"/>
        <w:tblCaption w:val="Summary of benefits of the CBD program"/>
        <w:tblDescription w:val="Summary of backward and forward looking economic, energy and greenhouse gas benefits."/>
      </w:tblPr>
      <w:tblGrid>
        <w:gridCol w:w="2517"/>
        <w:gridCol w:w="1913"/>
        <w:gridCol w:w="1914"/>
        <w:gridCol w:w="1914"/>
        <w:gridCol w:w="1914"/>
      </w:tblGrid>
      <w:tr w:rsidR="00966E85" w14:paraId="5A624491" w14:textId="77777777" w:rsidTr="00CF4527">
        <w:trPr>
          <w:cnfStyle w:val="100000000000" w:firstRow="1" w:lastRow="0" w:firstColumn="0" w:lastColumn="0" w:oddVBand="0" w:evenVBand="0" w:oddHBand="0" w:evenHBand="0" w:firstRowFirstColumn="0" w:firstRowLastColumn="0" w:lastRowFirstColumn="0" w:lastRowLastColumn="0"/>
          <w:tblHeader/>
        </w:trPr>
        <w:tc>
          <w:tcPr>
            <w:tcW w:w="2517" w:type="dxa"/>
          </w:tcPr>
          <w:p w14:paraId="5FAE77E8" w14:textId="77777777" w:rsidR="006E1099" w:rsidRDefault="00F0253A" w:rsidP="003F5F13">
            <w:pPr>
              <w:pStyle w:val="Tablecolumnheadings"/>
            </w:pPr>
            <w:r>
              <w:t>Analysis conducted</w:t>
            </w:r>
          </w:p>
        </w:tc>
        <w:tc>
          <w:tcPr>
            <w:tcW w:w="1913" w:type="dxa"/>
          </w:tcPr>
          <w:p w14:paraId="433AF91D" w14:textId="77777777" w:rsidR="006E1099" w:rsidRDefault="006E1099" w:rsidP="003F5F13">
            <w:pPr>
              <w:pStyle w:val="Tablecolumnheadings"/>
            </w:pPr>
            <w:r>
              <w:t xml:space="preserve">Estimated economic benefit </w:t>
            </w:r>
            <w:r w:rsidR="00365D40">
              <w:t xml:space="preserve">excluding </w:t>
            </w:r>
            <w:r>
              <w:t>GHG reductions (NPV $m)</w:t>
            </w:r>
          </w:p>
        </w:tc>
        <w:tc>
          <w:tcPr>
            <w:tcW w:w="1914" w:type="dxa"/>
          </w:tcPr>
          <w:p w14:paraId="4873B4B6" w14:textId="77777777" w:rsidR="006E1099" w:rsidRDefault="006E1099" w:rsidP="003F5F13">
            <w:pPr>
              <w:pStyle w:val="Tablecolumnheadings"/>
            </w:pPr>
            <w:r>
              <w:t xml:space="preserve">Estimated economic benefit </w:t>
            </w:r>
            <w:r w:rsidR="00365D40">
              <w:t xml:space="preserve">including </w:t>
            </w:r>
            <w:r>
              <w:t>GHG reductions (NPV $m)</w:t>
            </w:r>
          </w:p>
        </w:tc>
        <w:tc>
          <w:tcPr>
            <w:tcW w:w="1914" w:type="dxa"/>
          </w:tcPr>
          <w:p w14:paraId="19E88888" w14:textId="77777777" w:rsidR="006E1099" w:rsidRDefault="006E1099" w:rsidP="003F5F13">
            <w:pPr>
              <w:pStyle w:val="Tablecolumnheadings"/>
            </w:pPr>
            <w:r>
              <w:t>Reduction in end use energy consumption (cumulative TJ)</w:t>
            </w:r>
          </w:p>
        </w:tc>
        <w:tc>
          <w:tcPr>
            <w:tcW w:w="1914" w:type="dxa"/>
          </w:tcPr>
          <w:p w14:paraId="08CA77CA" w14:textId="1B5FF64A" w:rsidR="006E1099" w:rsidRDefault="006E1099" w:rsidP="003F5F13">
            <w:pPr>
              <w:pStyle w:val="Tablecolumnheadings"/>
            </w:pPr>
            <w:r>
              <w:t xml:space="preserve">Reduction in GHG emissions (cumulative </w:t>
            </w:r>
            <w:r w:rsidR="00276C7C">
              <w:t>kt</w:t>
            </w:r>
            <w:r>
              <w:t>CO</w:t>
            </w:r>
            <w:r w:rsidRPr="003F5F13">
              <w:rPr>
                <w:vertAlign w:val="subscript"/>
              </w:rPr>
              <w:t>2</w:t>
            </w:r>
            <w:r>
              <w:t>-e)</w:t>
            </w:r>
          </w:p>
        </w:tc>
      </w:tr>
      <w:tr w:rsidR="00A175B3" w14:paraId="41EC3B2D" w14:textId="77777777">
        <w:tc>
          <w:tcPr>
            <w:tcW w:w="2517" w:type="dxa"/>
            <w:shd w:val="clear" w:color="auto" w:fill="D9D9D9" w:themeFill="background1" w:themeFillShade="D9"/>
          </w:tcPr>
          <w:p w14:paraId="06ED53C2" w14:textId="77777777" w:rsidR="00A175B3" w:rsidRPr="003F5F13" w:rsidRDefault="00A175B3" w:rsidP="00DD62FB">
            <w:pPr>
              <w:pStyle w:val="Tabletext"/>
              <w:rPr>
                <w:b/>
              </w:rPr>
            </w:pPr>
            <w:r w:rsidRPr="003F5F13">
              <w:rPr>
                <w:b/>
              </w:rPr>
              <w:t>Backward</w:t>
            </w:r>
            <w:r w:rsidR="00870DDE">
              <w:rPr>
                <w:b/>
              </w:rPr>
              <w:t>-</w:t>
            </w:r>
            <w:r w:rsidRPr="003F5F13">
              <w:rPr>
                <w:b/>
              </w:rPr>
              <w:t>looking</w:t>
            </w:r>
          </w:p>
        </w:tc>
        <w:tc>
          <w:tcPr>
            <w:tcW w:w="1913" w:type="dxa"/>
            <w:shd w:val="clear" w:color="auto" w:fill="D9D9D9" w:themeFill="background1" w:themeFillShade="D9"/>
          </w:tcPr>
          <w:p w14:paraId="59B2EE3A" w14:textId="77777777" w:rsidR="00A175B3" w:rsidRDefault="00A175B3" w:rsidP="00841444">
            <w:pPr>
              <w:pStyle w:val="Tabletext"/>
            </w:pPr>
          </w:p>
        </w:tc>
        <w:tc>
          <w:tcPr>
            <w:tcW w:w="1914" w:type="dxa"/>
            <w:shd w:val="clear" w:color="auto" w:fill="D9D9D9" w:themeFill="background1" w:themeFillShade="D9"/>
          </w:tcPr>
          <w:p w14:paraId="4069FC1D" w14:textId="77777777" w:rsidR="00A175B3" w:rsidRDefault="00A175B3" w:rsidP="00841444">
            <w:pPr>
              <w:pStyle w:val="Tabletext"/>
            </w:pPr>
          </w:p>
        </w:tc>
        <w:tc>
          <w:tcPr>
            <w:tcW w:w="1914" w:type="dxa"/>
            <w:shd w:val="clear" w:color="auto" w:fill="D9D9D9" w:themeFill="background1" w:themeFillShade="D9"/>
          </w:tcPr>
          <w:p w14:paraId="3CF9C498" w14:textId="77777777" w:rsidR="00A175B3" w:rsidRDefault="00A175B3" w:rsidP="00841444">
            <w:pPr>
              <w:pStyle w:val="Tabletext"/>
            </w:pPr>
          </w:p>
        </w:tc>
        <w:tc>
          <w:tcPr>
            <w:tcW w:w="1914" w:type="dxa"/>
            <w:shd w:val="clear" w:color="auto" w:fill="D9D9D9" w:themeFill="background1" w:themeFillShade="D9"/>
          </w:tcPr>
          <w:p w14:paraId="54F7CFD0" w14:textId="77777777" w:rsidR="00A175B3" w:rsidRDefault="00A175B3" w:rsidP="00841444">
            <w:pPr>
              <w:pStyle w:val="Tabletext"/>
            </w:pPr>
          </w:p>
        </w:tc>
      </w:tr>
      <w:tr w:rsidR="006E1099" w14:paraId="353B0005" w14:textId="77777777">
        <w:tc>
          <w:tcPr>
            <w:tcW w:w="2517" w:type="dxa"/>
          </w:tcPr>
          <w:p w14:paraId="1EA6F44F" w14:textId="59611038" w:rsidR="006E1099" w:rsidRDefault="00207DCB" w:rsidP="004D060B">
            <w:pPr>
              <w:pStyle w:val="Tabletext"/>
            </w:pPr>
            <w:r>
              <w:t>Net b</w:t>
            </w:r>
            <w:r w:rsidR="00F0253A">
              <w:t>enefits to date (2010 to 2014)</w:t>
            </w:r>
          </w:p>
        </w:tc>
        <w:tc>
          <w:tcPr>
            <w:tcW w:w="1913" w:type="dxa"/>
          </w:tcPr>
          <w:p w14:paraId="05F72EB4" w14:textId="77777777" w:rsidR="006E1099" w:rsidRDefault="00C74BC7" w:rsidP="003F5F13">
            <w:pPr>
              <w:pStyle w:val="Tabletext"/>
              <w:jc w:val="center"/>
            </w:pPr>
            <w:r>
              <w:t>$</w:t>
            </w:r>
            <w:r w:rsidR="001345A2">
              <w:t>15</w:t>
            </w:r>
            <w:r>
              <w:t>.</w:t>
            </w:r>
            <w:r w:rsidR="001345A2">
              <w:t>4</w:t>
            </w:r>
          </w:p>
        </w:tc>
        <w:tc>
          <w:tcPr>
            <w:tcW w:w="1914" w:type="dxa"/>
          </w:tcPr>
          <w:p w14:paraId="76C7651C" w14:textId="77777777" w:rsidR="006E1099" w:rsidRDefault="001345A2" w:rsidP="003F5F13">
            <w:pPr>
              <w:pStyle w:val="Tabletext"/>
              <w:jc w:val="center"/>
            </w:pPr>
            <w:r>
              <w:t>$44.0</w:t>
            </w:r>
          </w:p>
        </w:tc>
        <w:tc>
          <w:tcPr>
            <w:tcW w:w="1914" w:type="dxa"/>
          </w:tcPr>
          <w:p w14:paraId="5A7EEC70" w14:textId="77777777" w:rsidR="006E1099" w:rsidRDefault="001345A2" w:rsidP="003F5F13">
            <w:pPr>
              <w:pStyle w:val="Tabletext"/>
              <w:jc w:val="center"/>
            </w:pPr>
            <w:r>
              <w:t>10,020</w:t>
            </w:r>
          </w:p>
        </w:tc>
        <w:tc>
          <w:tcPr>
            <w:tcW w:w="1914" w:type="dxa"/>
          </w:tcPr>
          <w:p w14:paraId="52417BE6" w14:textId="77777777" w:rsidR="006E1099" w:rsidRDefault="001345A2" w:rsidP="003F5F13">
            <w:pPr>
              <w:pStyle w:val="Tabletext"/>
              <w:jc w:val="center"/>
            </w:pPr>
            <w:r>
              <w:t>2,051</w:t>
            </w:r>
          </w:p>
        </w:tc>
      </w:tr>
      <w:tr w:rsidR="00A175B3" w14:paraId="17FF2115" w14:textId="77777777">
        <w:tc>
          <w:tcPr>
            <w:tcW w:w="2517" w:type="dxa"/>
            <w:shd w:val="clear" w:color="auto" w:fill="D9D9D9" w:themeFill="background1" w:themeFillShade="D9"/>
          </w:tcPr>
          <w:p w14:paraId="337C9503" w14:textId="77777777" w:rsidR="00A175B3" w:rsidRPr="003F5F13" w:rsidRDefault="00A175B3" w:rsidP="00DD62FB">
            <w:pPr>
              <w:pStyle w:val="Tabletext"/>
              <w:rPr>
                <w:b/>
              </w:rPr>
            </w:pPr>
            <w:r w:rsidRPr="003F5F13">
              <w:rPr>
                <w:b/>
              </w:rPr>
              <w:t>Forward</w:t>
            </w:r>
            <w:r w:rsidR="00870DDE">
              <w:rPr>
                <w:b/>
              </w:rPr>
              <w:t>-</w:t>
            </w:r>
            <w:r w:rsidRPr="003F5F13">
              <w:rPr>
                <w:b/>
              </w:rPr>
              <w:t>looking</w:t>
            </w:r>
          </w:p>
        </w:tc>
        <w:tc>
          <w:tcPr>
            <w:tcW w:w="1913" w:type="dxa"/>
            <w:shd w:val="clear" w:color="auto" w:fill="D9D9D9" w:themeFill="background1" w:themeFillShade="D9"/>
          </w:tcPr>
          <w:p w14:paraId="4D6D5BB9" w14:textId="77777777" w:rsidR="00A175B3" w:rsidRDefault="00A175B3" w:rsidP="00841444">
            <w:pPr>
              <w:pStyle w:val="Tabletext"/>
            </w:pPr>
          </w:p>
        </w:tc>
        <w:tc>
          <w:tcPr>
            <w:tcW w:w="1914" w:type="dxa"/>
            <w:shd w:val="clear" w:color="auto" w:fill="D9D9D9" w:themeFill="background1" w:themeFillShade="D9"/>
          </w:tcPr>
          <w:p w14:paraId="7764948E" w14:textId="77777777" w:rsidR="00A175B3" w:rsidRDefault="00A175B3" w:rsidP="00841444">
            <w:pPr>
              <w:pStyle w:val="Tabletext"/>
            </w:pPr>
          </w:p>
        </w:tc>
        <w:tc>
          <w:tcPr>
            <w:tcW w:w="1914" w:type="dxa"/>
            <w:shd w:val="clear" w:color="auto" w:fill="D9D9D9" w:themeFill="background1" w:themeFillShade="D9"/>
          </w:tcPr>
          <w:p w14:paraId="68A40F4F" w14:textId="77777777" w:rsidR="00A175B3" w:rsidRDefault="00A175B3" w:rsidP="00841444">
            <w:pPr>
              <w:pStyle w:val="Tabletext"/>
            </w:pPr>
          </w:p>
        </w:tc>
        <w:tc>
          <w:tcPr>
            <w:tcW w:w="1914" w:type="dxa"/>
            <w:shd w:val="clear" w:color="auto" w:fill="D9D9D9" w:themeFill="background1" w:themeFillShade="D9"/>
          </w:tcPr>
          <w:p w14:paraId="78EC301F" w14:textId="77777777" w:rsidR="00A175B3" w:rsidRDefault="00A175B3" w:rsidP="00841444">
            <w:pPr>
              <w:pStyle w:val="Tabletext"/>
            </w:pPr>
          </w:p>
        </w:tc>
      </w:tr>
      <w:tr w:rsidR="002C33D3" w14:paraId="07710D2F" w14:textId="77777777">
        <w:tc>
          <w:tcPr>
            <w:tcW w:w="2517" w:type="dxa"/>
          </w:tcPr>
          <w:p w14:paraId="1E8A5033" w14:textId="0C72F99F" w:rsidR="002C33D3" w:rsidRDefault="00207DCB" w:rsidP="004D060B">
            <w:pPr>
              <w:pStyle w:val="Tabletext"/>
            </w:pPr>
            <w:r>
              <w:t>Net b</w:t>
            </w:r>
            <w:r w:rsidR="002C33D3">
              <w:t>enefits of continuing NABERS component of the program (2015 to 2019)</w:t>
            </w:r>
          </w:p>
        </w:tc>
        <w:tc>
          <w:tcPr>
            <w:tcW w:w="1913" w:type="dxa"/>
            <w:vAlign w:val="center"/>
          </w:tcPr>
          <w:p w14:paraId="3B337A36" w14:textId="29455F34" w:rsidR="002C33D3" w:rsidRDefault="00276C7C" w:rsidP="003F5F13">
            <w:pPr>
              <w:pStyle w:val="Tabletext"/>
              <w:jc w:val="center"/>
            </w:pPr>
            <w:r>
              <w:t>$53.3</w:t>
            </w:r>
          </w:p>
        </w:tc>
        <w:tc>
          <w:tcPr>
            <w:tcW w:w="1914" w:type="dxa"/>
            <w:vAlign w:val="center"/>
          </w:tcPr>
          <w:p w14:paraId="40E4409C" w14:textId="7DA17062" w:rsidR="002C33D3" w:rsidRDefault="00276C7C" w:rsidP="003F5F13">
            <w:pPr>
              <w:pStyle w:val="Tabletext"/>
              <w:jc w:val="center"/>
            </w:pPr>
            <w:r>
              <w:t>$76.0</w:t>
            </w:r>
          </w:p>
        </w:tc>
        <w:tc>
          <w:tcPr>
            <w:tcW w:w="1914" w:type="dxa"/>
            <w:vAlign w:val="center"/>
          </w:tcPr>
          <w:p w14:paraId="0F8F7618" w14:textId="73BC328C" w:rsidR="002C33D3" w:rsidRDefault="00276C7C" w:rsidP="003F5F13">
            <w:pPr>
              <w:pStyle w:val="Tabletext"/>
              <w:jc w:val="center"/>
            </w:pPr>
            <w:r>
              <w:t>12,122</w:t>
            </w:r>
          </w:p>
        </w:tc>
        <w:tc>
          <w:tcPr>
            <w:tcW w:w="1914" w:type="dxa"/>
            <w:vAlign w:val="center"/>
          </w:tcPr>
          <w:p w14:paraId="0DB22CE5" w14:textId="476A0EB3" w:rsidR="002C33D3" w:rsidRDefault="00276C7C" w:rsidP="004D060B">
            <w:pPr>
              <w:pStyle w:val="Tabletext"/>
              <w:jc w:val="center"/>
            </w:pPr>
            <w:r>
              <w:t>2,504</w:t>
            </w:r>
          </w:p>
        </w:tc>
      </w:tr>
      <w:tr w:rsidR="002C33D3" w14:paraId="62A013DF" w14:textId="77777777">
        <w:tc>
          <w:tcPr>
            <w:tcW w:w="2517" w:type="dxa"/>
          </w:tcPr>
          <w:p w14:paraId="095F210C" w14:textId="6F2945DF" w:rsidR="002C33D3" w:rsidRDefault="00207DCB" w:rsidP="004D060B">
            <w:pPr>
              <w:pStyle w:val="Tabletext"/>
            </w:pPr>
            <w:r>
              <w:t>Net b</w:t>
            </w:r>
            <w:r w:rsidR="002C33D3">
              <w:t>enefits of continuing TLA component of the program (2015 to 2019)</w:t>
            </w:r>
          </w:p>
        </w:tc>
        <w:tc>
          <w:tcPr>
            <w:tcW w:w="1913" w:type="dxa"/>
            <w:vAlign w:val="center"/>
          </w:tcPr>
          <w:p w14:paraId="21837C04" w14:textId="65620D34" w:rsidR="002C33D3" w:rsidRDefault="00276C7C" w:rsidP="003F5F13">
            <w:pPr>
              <w:pStyle w:val="Tabletext"/>
              <w:jc w:val="center"/>
            </w:pPr>
            <w:r>
              <w:t>-$3.9</w:t>
            </w:r>
          </w:p>
        </w:tc>
        <w:tc>
          <w:tcPr>
            <w:tcW w:w="1914" w:type="dxa"/>
            <w:vAlign w:val="center"/>
          </w:tcPr>
          <w:p w14:paraId="4C3967D4" w14:textId="35616067" w:rsidR="002C33D3" w:rsidRDefault="00276C7C" w:rsidP="003F5F13">
            <w:pPr>
              <w:pStyle w:val="Tabletext"/>
              <w:jc w:val="center"/>
            </w:pPr>
            <w:r>
              <w:t>$6.9</w:t>
            </w:r>
          </w:p>
        </w:tc>
        <w:tc>
          <w:tcPr>
            <w:tcW w:w="1914" w:type="dxa"/>
            <w:vAlign w:val="center"/>
          </w:tcPr>
          <w:p w14:paraId="51511E6C" w14:textId="15EC0A9D" w:rsidR="002C33D3" w:rsidRDefault="00276C7C" w:rsidP="003F5F13">
            <w:pPr>
              <w:pStyle w:val="Tabletext"/>
              <w:jc w:val="center"/>
            </w:pPr>
            <w:r>
              <w:t>2,444</w:t>
            </w:r>
          </w:p>
        </w:tc>
        <w:tc>
          <w:tcPr>
            <w:tcW w:w="1914" w:type="dxa"/>
            <w:vAlign w:val="center"/>
          </w:tcPr>
          <w:p w14:paraId="3008F4B2" w14:textId="4AC2C544" w:rsidR="002C33D3" w:rsidRDefault="00276C7C" w:rsidP="003F5F13">
            <w:pPr>
              <w:pStyle w:val="Tabletext"/>
              <w:jc w:val="center"/>
            </w:pPr>
            <w:r>
              <w:t>612</w:t>
            </w:r>
          </w:p>
        </w:tc>
      </w:tr>
      <w:tr w:rsidR="006E1099" w14:paraId="565CAEB2" w14:textId="77777777">
        <w:tc>
          <w:tcPr>
            <w:tcW w:w="2517" w:type="dxa"/>
          </w:tcPr>
          <w:p w14:paraId="31A4D402" w14:textId="7BB80D48" w:rsidR="006E1099" w:rsidRPr="00804504" w:rsidRDefault="002C33D3" w:rsidP="00841444">
            <w:pPr>
              <w:pStyle w:val="Tabletext"/>
              <w:rPr>
                <w:b/>
              </w:rPr>
            </w:pPr>
            <w:r w:rsidRPr="00804504">
              <w:rPr>
                <w:b/>
              </w:rPr>
              <w:t xml:space="preserve">Total </w:t>
            </w:r>
            <w:r w:rsidR="00207DCB">
              <w:rPr>
                <w:b/>
              </w:rPr>
              <w:t xml:space="preserve">net </w:t>
            </w:r>
            <w:r w:rsidRPr="00804504">
              <w:rPr>
                <w:b/>
              </w:rPr>
              <w:t>b</w:t>
            </w:r>
            <w:r w:rsidR="00F0253A" w:rsidRPr="00804504">
              <w:rPr>
                <w:b/>
              </w:rPr>
              <w:t>enefits of continuing program</w:t>
            </w:r>
            <w:r w:rsidRPr="00804504">
              <w:rPr>
                <w:b/>
              </w:rPr>
              <w:t xml:space="preserve"> in its present form</w:t>
            </w:r>
            <w:r w:rsidR="00F0253A" w:rsidRPr="00804504">
              <w:rPr>
                <w:b/>
              </w:rPr>
              <w:t xml:space="preserve"> (2015 to 2019)</w:t>
            </w:r>
          </w:p>
        </w:tc>
        <w:tc>
          <w:tcPr>
            <w:tcW w:w="1913" w:type="dxa"/>
            <w:vAlign w:val="center"/>
          </w:tcPr>
          <w:p w14:paraId="4F4C8780" w14:textId="77777777" w:rsidR="00182D47" w:rsidRDefault="00146956" w:rsidP="004D060B">
            <w:pPr>
              <w:pStyle w:val="Tabletext"/>
              <w:jc w:val="center"/>
              <w:rPr>
                <w:b/>
              </w:rPr>
            </w:pPr>
            <w:r w:rsidRPr="00804504">
              <w:rPr>
                <w:b/>
              </w:rPr>
              <w:t>$43.3</w:t>
            </w:r>
          </w:p>
          <w:p w14:paraId="1B661F1B" w14:textId="2599E30D" w:rsidR="00182D47" w:rsidRPr="004D060B" w:rsidRDefault="00182D47" w:rsidP="004D060B">
            <w:pPr>
              <w:pStyle w:val="Tabletext"/>
              <w:jc w:val="center"/>
            </w:pPr>
            <w:r w:rsidRPr="00804504">
              <w:t>(after deducting $6.</w:t>
            </w:r>
            <w:r w:rsidR="00276C7C">
              <w:t>2m</w:t>
            </w:r>
            <w:r w:rsidRPr="00804504">
              <w:t xml:space="preserve"> in </w:t>
            </w:r>
            <w:r w:rsidR="00276C7C">
              <w:t xml:space="preserve">program administrative </w:t>
            </w:r>
            <w:r w:rsidRPr="00804504">
              <w:t xml:space="preserve"> costs)</w:t>
            </w:r>
          </w:p>
        </w:tc>
        <w:tc>
          <w:tcPr>
            <w:tcW w:w="1914" w:type="dxa"/>
            <w:vAlign w:val="center"/>
          </w:tcPr>
          <w:p w14:paraId="1BA8237F" w14:textId="77777777" w:rsidR="006E1099" w:rsidRDefault="00146956" w:rsidP="003F5F13">
            <w:pPr>
              <w:pStyle w:val="Tabletext"/>
              <w:jc w:val="center"/>
              <w:rPr>
                <w:b/>
              </w:rPr>
            </w:pPr>
            <w:r w:rsidRPr="00804504">
              <w:rPr>
                <w:b/>
              </w:rPr>
              <w:t>$76.8</w:t>
            </w:r>
          </w:p>
          <w:p w14:paraId="37C40223" w14:textId="4158F6A1" w:rsidR="00276C7C" w:rsidRPr="00804504" w:rsidRDefault="00276C7C" w:rsidP="003F5F13">
            <w:pPr>
              <w:pStyle w:val="Tabletext"/>
              <w:jc w:val="center"/>
              <w:rPr>
                <w:b/>
              </w:rPr>
            </w:pPr>
            <w:r w:rsidRPr="00161DFF">
              <w:t>after deducting $6.</w:t>
            </w:r>
            <w:r>
              <w:t>2m</w:t>
            </w:r>
            <w:r w:rsidRPr="00161DFF">
              <w:t xml:space="preserve"> in </w:t>
            </w:r>
            <w:r>
              <w:t xml:space="preserve">program administrative </w:t>
            </w:r>
            <w:r w:rsidRPr="00161DFF">
              <w:t xml:space="preserve"> costs)</w:t>
            </w:r>
          </w:p>
        </w:tc>
        <w:tc>
          <w:tcPr>
            <w:tcW w:w="1914" w:type="dxa"/>
            <w:vAlign w:val="center"/>
          </w:tcPr>
          <w:p w14:paraId="7592BC72" w14:textId="77777777" w:rsidR="006E1099" w:rsidRPr="00804504" w:rsidRDefault="00146956" w:rsidP="003F5F13">
            <w:pPr>
              <w:pStyle w:val="Tabletext"/>
              <w:jc w:val="center"/>
              <w:rPr>
                <w:b/>
              </w:rPr>
            </w:pPr>
            <w:r w:rsidRPr="00804504">
              <w:rPr>
                <w:b/>
              </w:rPr>
              <w:t>14,565</w:t>
            </w:r>
          </w:p>
        </w:tc>
        <w:tc>
          <w:tcPr>
            <w:tcW w:w="1914" w:type="dxa"/>
            <w:vAlign w:val="center"/>
          </w:tcPr>
          <w:p w14:paraId="19546969" w14:textId="77777777" w:rsidR="006E1099" w:rsidRPr="00804504" w:rsidRDefault="00146956" w:rsidP="003F5F13">
            <w:pPr>
              <w:pStyle w:val="Tabletext"/>
              <w:jc w:val="center"/>
              <w:rPr>
                <w:b/>
              </w:rPr>
            </w:pPr>
            <w:r w:rsidRPr="00804504">
              <w:rPr>
                <w:b/>
              </w:rPr>
              <w:t>3,116</w:t>
            </w:r>
          </w:p>
        </w:tc>
      </w:tr>
      <w:tr w:rsidR="0068436E" w14:paraId="517043C1" w14:textId="77777777">
        <w:tc>
          <w:tcPr>
            <w:tcW w:w="2517" w:type="dxa"/>
          </w:tcPr>
          <w:p w14:paraId="3CA6BC6E" w14:textId="15F040FA" w:rsidR="0068436E" w:rsidRDefault="0068436E" w:rsidP="008F2886">
            <w:pPr>
              <w:pStyle w:val="Tabletext"/>
            </w:pPr>
            <w:r>
              <w:t xml:space="preserve">Additional </w:t>
            </w:r>
            <w:r w:rsidR="00207DCB">
              <w:t xml:space="preserve">net </w:t>
            </w:r>
            <w:r>
              <w:t>benefits from reducing threshold to include office space between 1,000 – 2,000 m</w:t>
            </w:r>
            <w:r w:rsidRPr="003F5F13">
              <w:rPr>
                <w:vertAlign w:val="superscript"/>
              </w:rPr>
              <w:t>2</w:t>
            </w:r>
          </w:p>
        </w:tc>
        <w:tc>
          <w:tcPr>
            <w:tcW w:w="1913" w:type="dxa"/>
            <w:vAlign w:val="center"/>
          </w:tcPr>
          <w:p w14:paraId="639792AA" w14:textId="77777777" w:rsidR="0068436E" w:rsidRDefault="00365D40" w:rsidP="003F5F13">
            <w:pPr>
              <w:pStyle w:val="Tabletext"/>
              <w:jc w:val="center"/>
            </w:pPr>
            <w:r>
              <w:t>$23.9</w:t>
            </w:r>
          </w:p>
          <w:p w14:paraId="48E26145" w14:textId="77777777" w:rsidR="00283877" w:rsidRDefault="00283877" w:rsidP="003F5F13">
            <w:pPr>
              <w:pStyle w:val="Tabletext"/>
              <w:jc w:val="center"/>
            </w:pPr>
            <w:r>
              <w:t>(additional)</w:t>
            </w:r>
          </w:p>
        </w:tc>
        <w:tc>
          <w:tcPr>
            <w:tcW w:w="1914" w:type="dxa"/>
            <w:vAlign w:val="center"/>
          </w:tcPr>
          <w:p w14:paraId="747D8E8C" w14:textId="77777777" w:rsidR="0068436E" w:rsidRDefault="00F728FE" w:rsidP="003F5F13">
            <w:pPr>
              <w:pStyle w:val="Tabletext"/>
              <w:jc w:val="center"/>
            </w:pPr>
            <w:r>
              <w:t>$34.9</w:t>
            </w:r>
          </w:p>
          <w:p w14:paraId="2FBA61EB" w14:textId="1A8A165B" w:rsidR="00F728FE" w:rsidRDefault="00F728FE" w:rsidP="003F5F13">
            <w:pPr>
              <w:pStyle w:val="Tabletext"/>
              <w:jc w:val="center"/>
            </w:pPr>
            <w:r>
              <w:t>(additional)</w:t>
            </w:r>
          </w:p>
        </w:tc>
        <w:tc>
          <w:tcPr>
            <w:tcW w:w="1914" w:type="dxa"/>
            <w:vAlign w:val="center"/>
          </w:tcPr>
          <w:p w14:paraId="1C4B43A6" w14:textId="77777777" w:rsidR="0068436E" w:rsidRDefault="0068436E" w:rsidP="003F5F13">
            <w:pPr>
              <w:pStyle w:val="Tabletext"/>
              <w:jc w:val="center"/>
            </w:pPr>
            <w:r>
              <w:t>3,684</w:t>
            </w:r>
          </w:p>
          <w:p w14:paraId="0E6EF187" w14:textId="77777777" w:rsidR="00283877" w:rsidRDefault="00283877" w:rsidP="003F5F13">
            <w:pPr>
              <w:pStyle w:val="Tabletext"/>
              <w:jc w:val="center"/>
            </w:pPr>
            <w:r>
              <w:t>(additional)</w:t>
            </w:r>
          </w:p>
        </w:tc>
        <w:tc>
          <w:tcPr>
            <w:tcW w:w="1914" w:type="dxa"/>
            <w:vAlign w:val="center"/>
          </w:tcPr>
          <w:p w14:paraId="513480B0" w14:textId="77777777" w:rsidR="0068436E" w:rsidRDefault="0068436E" w:rsidP="003F5F13">
            <w:pPr>
              <w:pStyle w:val="Tabletext"/>
              <w:jc w:val="center"/>
            </w:pPr>
            <w:r>
              <w:t>707</w:t>
            </w:r>
          </w:p>
          <w:p w14:paraId="6639C610" w14:textId="77777777" w:rsidR="00283877" w:rsidRDefault="00283877" w:rsidP="003F5F13">
            <w:pPr>
              <w:pStyle w:val="Tabletext"/>
              <w:jc w:val="center"/>
            </w:pPr>
            <w:r>
              <w:t>(additional)</w:t>
            </w:r>
          </w:p>
        </w:tc>
      </w:tr>
      <w:tr w:rsidR="0068436E" w14:paraId="3B1709A0" w14:textId="77777777">
        <w:tc>
          <w:tcPr>
            <w:tcW w:w="2517" w:type="dxa"/>
          </w:tcPr>
          <w:p w14:paraId="5AE42B30" w14:textId="3CF96E6B" w:rsidR="0068436E" w:rsidRDefault="0068436E" w:rsidP="0068436E">
            <w:pPr>
              <w:pStyle w:val="Tabletext"/>
            </w:pPr>
            <w:r>
              <w:t xml:space="preserve">Additional </w:t>
            </w:r>
            <w:r w:rsidR="00207DCB">
              <w:t xml:space="preserve">net </w:t>
            </w:r>
            <w:r>
              <w:t>benefits from extending validity period of TLA to 5 years</w:t>
            </w:r>
          </w:p>
        </w:tc>
        <w:tc>
          <w:tcPr>
            <w:tcW w:w="1913" w:type="dxa"/>
            <w:vAlign w:val="center"/>
          </w:tcPr>
          <w:p w14:paraId="7E59B5BD" w14:textId="77777777" w:rsidR="0068436E" w:rsidRDefault="00365D40" w:rsidP="003F5F13">
            <w:pPr>
              <w:pStyle w:val="Tabletext"/>
              <w:jc w:val="center"/>
            </w:pPr>
            <w:r>
              <w:t>$2.0</w:t>
            </w:r>
          </w:p>
          <w:p w14:paraId="529E03AD" w14:textId="77777777" w:rsidR="00283877" w:rsidRDefault="00283877" w:rsidP="003F5F13">
            <w:pPr>
              <w:pStyle w:val="Tabletext"/>
              <w:jc w:val="center"/>
            </w:pPr>
            <w:r>
              <w:t>(additional)</w:t>
            </w:r>
          </w:p>
        </w:tc>
        <w:tc>
          <w:tcPr>
            <w:tcW w:w="1914" w:type="dxa"/>
            <w:vAlign w:val="center"/>
          </w:tcPr>
          <w:p w14:paraId="12FFF2F8" w14:textId="77777777" w:rsidR="0068436E" w:rsidRDefault="00667809" w:rsidP="003F5F13">
            <w:pPr>
              <w:pStyle w:val="Tabletext"/>
              <w:jc w:val="center"/>
            </w:pPr>
            <w:r>
              <w:t>Change would not affect energy or GHG emissions reductions</w:t>
            </w:r>
          </w:p>
        </w:tc>
        <w:tc>
          <w:tcPr>
            <w:tcW w:w="1914" w:type="dxa"/>
            <w:vAlign w:val="center"/>
          </w:tcPr>
          <w:p w14:paraId="0018D5E3" w14:textId="77777777" w:rsidR="00283877" w:rsidRDefault="00667809" w:rsidP="003F5F13">
            <w:pPr>
              <w:pStyle w:val="Tabletext"/>
              <w:jc w:val="center"/>
            </w:pPr>
            <w:r>
              <w:t>Change would not affect energy or GHG emissions reductions</w:t>
            </w:r>
          </w:p>
        </w:tc>
        <w:tc>
          <w:tcPr>
            <w:tcW w:w="1914" w:type="dxa"/>
            <w:vAlign w:val="center"/>
          </w:tcPr>
          <w:p w14:paraId="53D20502" w14:textId="77777777" w:rsidR="00283877" w:rsidRDefault="00667809" w:rsidP="003F5F13">
            <w:pPr>
              <w:pStyle w:val="Tabletext"/>
              <w:jc w:val="center"/>
            </w:pPr>
            <w:r>
              <w:t>Change would not affect energy or GHG emissions reductions</w:t>
            </w:r>
          </w:p>
        </w:tc>
      </w:tr>
      <w:tr w:rsidR="00ED74FD" w14:paraId="1BC87B9B" w14:textId="77777777">
        <w:tc>
          <w:tcPr>
            <w:tcW w:w="2517" w:type="dxa"/>
          </w:tcPr>
          <w:p w14:paraId="7DD915D0" w14:textId="480DD02B" w:rsidR="00ED74FD" w:rsidRPr="003F5F13" w:rsidRDefault="00ED74FD" w:rsidP="00DD62FB">
            <w:pPr>
              <w:pStyle w:val="Tabletext"/>
              <w:rPr>
                <w:b/>
              </w:rPr>
            </w:pPr>
            <w:r w:rsidRPr="003F5F13">
              <w:rPr>
                <w:b/>
              </w:rPr>
              <w:t xml:space="preserve">Total </w:t>
            </w:r>
            <w:r w:rsidR="00207DCB">
              <w:rPr>
                <w:b/>
              </w:rPr>
              <w:t xml:space="preserve">net </w:t>
            </w:r>
            <w:r w:rsidRPr="003F5F13">
              <w:rPr>
                <w:b/>
              </w:rPr>
              <w:t xml:space="preserve">benefits of continuing program with reduced threshold and </w:t>
            </w:r>
            <w:r w:rsidR="00E8610B" w:rsidRPr="00DD62FB">
              <w:rPr>
                <w:b/>
              </w:rPr>
              <w:t>exten</w:t>
            </w:r>
            <w:r w:rsidR="00870DDE">
              <w:rPr>
                <w:b/>
              </w:rPr>
              <w:t>sion</w:t>
            </w:r>
            <w:r w:rsidR="00E8610B" w:rsidRPr="00DD62FB">
              <w:rPr>
                <w:b/>
              </w:rPr>
              <w:t xml:space="preserve"> of </w:t>
            </w:r>
            <w:r w:rsidRPr="003F5F13">
              <w:rPr>
                <w:b/>
              </w:rPr>
              <w:t>TLA validity period</w:t>
            </w:r>
          </w:p>
        </w:tc>
        <w:tc>
          <w:tcPr>
            <w:tcW w:w="1913" w:type="dxa"/>
            <w:vAlign w:val="center"/>
          </w:tcPr>
          <w:p w14:paraId="0C26D2D6" w14:textId="77777777" w:rsidR="00ED74FD" w:rsidRPr="003F5F13" w:rsidRDefault="00F974DD" w:rsidP="008F2886">
            <w:pPr>
              <w:pStyle w:val="Tabletext"/>
              <w:jc w:val="center"/>
              <w:rPr>
                <w:b/>
              </w:rPr>
            </w:pPr>
            <w:r w:rsidRPr="003F5F13">
              <w:rPr>
                <w:b/>
              </w:rPr>
              <w:t>$69.2</w:t>
            </w:r>
          </w:p>
        </w:tc>
        <w:tc>
          <w:tcPr>
            <w:tcW w:w="1914" w:type="dxa"/>
            <w:vAlign w:val="center"/>
          </w:tcPr>
          <w:p w14:paraId="48732266" w14:textId="075F1E0D" w:rsidR="00ED74FD" w:rsidRPr="003F5F13" w:rsidRDefault="003B1D41" w:rsidP="00561CBE">
            <w:pPr>
              <w:pStyle w:val="Tabletext"/>
              <w:jc w:val="center"/>
              <w:rPr>
                <w:b/>
              </w:rPr>
            </w:pPr>
            <w:r>
              <w:rPr>
                <w:b/>
              </w:rPr>
              <w:t>$</w:t>
            </w:r>
            <w:r w:rsidR="00561CBE">
              <w:rPr>
                <w:b/>
              </w:rPr>
              <w:t>111</w:t>
            </w:r>
            <w:r>
              <w:rPr>
                <w:b/>
              </w:rPr>
              <w:t>.</w:t>
            </w:r>
            <w:r w:rsidR="00561CBE">
              <w:rPr>
                <w:b/>
              </w:rPr>
              <w:t>7</w:t>
            </w:r>
          </w:p>
        </w:tc>
        <w:tc>
          <w:tcPr>
            <w:tcW w:w="1914" w:type="dxa"/>
            <w:vAlign w:val="center"/>
          </w:tcPr>
          <w:p w14:paraId="03FB87EA" w14:textId="77777777" w:rsidR="00ED74FD" w:rsidRPr="003F5F13" w:rsidRDefault="00667809" w:rsidP="00F8209E">
            <w:pPr>
              <w:pStyle w:val="Tabletext"/>
              <w:jc w:val="center"/>
              <w:rPr>
                <w:b/>
              </w:rPr>
            </w:pPr>
            <w:r w:rsidRPr="003F5F13">
              <w:rPr>
                <w:b/>
              </w:rPr>
              <w:t>18,250</w:t>
            </w:r>
          </w:p>
        </w:tc>
        <w:tc>
          <w:tcPr>
            <w:tcW w:w="1914" w:type="dxa"/>
            <w:vAlign w:val="center"/>
          </w:tcPr>
          <w:p w14:paraId="6399BBDA" w14:textId="77777777" w:rsidR="00ED74FD" w:rsidRPr="003F5F13" w:rsidRDefault="00667809" w:rsidP="000036E5">
            <w:pPr>
              <w:pStyle w:val="Tabletext"/>
              <w:jc w:val="center"/>
              <w:rPr>
                <w:b/>
              </w:rPr>
            </w:pPr>
            <w:r w:rsidRPr="003F5F13">
              <w:rPr>
                <w:b/>
              </w:rPr>
              <w:t>3,824</w:t>
            </w:r>
          </w:p>
        </w:tc>
      </w:tr>
      <w:tr w:rsidR="004A29E4" w14:paraId="62398C93" w14:textId="77777777">
        <w:tc>
          <w:tcPr>
            <w:tcW w:w="2517" w:type="dxa"/>
          </w:tcPr>
          <w:p w14:paraId="64C4DDA3" w14:textId="14D65C72" w:rsidR="004A29E4" w:rsidRPr="003F5F13" w:rsidRDefault="00751055" w:rsidP="004A29E4">
            <w:pPr>
              <w:pStyle w:val="Tabletext"/>
              <w:rPr>
                <w:b/>
              </w:rPr>
            </w:pPr>
            <w:r>
              <w:rPr>
                <w:b/>
              </w:rPr>
              <w:t xml:space="preserve">Indicative </w:t>
            </w:r>
            <w:r w:rsidR="004A29E4">
              <w:rPr>
                <w:b/>
              </w:rPr>
              <w:t xml:space="preserve">further </w:t>
            </w:r>
            <w:r w:rsidR="00DA5B65">
              <w:rPr>
                <w:b/>
              </w:rPr>
              <w:t xml:space="preserve">net </w:t>
            </w:r>
            <w:r w:rsidR="004A29E4">
              <w:rPr>
                <w:b/>
              </w:rPr>
              <w:t>benefits through improved TLA visibility</w:t>
            </w:r>
          </w:p>
        </w:tc>
        <w:tc>
          <w:tcPr>
            <w:tcW w:w="1913" w:type="dxa"/>
            <w:vAlign w:val="center"/>
          </w:tcPr>
          <w:p w14:paraId="4AD3E7DC" w14:textId="77777777" w:rsidR="00C06AD4" w:rsidRDefault="004A29E4" w:rsidP="006214F8">
            <w:pPr>
              <w:pStyle w:val="Tabletext"/>
              <w:jc w:val="center"/>
              <w:rPr>
                <w:b/>
              </w:rPr>
            </w:pPr>
            <w:r>
              <w:rPr>
                <w:b/>
              </w:rPr>
              <w:t>$4.2 minus costs of improving visibility</w:t>
            </w:r>
          </w:p>
          <w:p w14:paraId="6F779406" w14:textId="66464C4D" w:rsidR="004A29E4" w:rsidRPr="003F5F13" w:rsidRDefault="00C06AD4" w:rsidP="006214F8">
            <w:pPr>
              <w:pStyle w:val="Tabletext"/>
              <w:jc w:val="center"/>
              <w:rPr>
                <w:b/>
              </w:rPr>
            </w:pPr>
            <w:r>
              <w:rPr>
                <w:b/>
              </w:rPr>
              <w:t>(</w:t>
            </w:r>
            <w:r w:rsidR="00A617E7">
              <w:rPr>
                <w:b/>
              </w:rPr>
              <w:t>additional)</w:t>
            </w:r>
          </w:p>
        </w:tc>
        <w:tc>
          <w:tcPr>
            <w:tcW w:w="1914" w:type="dxa"/>
            <w:vAlign w:val="center"/>
          </w:tcPr>
          <w:p w14:paraId="063F34DA" w14:textId="31EA0788" w:rsidR="00C06AD4" w:rsidRDefault="004A29E4" w:rsidP="006214F8">
            <w:pPr>
              <w:pStyle w:val="Tabletext"/>
              <w:jc w:val="center"/>
              <w:rPr>
                <w:b/>
              </w:rPr>
            </w:pPr>
            <w:r>
              <w:rPr>
                <w:b/>
              </w:rPr>
              <w:t>$8.5 minus costs of improving visibility</w:t>
            </w:r>
          </w:p>
          <w:p w14:paraId="597693E7" w14:textId="28D9F906" w:rsidR="00A617E7" w:rsidRPr="003F5F13" w:rsidRDefault="00A617E7" w:rsidP="006214F8">
            <w:pPr>
              <w:pStyle w:val="Tabletext"/>
              <w:jc w:val="center"/>
              <w:rPr>
                <w:b/>
              </w:rPr>
            </w:pPr>
            <w:r>
              <w:rPr>
                <w:b/>
              </w:rPr>
              <w:t>(additional)</w:t>
            </w:r>
          </w:p>
        </w:tc>
        <w:tc>
          <w:tcPr>
            <w:tcW w:w="1914" w:type="dxa"/>
            <w:vAlign w:val="center"/>
          </w:tcPr>
          <w:p w14:paraId="12E5E93B" w14:textId="77777777" w:rsidR="004A29E4" w:rsidRDefault="00AE0DFA" w:rsidP="00F8209E">
            <w:pPr>
              <w:pStyle w:val="Tabletext"/>
              <w:jc w:val="center"/>
              <w:rPr>
                <w:b/>
              </w:rPr>
            </w:pPr>
            <w:r>
              <w:rPr>
                <w:b/>
              </w:rPr>
              <w:t>1,222</w:t>
            </w:r>
          </w:p>
          <w:p w14:paraId="3514EA26" w14:textId="1931257F" w:rsidR="006E3505" w:rsidRPr="003F5F13" w:rsidRDefault="006E3505" w:rsidP="00F8209E">
            <w:pPr>
              <w:pStyle w:val="Tabletext"/>
              <w:jc w:val="center"/>
              <w:rPr>
                <w:b/>
              </w:rPr>
            </w:pPr>
            <w:r>
              <w:rPr>
                <w:b/>
              </w:rPr>
              <w:t>(additional)</w:t>
            </w:r>
          </w:p>
        </w:tc>
        <w:tc>
          <w:tcPr>
            <w:tcW w:w="1914" w:type="dxa"/>
            <w:vAlign w:val="center"/>
          </w:tcPr>
          <w:p w14:paraId="0D78414C" w14:textId="77777777" w:rsidR="004A29E4" w:rsidRDefault="00A617E7" w:rsidP="000036E5">
            <w:pPr>
              <w:pStyle w:val="Tabletext"/>
              <w:jc w:val="center"/>
              <w:rPr>
                <w:b/>
              </w:rPr>
            </w:pPr>
            <w:r>
              <w:rPr>
                <w:b/>
              </w:rPr>
              <w:t>918</w:t>
            </w:r>
          </w:p>
          <w:p w14:paraId="7E67767D" w14:textId="596DB103" w:rsidR="006E3505" w:rsidRPr="003F5F13" w:rsidRDefault="006E3505" w:rsidP="000036E5">
            <w:pPr>
              <w:pStyle w:val="Tabletext"/>
              <w:jc w:val="center"/>
              <w:rPr>
                <w:b/>
              </w:rPr>
            </w:pPr>
            <w:r>
              <w:rPr>
                <w:b/>
              </w:rPr>
              <w:t>(additional)</w:t>
            </w:r>
          </w:p>
        </w:tc>
      </w:tr>
    </w:tbl>
    <w:p w14:paraId="753AA1E0" w14:textId="77777777" w:rsidR="006E1099" w:rsidRDefault="006E1099" w:rsidP="003F5F13">
      <w:pPr>
        <w:pStyle w:val="Note"/>
        <w:ind w:left="-2551"/>
      </w:pPr>
      <w:r w:rsidRPr="00B85543">
        <w:rPr>
          <w:i/>
        </w:rPr>
        <w:t>Note:</w:t>
      </w:r>
      <w:r w:rsidRPr="00B85543">
        <w:t xml:space="preserve"> </w:t>
      </w:r>
      <w:r w:rsidR="004C0470">
        <w:t>The backward</w:t>
      </w:r>
      <w:r w:rsidR="006B4304">
        <w:t>-</w:t>
      </w:r>
      <w:r w:rsidR="004C0470">
        <w:t>looking analysis is based on the period of CBD operation between 2010 and 2014</w:t>
      </w:r>
      <w:r w:rsidR="006B4304">
        <w:t>,</w:t>
      </w:r>
      <w:r w:rsidR="004C0470">
        <w:t xml:space="preserve"> but includes benefits of </w:t>
      </w:r>
      <w:r w:rsidR="00DB5E86">
        <w:t xml:space="preserve">the </w:t>
      </w:r>
      <w:r w:rsidR="004C0470">
        <w:t xml:space="preserve">program to 2023 to </w:t>
      </w:r>
      <w:r w:rsidR="006B4304">
        <w:t>encompass</w:t>
      </w:r>
      <w:r w:rsidR="004C0470">
        <w:t xml:space="preserve"> </w:t>
      </w:r>
      <w:r w:rsidR="00335050">
        <w:t xml:space="preserve">the </w:t>
      </w:r>
      <w:r w:rsidR="004C0470">
        <w:t xml:space="preserve">ongoing benefits of projects undertaken during </w:t>
      </w:r>
      <w:r w:rsidR="002D3877">
        <w:t>2010-2014</w:t>
      </w:r>
      <w:r w:rsidR="00CB3EC7">
        <w:t xml:space="preserve">. </w:t>
      </w:r>
      <w:r w:rsidR="004C0470">
        <w:t>Analysis of forward</w:t>
      </w:r>
      <w:r w:rsidR="006B4304">
        <w:t>-</w:t>
      </w:r>
      <w:r w:rsidR="004C0470">
        <w:t>looking benefits is based on continuing the program from 2015 to 2019</w:t>
      </w:r>
      <w:r w:rsidR="006B4304">
        <w:t>,</w:t>
      </w:r>
      <w:r w:rsidR="004C0470">
        <w:t xml:space="preserve"> but includes benefits of </w:t>
      </w:r>
      <w:r w:rsidR="006B4304">
        <w:t xml:space="preserve">the </w:t>
      </w:r>
      <w:r w:rsidR="004C0470">
        <w:t xml:space="preserve">program to 2028 to </w:t>
      </w:r>
      <w:r w:rsidR="006B4304">
        <w:t>encompass</w:t>
      </w:r>
      <w:r w:rsidR="004C0470">
        <w:t xml:space="preserve"> </w:t>
      </w:r>
      <w:r w:rsidR="00335050">
        <w:t xml:space="preserve">the </w:t>
      </w:r>
      <w:r w:rsidR="004C0470">
        <w:t xml:space="preserve">ongoing benefits of projects undertaken during </w:t>
      </w:r>
      <w:r w:rsidR="002D3877">
        <w:t>2015-2019</w:t>
      </w:r>
      <w:r w:rsidR="004C0470">
        <w:t>.</w:t>
      </w:r>
    </w:p>
    <w:p w14:paraId="656113E5" w14:textId="7A2FB2E9" w:rsidR="006E1099" w:rsidRPr="000B11FF" w:rsidRDefault="006E1099" w:rsidP="003F5F13">
      <w:pPr>
        <w:pStyle w:val="Source"/>
        <w:ind w:left="-2551"/>
      </w:pPr>
      <w:r w:rsidRPr="000B11FF">
        <w:t xml:space="preserve">Source: </w:t>
      </w:r>
      <w:r w:rsidR="00B6317F">
        <w:t>ACIL Allen</w:t>
      </w:r>
    </w:p>
    <w:p w14:paraId="7059BC5C" w14:textId="77777777" w:rsidR="00411E40" w:rsidRDefault="00411E40" w:rsidP="00411E40">
      <w:pPr>
        <w:pStyle w:val="BodyText"/>
      </w:pPr>
    </w:p>
    <w:p w14:paraId="3D9C1733" w14:textId="77777777" w:rsidR="00AE2415" w:rsidRDefault="00AE2415">
      <w:pPr>
        <w:pStyle w:val="BodyText"/>
        <w:sectPr w:rsidR="00AE2415">
          <w:headerReference w:type="even" r:id="rId19"/>
          <w:headerReference w:type="default" r:id="rId20"/>
          <w:footerReference w:type="even" r:id="rId21"/>
          <w:footerReference w:type="default" r:id="rId22"/>
          <w:headerReference w:type="first" r:id="rId23"/>
          <w:footerReference w:type="first" r:id="rId24"/>
          <w:pgSz w:w="11907" w:h="16839" w:code="9"/>
          <w:pgMar w:top="1134" w:right="850" w:bottom="709" w:left="3118" w:header="709" w:footer="567" w:gutter="567"/>
          <w:pgNumType w:fmt="lowerRoman" w:start="1"/>
          <w:cols w:space="720"/>
          <w:docGrid w:linePitch="326"/>
        </w:sectPr>
      </w:pPr>
    </w:p>
    <w:p w14:paraId="2832CA15" w14:textId="77777777" w:rsidR="00CC41A6" w:rsidRDefault="00CC41A6" w:rsidP="00A638B4">
      <w:pPr>
        <w:pStyle w:val="Heading1"/>
      </w:pPr>
      <w:bookmarkStart w:id="4" w:name="_Toc415660819"/>
      <w:r>
        <w:lastRenderedPageBreak/>
        <w:t>Introduction</w:t>
      </w:r>
      <w:bookmarkEnd w:id="4"/>
    </w:p>
    <w:p w14:paraId="3F7F5734" w14:textId="77777777" w:rsidR="00A66ED3" w:rsidRDefault="00A66ED3" w:rsidP="00A66ED3">
      <w:pPr>
        <w:pStyle w:val="BodyText"/>
      </w:pPr>
      <w:r>
        <w:t>ACIL Allen Consulting (ACIL Allen) was commissioned by the Department of Industry</w:t>
      </w:r>
      <w:r w:rsidR="00780F54">
        <w:t xml:space="preserve"> and Science, previously the Department of Industry</w:t>
      </w:r>
      <w:r>
        <w:t xml:space="preserve"> (the Department)</w:t>
      </w:r>
      <w:r w:rsidR="00DB5E86">
        <w:t>,</w:t>
      </w:r>
      <w:r>
        <w:t xml:space="preserve"> to undertake a review of the Commercial Building Disclosure (CBD) program.</w:t>
      </w:r>
    </w:p>
    <w:p w14:paraId="13413BFC" w14:textId="77777777" w:rsidR="003475B9" w:rsidRDefault="003475B9" w:rsidP="003475B9">
      <w:pPr>
        <w:pStyle w:val="Heading2"/>
      </w:pPr>
      <w:bookmarkStart w:id="5" w:name="_Toc415660820"/>
      <w:r>
        <w:t>Background</w:t>
      </w:r>
      <w:r w:rsidR="00EB1402">
        <w:t xml:space="preserve"> and context</w:t>
      </w:r>
      <w:bookmarkEnd w:id="5"/>
    </w:p>
    <w:p w14:paraId="48A70112" w14:textId="77777777" w:rsidR="006158F2" w:rsidRDefault="00A66ED3" w:rsidP="00A66ED3">
      <w:pPr>
        <w:pStyle w:val="BodyText"/>
      </w:pPr>
      <w:r>
        <w:t xml:space="preserve">The CBD Program, an initiative of the Council of Australian Governments (COAG), was introduced in 2010 as part of a </w:t>
      </w:r>
      <w:r w:rsidR="006158F2">
        <w:t xml:space="preserve">suite </w:t>
      </w:r>
      <w:r>
        <w:t>of measures</w:t>
      </w:r>
      <w:r w:rsidR="006158F2">
        <w:t xml:space="preserve"> </w:t>
      </w:r>
      <w:r w:rsidR="006158F2" w:rsidRPr="006158F2">
        <w:t>under the COAG National Strategy on Energy Efficiency (NSEE)</w:t>
      </w:r>
      <w:r w:rsidR="006158F2">
        <w:t>, that were</w:t>
      </w:r>
      <w:r>
        <w:t xml:space="preserve"> </w:t>
      </w:r>
      <w:r w:rsidR="006158F2">
        <w:t xml:space="preserve">designed </w:t>
      </w:r>
      <w:r>
        <w:t>to</w:t>
      </w:r>
      <w:r w:rsidR="006158F2">
        <w:t>:</w:t>
      </w:r>
      <w:r>
        <w:t xml:space="preserve"> </w:t>
      </w:r>
    </w:p>
    <w:p w14:paraId="49E0F72A" w14:textId="77777777" w:rsidR="00A66ED3" w:rsidRDefault="00825FDC" w:rsidP="00825FDC">
      <w:pPr>
        <w:pStyle w:val="Quote"/>
      </w:pPr>
      <w:r w:rsidRPr="00825FDC">
        <w:t>accelerate energy efficiency improvements and deliver cost-effective energy efficiency gains across all sectors of the Australian economy</w:t>
      </w:r>
      <w:r w:rsidR="00A66ED3">
        <w:t>.</w:t>
      </w:r>
    </w:p>
    <w:p w14:paraId="5676E81D" w14:textId="246A4F6E" w:rsidR="00A66ED3" w:rsidRDefault="00A66ED3" w:rsidP="00A66ED3">
      <w:pPr>
        <w:pStyle w:val="BodyText"/>
      </w:pPr>
      <w:r>
        <w:t>The CBD Program is a national program designed to improve the energy efficiency of Australia’s large office buildings</w:t>
      </w:r>
      <w:r w:rsidR="00CB3EC7">
        <w:t xml:space="preserve">. </w:t>
      </w:r>
      <w:r>
        <w:t xml:space="preserve">It is intended to address market barriers to the </w:t>
      </w:r>
      <w:r w:rsidR="00AB483F">
        <w:t>up</w:t>
      </w:r>
      <w:r>
        <w:t>take of economically feasible energy efficiency improvements, such as the information asymmetry between building owners and prospective tenants or buyers</w:t>
      </w:r>
      <w:r w:rsidR="000D3058">
        <w:t>,</w:t>
      </w:r>
      <w:r>
        <w:t xml:space="preserve"> and the split incentives for energy efficiency investment between building owners and tenants</w:t>
      </w:r>
      <w:r w:rsidR="00CB3EC7">
        <w:t xml:space="preserve">. </w:t>
      </w:r>
      <w:r>
        <w:t>The CBD Program commenced in full on 1 November 2011 following a 12-month transition period</w:t>
      </w:r>
      <w:r w:rsidR="00CB3EC7">
        <w:t xml:space="preserve">. </w:t>
      </w:r>
      <w:r w:rsidR="006158F2">
        <w:t>It is delivered by the Department</w:t>
      </w:r>
      <w:r w:rsidR="00CB3EC7">
        <w:t xml:space="preserve">. </w:t>
      </w:r>
    </w:p>
    <w:p w14:paraId="2AB382EB" w14:textId="77777777" w:rsidR="00D56CE1" w:rsidRDefault="00A66ED3" w:rsidP="00A66ED3">
      <w:pPr>
        <w:pStyle w:val="BodyText"/>
      </w:pPr>
      <w:r w:rsidRPr="00DF7A4C">
        <w:t xml:space="preserve">The CBD </w:t>
      </w:r>
      <w:r>
        <w:t>p</w:t>
      </w:r>
      <w:r w:rsidRPr="00DF7A4C">
        <w:t>rogram requires most sellers and lessors of large office spaces to provide energy efficiency information to prospective buyers and tenants</w:t>
      </w:r>
      <w:r w:rsidR="00CB3EC7" w:rsidRPr="00DF7A4C">
        <w:t>.</w:t>
      </w:r>
      <w:r w:rsidR="00CB3EC7">
        <w:t xml:space="preserve"> </w:t>
      </w:r>
      <w:r w:rsidRPr="00DF7A4C">
        <w:t>Disclosure of energy efficiency information is mandatory for commercial office spaces of 2</w:t>
      </w:r>
      <w:r>
        <w:t>,</w:t>
      </w:r>
      <w:r w:rsidRPr="00DF7A4C">
        <w:t>000 square metres or more</w:t>
      </w:r>
      <w:r w:rsidR="00CB3EC7" w:rsidRPr="00DF7A4C">
        <w:t>.</w:t>
      </w:r>
      <w:r w:rsidR="00CB3EC7">
        <w:t xml:space="preserve"> </w:t>
      </w:r>
      <w:r w:rsidR="00FF3319">
        <w:t>NABERS star ratings must also be included in advertisements for sale or lease.</w:t>
      </w:r>
    </w:p>
    <w:p w14:paraId="43B237CE" w14:textId="77777777" w:rsidR="00D56CE1" w:rsidRDefault="00D56CE1" w:rsidP="00D56CE1">
      <w:pPr>
        <w:pStyle w:val="BodyText"/>
      </w:pPr>
      <w:r>
        <w:t>Owners of disclosure-affected buildings are required to obtain a Building Energy Efficiency Certificate (BEEC) that comprises:</w:t>
      </w:r>
    </w:p>
    <w:p w14:paraId="2713A9C9" w14:textId="77777777" w:rsidR="00D56CE1" w:rsidRDefault="00D56CE1" w:rsidP="00D56CE1">
      <w:pPr>
        <w:pStyle w:val="ListDash"/>
      </w:pPr>
      <w:r>
        <w:t>a NABERS Energy star rating for the building</w:t>
      </w:r>
    </w:p>
    <w:p w14:paraId="38655697" w14:textId="77777777" w:rsidR="00D56CE1" w:rsidRDefault="00D56CE1" w:rsidP="00D56CE1">
      <w:pPr>
        <w:pStyle w:val="ListDash"/>
      </w:pPr>
      <w:r>
        <w:t>an assessment of the energy efficiency of tenancy lighting in the area of the building that is being sold or leased (</w:t>
      </w:r>
      <w:r w:rsidR="006158F2">
        <w:t xml:space="preserve">a Tenancy Lighting Assessment or </w:t>
      </w:r>
      <w:r>
        <w:t>TLA)</w:t>
      </w:r>
    </w:p>
    <w:p w14:paraId="22B7BF24" w14:textId="77777777" w:rsidR="00D56CE1" w:rsidRDefault="00D56CE1" w:rsidP="00D56CE1">
      <w:pPr>
        <w:pStyle w:val="ListDash"/>
      </w:pPr>
      <w:r>
        <w:t>general energy efficiency guidance.</w:t>
      </w:r>
    </w:p>
    <w:p w14:paraId="7E2C8B36" w14:textId="77777777" w:rsidR="004300E8" w:rsidRDefault="00D56CE1" w:rsidP="004300E8">
      <w:pPr>
        <w:pStyle w:val="BodyText"/>
      </w:pPr>
      <w:r>
        <w:t>BEECs are valid for up to 12 months and are disclosed publicly online</w:t>
      </w:r>
      <w:r w:rsidR="00CB3EC7">
        <w:t xml:space="preserve">. </w:t>
      </w:r>
    </w:p>
    <w:p w14:paraId="0DE58D3B" w14:textId="77777777" w:rsidR="004300E8" w:rsidRDefault="004300E8" w:rsidP="004300E8">
      <w:pPr>
        <w:pStyle w:val="BodyText"/>
      </w:pPr>
      <w:r>
        <w:t>A review of the operational efficiency of the CBD program was conducted in 2013</w:t>
      </w:r>
      <w:r w:rsidR="00CB3EC7">
        <w:t xml:space="preserve">. </w:t>
      </w:r>
      <w:r>
        <w:t>It identified a range of opportunities to further promote the achievement of the program aims and to improve the delivery and administration of the program.</w:t>
      </w:r>
    </w:p>
    <w:p w14:paraId="3A67D897" w14:textId="77777777" w:rsidR="00EB1402" w:rsidRDefault="00EB1402" w:rsidP="004572F4">
      <w:pPr>
        <w:pStyle w:val="Heading2"/>
      </w:pPr>
      <w:bookmarkStart w:id="6" w:name="_Toc415660821"/>
      <w:r>
        <w:t>Objectives and scope of the review</w:t>
      </w:r>
      <w:bookmarkEnd w:id="6"/>
    </w:p>
    <w:p w14:paraId="3CECEF9F" w14:textId="77777777" w:rsidR="00A66ED3" w:rsidRDefault="00A66ED3" w:rsidP="00A66ED3">
      <w:pPr>
        <w:pStyle w:val="BodyText"/>
      </w:pPr>
      <w:r>
        <w:t>In 2014, the Minister for Industry requested that an independent review of the CBD program be conducted</w:t>
      </w:r>
      <w:r w:rsidR="00CB3EC7">
        <w:t xml:space="preserve">. </w:t>
      </w:r>
      <w:r w:rsidR="004300E8">
        <w:t>ACIL Allen was engaged to undertake this review</w:t>
      </w:r>
      <w:r w:rsidR="00CB3EC7">
        <w:t xml:space="preserve">. </w:t>
      </w:r>
      <w:r>
        <w:t xml:space="preserve">The review </w:t>
      </w:r>
      <w:r w:rsidR="004300E8">
        <w:t xml:space="preserve">was asked to </w:t>
      </w:r>
      <w:r>
        <w:t>assess</w:t>
      </w:r>
      <w:r w:rsidR="00EB7834">
        <w:t>:</w:t>
      </w:r>
    </w:p>
    <w:p w14:paraId="68B18DA3" w14:textId="77777777" w:rsidR="00A66ED3" w:rsidRDefault="00A66ED3" w:rsidP="003F5F13">
      <w:pPr>
        <w:pStyle w:val="ListNumber"/>
        <w:numPr>
          <w:ilvl w:val="0"/>
          <w:numId w:val="42"/>
        </w:numPr>
      </w:pPr>
      <w:r>
        <w:t>The objectives of the CBD program, in particular, whether the objectives are clear and remain relevant</w:t>
      </w:r>
      <w:r w:rsidR="00D56CE1">
        <w:t>.</w:t>
      </w:r>
    </w:p>
    <w:p w14:paraId="7E938F1C" w14:textId="77777777" w:rsidR="00A66ED3" w:rsidRDefault="00A66ED3" w:rsidP="003A2CDE">
      <w:pPr>
        <w:pStyle w:val="ListNumber"/>
      </w:pPr>
      <w:r>
        <w:lastRenderedPageBreak/>
        <w:t>Whether the CBD program is the most effective, appropriate and least-cost mechanism to achieve these objectives, including consideration of the benefits and costs imposed on industry</w:t>
      </w:r>
      <w:r w:rsidR="00D56CE1">
        <w:t>.</w:t>
      </w:r>
    </w:p>
    <w:p w14:paraId="7DE630C3" w14:textId="77777777" w:rsidR="00A66ED3" w:rsidRDefault="00A66ED3" w:rsidP="003A2CDE">
      <w:pPr>
        <w:pStyle w:val="ListNumber"/>
      </w:pPr>
      <w:r>
        <w:t>The effectiveness of the program in promoting energy efficiency, both in its own right and in the context of the current framework of energy efficiency measures</w:t>
      </w:r>
      <w:r w:rsidR="00D56CE1">
        <w:t>.</w:t>
      </w:r>
    </w:p>
    <w:p w14:paraId="02E991F8" w14:textId="77777777" w:rsidR="00A66ED3" w:rsidRDefault="00A66ED3" w:rsidP="003A2CDE">
      <w:pPr>
        <w:pStyle w:val="ListNumber"/>
      </w:pPr>
      <w:r>
        <w:t>The interaction of the program with the Emissions Reduction Fund.</w:t>
      </w:r>
    </w:p>
    <w:p w14:paraId="55918493" w14:textId="77777777" w:rsidR="00A66ED3" w:rsidRDefault="00A66ED3" w:rsidP="00A66ED3">
      <w:pPr>
        <w:pStyle w:val="BodyText"/>
      </w:pPr>
      <w:r>
        <w:t xml:space="preserve">The review </w:t>
      </w:r>
      <w:r w:rsidR="004300E8">
        <w:t xml:space="preserve">was also asked to </w:t>
      </w:r>
      <w:r>
        <w:t>provide recommendations on</w:t>
      </w:r>
      <w:r w:rsidR="00EB7834">
        <w:t>:</w:t>
      </w:r>
    </w:p>
    <w:p w14:paraId="4A97DF0F" w14:textId="77777777" w:rsidR="00A66ED3" w:rsidRDefault="003A2CDE" w:rsidP="003A2CDE">
      <w:pPr>
        <w:pStyle w:val="ListDash"/>
      </w:pPr>
      <w:r>
        <w:t>t</w:t>
      </w:r>
      <w:r w:rsidR="00A66ED3">
        <w:t>he merits of continuing the program or not, both in terms of the public interest as well as the private interest of property owners and tenants</w:t>
      </w:r>
    </w:p>
    <w:p w14:paraId="3F552342" w14:textId="77777777" w:rsidR="00A66ED3" w:rsidRDefault="003A2CDE" w:rsidP="003A2CDE">
      <w:pPr>
        <w:pStyle w:val="ListDash"/>
      </w:pPr>
      <w:r>
        <w:t>t</w:t>
      </w:r>
      <w:r w:rsidR="00A66ED3">
        <w:t>he lessons for assessing possible extension of mandatory disclosure to other building types</w:t>
      </w:r>
    </w:p>
    <w:p w14:paraId="40366887" w14:textId="77777777" w:rsidR="00A66ED3" w:rsidRDefault="003A2CDE" w:rsidP="003A2CDE">
      <w:pPr>
        <w:pStyle w:val="ListDash"/>
      </w:pPr>
      <w:r>
        <w:t>o</w:t>
      </w:r>
      <w:r w:rsidR="00A66ED3">
        <w:t>ptions for its funding, including cost recovery, if appropriate</w:t>
      </w:r>
    </w:p>
    <w:p w14:paraId="0254DCD0" w14:textId="77777777" w:rsidR="00A66ED3" w:rsidRDefault="003A2CDE" w:rsidP="003A2CDE">
      <w:pPr>
        <w:pStyle w:val="ListDash"/>
      </w:pPr>
      <w:r>
        <w:t>t</w:t>
      </w:r>
      <w:r w:rsidR="00A66ED3">
        <w:t>he most appropriate governance framework</w:t>
      </w:r>
    </w:p>
    <w:p w14:paraId="0CA7BBE8" w14:textId="77777777" w:rsidR="00A66ED3" w:rsidRDefault="003A2CDE" w:rsidP="003A2CDE">
      <w:pPr>
        <w:pStyle w:val="ListDash"/>
      </w:pPr>
      <w:r>
        <w:t>t</w:t>
      </w:r>
      <w:r w:rsidR="00A66ED3">
        <w:t>he potential for improvements to the operation of the program.</w:t>
      </w:r>
    </w:p>
    <w:p w14:paraId="19E06A6F" w14:textId="77777777" w:rsidR="00F31F8C" w:rsidRDefault="004300E8" w:rsidP="00F31F8C">
      <w:pPr>
        <w:pStyle w:val="BodyText"/>
      </w:pPr>
      <w:r>
        <w:t>T</w:t>
      </w:r>
      <w:r w:rsidR="00F31F8C">
        <w:t xml:space="preserve">he review </w:t>
      </w:r>
      <w:r>
        <w:t xml:space="preserve">has </w:t>
      </w:r>
      <w:r w:rsidR="00F31F8C">
        <w:t>assess</w:t>
      </w:r>
      <w:r>
        <w:t>ed</w:t>
      </w:r>
      <w:r w:rsidR="00F31F8C">
        <w:t xml:space="preserve"> and analyse</w:t>
      </w:r>
      <w:r>
        <w:t>d</w:t>
      </w:r>
      <w:r w:rsidR="00F31F8C">
        <w:t xml:space="preserve"> a broad range of available evidence</w:t>
      </w:r>
      <w:r w:rsidR="000D3058">
        <w:t>,</w:t>
      </w:r>
      <w:r w:rsidR="00F31F8C">
        <w:t xml:space="preserve"> including two program related datasets, and develop</w:t>
      </w:r>
      <w:r>
        <w:t>ed</w:t>
      </w:r>
      <w:r w:rsidR="00F31F8C">
        <w:t xml:space="preserve"> suitable methodologies for modelling future impacts, in order to provide a solid evidentiary basis for recommendations</w:t>
      </w:r>
      <w:r w:rsidR="00CB3EC7">
        <w:t xml:space="preserve">. </w:t>
      </w:r>
    </w:p>
    <w:p w14:paraId="515FE2CE" w14:textId="1D75E895" w:rsidR="00F31F8C" w:rsidRDefault="004300E8" w:rsidP="00F31F8C">
      <w:pPr>
        <w:pStyle w:val="BodyText"/>
      </w:pPr>
      <w:r>
        <w:t xml:space="preserve">Our analysis </w:t>
      </w:r>
      <w:r w:rsidR="00F31F8C">
        <w:t xml:space="preserve">of </w:t>
      </w:r>
      <w:r>
        <w:t xml:space="preserve">the </w:t>
      </w:r>
      <w:r w:rsidR="00F31F8C">
        <w:t>costs, benefits and program impacts consider</w:t>
      </w:r>
      <w:r>
        <w:t>ed</w:t>
      </w:r>
      <w:r w:rsidR="00F31F8C">
        <w:t xml:space="preserve"> both the separate elements of the CBD program (NABERS ratings and TLAs)</w:t>
      </w:r>
      <w:r w:rsidR="0080101D">
        <w:t>,</w:t>
      </w:r>
      <w:r w:rsidR="00F31F8C">
        <w:t xml:space="preserve"> as well as </w:t>
      </w:r>
      <w:r>
        <w:t>examin</w:t>
      </w:r>
      <w:r w:rsidR="0080101D">
        <w:t>ed</w:t>
      </w:r>
      <w:r>
        <w:t xml:space="preserve"> </w:t>
      </w:r>
      <w:r w:rsidR="00DE6F70">
        <w:t xml:space="preserve">it from a </w:t>
      </w:r>
      <w:r w:rsidR="00F31F8C">
        <w:t xml:space="preserve">whole </w:t>
      </w:r>
      <w:r w:rsidR="00DE6F70">
        <w:t xml:space="preserve">of </w:t>
      </w:r>
      <w:r w:rsidR="00F31F8C">
        <w:t>program perspective.</w:t>
      </w:r>
    </w:p>
    <w:p w14:paraId="668CD628" w14:textId="77777777" w:rsidR="003475B9" w:rsidRDefault="00EB1402" w:rsidP="003475B9">
      <w:pPr>
        <w:pStyle w:val="Heading2"/>
      </w:pPr>
      <w:bookmarkStart w:id="7" w:name="_Toc404698531"/>
      <w:bookmarkStart w:id="8" w:name="_Toc404698670"/>
      <w:bookmarkStart w:id="9" w:name="_Toc404698809"/>
      <w:bookmarkStart w:id="10" w:name="_Toc404698532"/>
      <w:bookmarkStart w:id="11" w:name="_Toc404698671"/>
      <w:bookmarkStart w:id="12" w:name="_Toc404698810"/>
      <w:bookmarkStart w:id="13" w:name="_Toc415660822"/>
      <w:bookmarkEnd w:id="7"/>
      <w:bookmarkEnd w:id="8"/>
      <w:bookmarkEnd w:id="9"/>
      <w:bookmarkEnd w:id="10"/>
      <w:bookmarkEnd w:id="11"/>
      <w:bookmarkEnd w:id="12"/>
      <w:r>
        <w:t>A</w:t>
      </w:r>
      <w:r w:rsidR="003475B9">
        <w:t>pproach</w:t>
      </w:r>
      <w:r>
        <w:t xml:space="preserve"> to the review</w:t>
      </w:r>
      <w:bookmarkEnd w:id="13"/>
    </w:p>
    <w:p w14:paraId="4400B278" w14:textId="77777777" w:rsidR="00D70065" w:rsidRDefault="00D70065" w:rsidP="00D70065">
      <w:pPr>
        <w:pStyle w:val="Heading3"/>
      </w:pPr>
      <w:bookmarkStart w:id="14" w:name="_Toc415660823"/>
      <w:bookmarkStart w:id="15" w:name="_Ref370930622"/>
      <w:bookmarkStart w:id="16" w:name="_Toc370990865"/>
      <w:bookmarkStart w:id="17" w:name="_Toc388063046"/>
      <w:bookmarkStart w:id="18" w:name="_Toc396830944"/>
      <w:r>
        <w:t>Key project steps</w:t>
      </w:r>
      <w:bookmarkEnd w:id="14"/>
    </w:p>
    <w:p w14:paraId="69CB7BAF" w14:textId="77777777" w:rsidR="00F31F8C" w:rsidRDefault="00DE6F70" w:rsidP="007444A0">
      <w:pPr>
        <w:pStyle w:val="ListDash"/>
        <w:numPr>
          <w:ilvl w:val="0"/>
          <w:numId w:val="0"/>
        </w:numPr>
      </w:pPr>
      <w:r>
        <w:t xml:space="preserve">ACIL Allen’s initial proposed approach is illustrated in </w:t>
      </w:r>
      <w:r w:rsidR="00492194">
        <w:fldChar w:fldCharType="begin"/>
      </w:r>
      <w:r>
        <w:instrText xml:space="preserve"> REF _Ref408923346 \h </w:instrText>
      </w:r>
      <w:r w:rsidR="00492194">
        <w:fldChar w:fldCharType="separate"/>
      </w:r>
      <w:r w:rsidR="006A273E">
        <w:t xml:space="preserve">Figure </w:t>
      </w:r>
      <w:r w:rsidR="006A273E">
        <w:rPr>
          <w:noProof/>
        </w:rPr>
        <w:t>1</w:t>
      </w:r>
      <w:r w:rsidR="00492194">
        <w:fldChar w:fldCharType="end"/>
      </w:r>
      <w:r w:rsidR="00CB3EC7">
        <w:t xml:space="preserve">. </w:t>
      </w:r>
      <w:r w:rsidR="00271A8F">
        <w:t>Following stakeholders’ strong expressions of interest in the review</w:t>
      </w:r>
      <w:r w:rsidR="00534B02">
        <w:t>,</w:t>
      </w:r>
      <w:r w:rsidR="00271A8F">
        <w:t xml:space="preserve"> the consultations element of the project was extended to include two stakeholder workshops, one in Melbourne and one in Sydney</w:t>
      </w:r>
      <w:r w:rsidR="000A50BF">
        <w:t>.</w:t>
      </w:r>
    </w:p>
    <w:p w14:paraId="3E54DD76" w14:textId="77777777" w:rsidR="00D70065" w:rsidRDefault="002B29DE" w:rsidP="007444A0">
      <w:pPr>
        <w:pStyle w:val="ListDash"/>
        <w:numPr>
          <w:ilvl w:val="0"/>
          <w:numId w:val="0"/>
        </w:numPr>
      </w:pPr>
      <w:r>
        <w:t>Existing data and information reviewed included:</w:t>
      </w:r>
    </w:p>
    <w:p w14:paraId="58C0DF7E" w14:textId="77777777" w:rsidR="002B29DE" w:rsidRDefault="002B29DE" w:rsidP="00E72A12">
      <w:pPr>
        <w:pStyle w:val="ListDash"/>
      </w:pPr>
      <w:r>
        <w:t>NABERS dataset provided by the NSW Office of Environment and Heritage and the TLA dataset provided by the Department</w:t>
      </w:r>
    </w:p>
    <w:p w14:paraId="7A4AC6A0" w14:textId="77777777" w:rsidR="002B29DE" w:rsidRDefault="00E72A12" w:rsidP="002B29DE">
      <w:pPr>
        <w:pStyle w:val="ListDash"/>
      </w:pPr>
      <w:r>
        <w:t>P</w:t>
      </w:r>
      <w:r w:rsidR="002B29DE">
        <w:t>revious reports commissioned by the Department</w:t>
      </w:r>
    </w:p>
    <w:p w14:paraId="21B2F0DF" w14:textId="77777777" w:rsidR="002B29DE" w:rsidRDefault="002B29DE" w:rsidP="002B29DE">
      <w:pPr>
        <w:pStyle w:val="ListDash"/>
      </w:pPr>
      <w:r>
        <w:t>Internal reports prepared by the Department’s CBD team</w:t>
      </w:r>
    </w:p>
    <w:p w14:paraId="68CF6184" w14:textId="77777777" w:rsidR="00E72A12" w:rsidRDefault="00E72A12" w:rsidP="002B29DE">
      <w:pPr>
        <w:pStyle w:val="ListDash"/>
      </w:pPr>
      <w:r>
        <w:t>Documents relating to the establishment and operation of the CBD program</w:t>
      </w:r>
    </w:p>
    <w:p w14:paraId="76DD023B" w14:textId="77777777" w:rsidR="002B29DE" w:rsidRDefault="002B29DE" w:rsidP="002B29DE">
      <w:pPr>
        <w:pStyle w:val="ListDash"/>
      </w:pPr>
      <w:r>
        <w:t>Information on relevant energy efficiency programs operated by the Commonwealth Government, State/Territory governments and local governments</w:t>
      </w:r>
      <w:r w:rsidR="00E2612A">
        <w:t>, including the Emissions Reduction Fund</w:t>
      </w:r>
    </w:p>
    <w:p w14:paraId="17AB8640" w14:textId="77777777" w:rsidR="002B29DE" w:rsidRDefault="002B29DE" w:rsidP="002B29DE">
      <w:pPr>
        <w:pStyle w:val="ListDash"/>
      </w:pPr>
      <w:r>
        <w:t>Information on overseas commercial building mandatory disclosure programs</w:t>
      </w:r>
    </w:p>
    <w:p w14:paraId="2A49FF9F" w14:textId="77777777" w:rsidR="002B29DE" w:rsidRDefault="002B29DE" w:rsidP="002B29DE">
      <w:pPr>
        <w:pStyle w:val="ListDash"/>
      </w:pPr>
      <w:r>
        <w:t>Research papers and reports on the “Green Premium” associated with energy efficient office buildings.</w:t>
      </w:r>
    </w:p>
    <w:p w14:paraId="73E03D57" w14:textId="77777777" w:rsidR="002B29DE" w:rsidRDefault="002B29DE" w:rsidP="007444A0">
      <w:pPr>
        <w:pStyle w:val="ListDash"/>
        <w:numPr>
          <w:ilvl w:val="0"/>
          <w:numId w:val="0"/>
        </w:numPr>
      </w:pPr>
      <w:r>
        <w:t xml:space="preserve">As will be explained in Section </w:t>
      </w:r>
      <w:r w:rsidR="00492194">
        <w:fldChar w:fldCharType="begin"/>
      </w:r>
      <w:r>
        <w:instrText xml:space="preserve"> REF _Ref409774850 \r \h </w:instrText>
      </w:r>
      <w:r w:rsidR="00492194">
        <w:fldChar w:fldCharType="separate"/>
      </w:r>
      <w:r w:rsidR="006A273E">
        <w:t>4.3</w:t>
      </w:r>
      <w:r w:rsidR="00492194">
        <w:fldChar w:fldCharType="end"/>
      </w:r>
      <w:r>
        <w:t xml:space="preserve">, the NABERS data set </w:t>
      </w:r>
      <w:r w:rsidR="00E72A12">
        <w:t>was first segmented into buildings that were rated voluntarily prior to mandatory disclosure and buildings that entered the database after the CBD program was introduced</w:t>
      </w:r>
      <w:r w:rsidR="00CB3EC7">
        <w:t xml:space="preserve">. </w:t>
      </w:r>
      <w:r w:rsidR="00E72A12">
        <w:t>Within each of these broad groups, buildings were further segmented by their initial NABERS star ratings</w:t>
      </w:r>
      <w:r w:rsidR="00CB3EC7">
        <w:t xml:space="preserve">. </w:t>
      </w:r>
      <w:r w:rsidR="00E72A12">
        <w:t xml:space="preserve">Information on the ratings of buildings undertaken before mandatory disclosure was </w:t>
      </w:r>
      <w:r w:rsidR="00E72A12">
        <w:lastRenderedPageBreak/>
        <w:t>used to assist in constructing the counterfactual (Base Case of the cost-benefit analysis) where the CBD program is absent.</w:t>
      </w:r>
    </w:p>
    <w:p w14:paraId="7C9E36DA" w14:textId="77777777" w:rsidR="0062409E" w:rsidRDefault="0062409E" w:rsidP="0062409E">
      <w:pPr>
        <w:pStyle w:val="Caption"/>
        <w:framePr w:w="9921" w:hSpace="181" w:wrap="notBeside" w:vAnchor="text" w:hAnchor="text" w:x="-2550" w:y="1"/>
      </w:pPr>
      <w:bookmarkStart w:id="19" w:name="_Ref408923346"/>
      <w:bookmarkStart w:id="20" w:name="_Toc415660946"/>
      <w:r>
        <w:t xml:space="preserve">Figure </w:t>
      </w:r>
      <w:r w:rsidR="00492194">
        <w:fldChar w:fldCharType="begin"/>
      </w:r>
      <w:r w:rsidR="0044208C">
        <w:instrText xml:space="preserve"> SEQ Figure \* ARABIC </w:instrText>
      </w:r>
      <w:r w:rsidR="00492194">
        <w:fldChar w:fldCharType="separate"/>
      </w:r>
      <w:r w:rsidR="006A273E">
        <w:rPr>
          <w:noProof/>
        </w:rPr>
        <w:t>1</w:t>
      </w:r>
      <w:r w:rsidR="00492194">
        <w:rPr>
          <w:noProof/>
        </w:rPr>
        <w:fldChar w:fldCharType="end"/>
      </w:r>
      <w:bookmarkEnd w:id="15"/>
      <w:bookmarkEnd w:id="19"/>
      <w:r w:rsidRPr="004E0C91">
        <w:rPr>
          <w:b/>
          <w:color w:val="000080"/>
        </w:rPr>
        <w:tab/>
      </w:r>
      <w:r>
        <w:rPr>
          <w:rStyle w:val="CaptionLabel"/>
        </w:rPr>
        <w:t>Project key tasks</w:t>
      </w:r>
      <w:bookmarkEnd w:id="16"/>
      <w:bookmarkEnd w:id="17"/>
      <w:bookmarkEnd w:id="18"/>
      <w:bookmarkEnd w:id="20"/>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919"/>
      </w:tblGrid>
      <w:tr w:rsidR="0062409E" w14:paraId="2FDB7A72" w14:textId="77777777">
        <w:tc>
          <w:tcPr>
            <w:tcW w:w="5000" w:type="pct"/>
          </w:tcPr>
          <w:p w14:paraId="5CAB39F6" w14:textId="77777777" w:rsidR="0062409E" w:rsidRDefault="0062409E" w:rsidP="0062409E">
            <w:pPr>
              <w:pStyle w:val="SmallDeltasRightAligned"/>
              <w:keepNext/>
              <w:keepLines/>
              <w:framePr w:w="9921" w:hSpace="181" w:wrap="notBeside" w:vAnchor="text" w:hAnchor="text" w:x="-2550" w:y="1"/>
            </w:pPr>
            <w:r>
              <w:rPr>
                <w:noProof/>
                <w:lang w:eastAsia="en-AU"/>
              </w:rPr>
              <w:drawing>
                <wp:inline distT="0" distB="0" distL="0" distR="0" wp14:anchorId="084945D5" wp14:editId="7450A86D">
                  <wp:extent cx="481585" cy="234696"/>
                  <wp:effectExtent l="0" t="0" r="0" b="0"/>
                  <wp:docPr id="3" name="Picture 3"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5" cstate="print">
                            <a:duotone>
                              <a:schemeClr val="accent2">
                                <a:shade val="45000"/>
                                <a:satMod val="135000"/>
                              </a:schemeClr>
                              <a:prstClr val="white"/>
                            </a:duotone>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62409E" w14:paraId="04CD3AB8" w14:textId="77777777">
        <w:tc>
          <w:tcPr>
            <w:tcW w:w="5000" w:type="pct"/>
          </w:tcPr>
          <w:p w14:paraId="11F5265B" w14:textId="77777777" w:rsidR="0062409E" w:rsidRDefault="0062409E" w:rsidP="0062409E">
            <w:pPr>
              <w:pStyle w:val="Figure"/>
              <w:keepLines/>
              <w:framePr w:w="9921" w:hSpace="181" w:wrap="notBeside" w:vAnchor="text" w:hAnchor="text" w:x="-2550" w:y="1"/>
            </w:pPr>
            <w:r w:rsidRPr="00D9628D">
              <w:rPr>
                <w:noProof/>
                <w:lang w:eastAsia="en-AU"/>
              </w:rPr>
              <w:drawing>
                <wp:inline distT="0" distB="0" distL="0" distR="0" wp14:anchorId="2EA5725A" wp14:editId="1B3BFD02">
                  <wp:extent cx="6248400" cy="3686175"/>
                  <wp:effectExtent l="38100" t="19050" r="38100" b="85725"/>
                  <wp:docPr id="150" name="Diagram 12" descr="Outline of key project tasks from project inception to project reporting." title="Project key task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c>
      </w:tr>
    </w:tbl>
    <w:p w14:paraId="50524729" w14:textId="77777777" w:rsidR="0062409E" w:rsidRPr="00AE6C4B" w:rsidRDefault="0062409E" w:rsidP="0062409E">
      <w:pPr>
        <w:pStyle w:val="Source"/>
        <w:framePr w:w="9921" w:hSpace="181" w:wrap="notBeside" w:vAnchor="text" w:hAnchor="text" w:x="-2550" w:y="1"/>
      </w:pPr>
      <w:r w:rsidRPr="00B50A1B">
        <w:t>Source:</w:t>
      </w:r>
      <w:r w:rsidRPr="00954EED">
        <w:t xml:space="preserve"> </w:t>
      </w:r>
      <w:r>
        <w:t>ACIL Allen</w:t>
      </w:r>
    </w:p>
    <w:p w14:paraId="7F80D113" w14:textId="77777777" w:rsidR="00525540" w:rsidRDefault="00525540" w:rsidP="00525540">
      <w:pPr>
        <w:pStyle w:val="ListDash"/>
        <w:numPr>
          <w:ilvl w:val="0"/>
          <w:numId w:val="0"/>
        </w:numPr>
      </w:pPr>
      <w:bookmarkStart w:id="21" w:name="_Ref408924227"/>
      <w:r>
        <w:t xml:space="preserve">The methodology employed by ACIL Allen for the cost-benefit analysis of the CBD program to date is explained in Section </w:t>
      </w:r>
      <w:r w:rsidR="00492194">
        <w:fldChar w:fldCharType="begin"/>
      </w:r>
      <w:r>
        <w:instrText xml:space="preserve"> REF _Ref409774850 \r \h </w:instrText>
      </w:r>
      <w:r w:rsidR="00492194">
        <w:fldChar w:fldCharType="separate"/>
      </w:r>
      <w:r w:rsidR="006A273E">
        <w:t>4.3</w:t>
      </w:r>
      <w:r w:rsidR="00492194">
        <w:fldChar w:fldCharType="end"/>
      </w:r>
      <w:r w:rsidR="00C66CF3">
        <w:t>,</w:t>
      </w:r>
      <w:r>
        <w:t xml:space="preserve"> while the methodology for assessing the future costs and benefits of continuing the program is explained in Section </w:t>
      </w:r>
      <w:r w:rsidR="00492194">
        <w:fldChar w:fldCharType="begin"/>
      </w:r>
      <w:r>
        <w:instrText xml:space="preserve"> REF _Ref409782699 \r \h </w:instrText>
      </w:r>
      <w:r w:rsidR="00492194">
        <w:fldChar w:fldCharType="separate"/>
      </w:r>
      <w:r w:rsidR="006A273E">
        <w:t>5.1</w:t>
      </w:r>
      <w:r w:rsidR="00492194">
        <w:fldChar w:fldCharType="end"/>
      </w:r>
      <w:r w:rsidR="00CB3EC7">
        <w:t xml:space="preserve">. </w:t>
      </w:r>
      <w:r>
        <w:t>Methodological details such as specific assumptions are provided in Appendix A.</w:t>
      </w:r>
    </w:p>
    <w:p w14:paraId="0BE1B64C" w14:textId="77777777" w:rsidR="008F05A7" w:rsidRDefault="008F05A7" w:rsidP="008F05A7">
      <w:pPr>
        <w:pStyle w:val="Heading3"/>
      </w:pPr>
      <w:bookmarkStart w:id="22" w:name="_Toc415660824"/>
      <w:r>
        <w:t>Stakeholder consultations</w:t>
      </w:r>
      <w:bookmarkEnd w:id="21"/>
      <w:bookmarkEnd w:id="22"/>
    </w:p>
    <w:p w14:paraId="6D1B46C4" w14:textId="77777777" w:rsidR="00861CCF" w:rsidRDefault="00861CCF" w:rsidP="00861CCF">
      <w:pPr>
        <w:pStyle w:val="BodyText"/>
      </w:pPr>
      <w:r>
        <w:t>ACIL Allen, in collaboration with the Department, presented two stakeholder workshops in Sydney and Melbourne in the first half of November 2014</w:t>
      </w:r>
      <w:r w:rsidR="00CB3EC7">
        <w:t xml:space="preserve">. </w:t>
      </w:r>
      <w:r>
        <w:t>The purpose of the workshops was to allow invited stakeholders to provide feedback on the assumptions in ACIL Allen’s analysis and on the preliminary results from ACIL Allen’s cost-benefit analysis of the CBD program</w:t>
      </w:r>
      <w:r w:rsidR="00CB3EC7">
        <w:t xml:space="preserve">. </w:t>
      </w:r>
      <w:r w:rsidR="00271A8F">
        <w:t>It also provided stakeholders who might not otherwise have been formally consulted with the opportunity to provide any additional information they had to help inform the review.</w:t>
      </w:r>
    </w:p>
    <w:p w14:paraId="4A76C025" w14:textId="77777777" w:rsidR="00861CCF" w:rsidRDefault="00271A8F" w:rsidP="00861CCF">
      <w:pPr>
        <w:pStyle w:val="BodyText"/>
      </w:pPr>
      <w:r>
        <w:t>T</w:t>
      </w:r>
      <w:r w:rsidR="00861CCF">
        <w:t xml:space="preserve">he comments and suggestions raised by workshop participants </w:t>
      </w:r>
      <w:r>
        <w:t xml:space="preserve">have </w:t>
      </w:r>
      <w:r w:rsidR="00861CCF">
        <w:t>enhance</w:t>
      </w:r>
      <w:r>
        <w:t>d</w:t>
      </w:r>
      <w:r w:rsidR="00861CCF">
        <w:t xml:space="preserve"> the robustness of ACIL Allen’s analysis and </w:t>
      </w:r>
      <w:r>
        <w:t>helped to build acceptance of the eventual findings of the review</w:t>
      </w:r>
      <w:r w:rsidR="00CB3EC7">
        <w:t xml:space="preserve">. </w:t>
      </w:r>
      <w:r w:rsidR="00B664C7">
        <w:t xml:space="preserve">These factors will all </w:t>
      </w:r>
      <w:r>
        <w:t>help</w:t>
      </w:r>
      <w:r w:rsidR="00B664C7">
        <w:t xml:space="preserve"> to</w:t>
      </w:r>
      <w:r>
        <w:t xml:space="preserve"> </w:t>
      </w:r>
      <w:r w:rsidR="00861CCF">
        <w:t xml:space="preserve">ensure that </w:t>
      </w:r>
      <w:r w:rsidR="00B664C7">
        <w:t xml:space="preserve">the analysis and recommendations in </w:t>
      </w:r>
      <w:r>
        <w:t xml:space="preserve">this report will </w:t>
      </w:r>
      <w:r w:rsidR="00861CCF">
        <w:t xml:space="preserve">stand up to </w:t>
      </w:r>
      <w:r>
        <w:t xml:space="preserve">careful </w:t>
      </w:r>
      <w:r w:rsidR="00861CCF">
        <w:t>scrutiny</w:t>
      </w:r>
      <w:r w:rsidR="00CB3EC7">
        <w:t xml:space="preserve">. </w:t>
      </w:r>
    </w:p>
    <w:p w14:paraId="48B6177E" w14:textId="77777777" w:rsidR="008F05A7" w:rsidRDefault="00861CCF" w:rsidP="00861CCF">
      <w:pPr>
        <w:pStyle w:val="BodyText"/>
      </w:pPr>
      <w:r>
        <w:t xml:space="preserve">The participants of the two workshops are listed in </w:t>
      </w:r>
      <w:r w:rsidR="00492194">
        <w:fldChar w:fldCharType="begin"/>
      </w:r>
      <w:r>
        <w:instrText xml:space="preserve"> REF _Ref408845587 \h </w:instrText>
      </w:r>
      <w:r w:rsidR="00492194">
        <w:fldChar w:fldCharType="separate"/>
      </w:r>
      <w:r w:rsidR="006A273E">
        <w:t xml:space="preserve">Table </w:t>
      </w:r>
      <w:r w:rsidR="006A273E">
        <w:rPr>
          <w:noProof/>
        </w:rPr>
        <w:t>1</w:t>
      </w:r>
      <w:r w:rsidR="00492194">
        <w:fldChar w:fldCharType="end"/>
      </w:r>
      <w:r w:rsidR="00CB3EC7">
        <w:t xml:space="preserve">. </w:t>
      </w:r>
    </w:p>
    <w:p w14:paraId="0CB024A1" w14:textId="77777777" w:rsidR="008F05A7" w:rsidRDefault="008F05A7">
      <w:pPr>
        <w:pStyle w:val="Caption"/>
        <w:rPr>
          <w:rStyle w:val="CaptionLabel"/>
          <w:rFonts w:asciiTheme="minorHAnsi" w:hAnsiTheme="minorHAnsi" w:cs="Times New Roman"/>
          <w:sz w:val="22"/>
          <w:szCs w:val="22"/>
          <w:lang w:eastAsia="en-AU"/>
        </w:rPr>
      </w:pPr>
      <w:bookmarkStart w:id="23" w:name="_Ref408845587"/>
      <w:bookmarkStart w:id="24" w:name="_Toc415661008"/>
      <w:r>
        <w:lastRenderedPageBreak/>
        <w:t xml:space="preserve">Table </w:t>
      </w:r>
      <w:r w:rsidR="00492194">
        <w:fldChar w:fldCharType="begin"/>
      </w:r>
      <w:r w:rsidR="0044208C">
        <w:instrText xml:space="preserve"> SEQ Table \* ARABIC </w:instrText>
      </w:r>
      <w:r w:rsidR="00492194">
        <w:fldChar w:fldCharType="separate"/>
      </w:r>
      <w:r w:rsidR="006A273E">
        <w:rPr>
          <w:noProof/>
        </w:rPr>
        <w:t>1</w:t>
      </w:r>
      <w:r w:rsidR="00492194">
        <w:rPr>
          <w:noProof/>
        </w:rPr>
        <w:fldChar w:fldCharType="end"/>
      </w:r>
      <w:bookmarkEnd w:id="23"/>
      <w:r w:rsidRPr="008357FB">
        <w:rPr>
          <w:rStyle w:val="CaptionLabel"/>
        </w:rPr>
        <w:tab/>
      </w:r>
      <w:r>
        <w:rPr>
          <w:rStyle w:val="CaptionLabel"/>
        </w:rPr>
        <w:t>List of participants of Sydney and Melbourne workshops</w:t>
      </w:r>
      <w:bookmarkEnd w:id="24"/>
    </w:p>
    <w:tbl>
      <w:tblPr>
        <w:tblStyle w:val="ACILAllenTable"/>
        <w:tblW w:w="0" w:type="auto"/>
        <w:tblLook w:val="04A0" w:firstRow="1" w:lastRow="0" w:firstColumn="1" w:lastColumn="0" w:noHBand="0" w:noVBand="1"/>
        <w:tblCaption w:val="List of participants of Sydney and Melbourne Workshops"/>
        <w:tblDescription w:val="List of participants of Sydney and Melbourne Workshops"/>
      </w:tblPr>
      <w:tblGrid>
        <w:gridCol w:w="3686"/>
        <w:gridCol w:w="3686"/>
      </w:tblGrid>
      <w:tr w:rsidR="008F05A7" w14:paraId="0F6DEA96" w14:textId="77777777" w:rsidTr="00955999">
        <w:trPr>
          <w:cnfStyle w:val="100000000000" w:firstRow="1" w:lastRow="0" w:firstColumn="0" w:lastColumn="0" w:oddVBand="0" w:evenVBand="0" w:oddHBand="0" w:evenHBand="0" w:firstRowFirstColumn="0" w:firstRowLastColumn="0" w:lastRowFirstColumn="0" w:lastRowLastColumn="0"/>
          <w:tblHeader/>
        </w:trPr>
        <w:tc>
          <w:tcPr>
            <w:tcW w:w="3686" w:type="dxa"/>
          </w:tcPr>
          <w:p w14:paraId="5C79DE86" w14:textId="77777777" w:rsidR="008F05A7" w:rsidRPr="008F05A7" w:rsidRDefault="008F05A7" w:rsidP="008F05A7">
            <w:pPr>
              <w:pStyle w:val="Tabletext"/>
              <w:rPr>
                <w:color w:val="FFFFFF" w:themeColor="background1"/>
              </w:rPr>
            </w:pPr>
            <w:r w:rsidRPr="008F05A7">
              <w:rPr>
                <w:color w:val="FFFFFF" w:themeColor="background1"/>
              </w:rPr>
              <w:t>Name of wo</w:t>
            </w:r>
            <w:r>
              <w:rPr>
                <w:color w:val="FFFFFF" w:themeColor="background1"/>
              </w:rPr>
              <w:t>r</w:t>
            </w:r>
            <w:r w:rsidRPr="008F05A7">
              <w:rPr>
                <w:color w:val="FFFFFF" w:themeColor="background1"/>
              </w:rPr>
              <w:t>ks</w:t>
            </w:r>
            <w:r>
              <w:rPr>
                <w:color w:val="FFFFFF" w:themeColor="background1"/>
              </w:rPr>
              <w:t>h</w:t>
            </w:r>
            <w:r w:rsidRPr="008F05A7">
              <w:rPr>
                <w:color w:val="FFFFFF" w:themeColor="background1"/>
              </w:rPr>
              <w:t>op participant</w:t>
            </w:r>
          </w:p>
        </w:tc>
        <w:tc>
          <w:tcPr>
            <w:tcW w:w="3686" w:type="dxa"/>
          </w:tcPr>
          <w:p w14:paraId="4A5A90B2" w14:textId="77777777" w:rsidR="008F05A7" w:rsidRPr="008F05A7" w:rsidRDefault="00585F11" w:rsidP="005609B3">
            <w:pPr>
              <w:pStyle w:val="Tabletext"/>
              <w:rPr>
                <w:color w:val="FFFFFF" w:themeColor="background1"/>
              </w:rPr>
            </w:pPr>
            <w:r>
              <w:rPr>
                <w:color w:val="FFFFFF" w:themeColor="background1"/>
              </w:rPr>
              <w:t>Organisation represented</w:t>
            </w:r>
          </w:p>
        </w:tc>
      </w:tr>
      <w:tr w:rsidR="00585F11" w14:paraId="0B650FDC" w14:textId="77777777" w:rsidTr="00955999">
        <w:tc>
          <w:tcPr>
            <w:tcW w:w="7372" w:type="dxa"/>
            <w:gridSpan w:val="2"/>
            <w:shd w:val="clear" w:color="auto" w:fill="EADDED" w:themeFill="text2" w:themeFillTint="33"/>
          </w:tcPr>
          <w:p w14:paraId="06CD41E1" w14:textId="77777777" w:rsidR="00585F11" w:rsidRDefault="00585F11" w:rsidP="005609B3">
            <w:pPr>
              <w:pStyle w:val="Tabletext"/>
            </w:pPr>
            <w:r w:rsidRPr="008F05A7">
              <w:rPr>
                <w:b/>
              </w:rPr>
              <w:t>Sydney workshop</w:t>
            </w:r>
            <w:r>
              <w:rPr>
                <w:b/>
              </w:rPr>
              <w:t xml:space="preserve"> (10 November 2014)</w:t>
            </w:r>
          </w:p>
        </w:tc>
      </w:tr>
      <w:tr w:rsidR="008F05A7" w14:paraId="274E515C" w14:textId="77777777" w:rsidTr="00955999">
        <w:tc>
          <w:tcPr>
            <w:tcW w:w="3686" w:type="dxa"/>
          </w:tcPr>
          <w:p w14:paraId="3F1E2A76" w14:textId="77777777" w:rsidR="008F05A7" w:rsidRDefault="008F05A7" w:rsidP="005609B3">
            <w:pPr>
              <w:pStyle w:val="Tabletext"/>
            </w:pPr>
            <w:r>
              <w:t>Chris Bloomfield</w:t>
            </w:r>
          </w:p>
        </w:tc>
        <w:tc>
          <w:tcPr>
            <w:tcW w:w="3686" w:type="dxa"/>
          </w:tcPr>
          <w:p w14:paraId="034FCBE9" w14:textId="77777777" w:rsidR="008F05A7" w:rsidRDefault="008F05A7" w:rsidP="005609B3">
            <w:pPr>
              <w:pStyle w:val="Tabletext"/>
            </w:pPr>
            <w:r>
              <w:t>Energy Action</w:t>
            </w:r>
          </w:p>
        </w:tc>
      </w:tr>
      <w:tr w:rsidR="008F05A7" w14:paraId="05A78DAD" w14:textId="77777777" w:rsidTr="00955999">
        <w:tc>
          <w:tcPr>
            <w:tcW w:w="3686" w:type="dxa"/>
          </w:tcPr>
          <w:p w14:paraId="0293F43E" w14:textId="77777777" w:rsidR="008F05A7" w:rsidRDefault="008F05A7" w:rsidP="005609B3">
            <w:pPr>
              <w:pStyle w:val="Tabletext"/>
            </w:pPr>
            <w:r>
              <w:t>Esther Bailey</w:t>
            </w:r>
          </w:p>
        </w:tc>
        <w:tc>
          <w:tcPr>
            <w:tcW w:w="3686" w:type="dxa"/>
          </w:tcPr>
          <w:p w14:paraId="010DB363" w14:textId="77777777" w:rsidR="008F05A7" w:rsidRDefault="008F05A7" w:rsidP="005609B3">
            <w:pPr>
              <w:pStyle w:val="Tabletext"/>
            </w:pPr>
            <w:r>
              <w:t>City Switch</w:t>
            </w:r>
          </w:p>
        </w:tc>
      </w:tr>
      <w:tr w:rsidR="008F05A7" w14:paraId="703A45F6" w14:textId="77777777" w:rsidTr="00955999">
        <w:tc>
          <w:tcPr>
            <w:tcW w:w="3686" w:type="dxa"/>
          </w:tcPr>
          <w:p w14:paraId="07F2CC82" w14:textId="77777777" w:rsidR="008F05A7" w:rsidRDefault="008F05A7" w:rsidP="005609B3">
            <w:pPr>
              <w:pStyle w:val="Tabletext"/>
            </w:pPr>
            <w:r>
              <w:t>Frank Roberson</w:t>
            </w:r>
          </w:p>
        </w:tc>
        <w:tc>
          <w:tcPr>
            <w:tcW w:w="3686" w:type="dxa"/>
          </w:tcPr>
          <w:p w14:paraId="089C5374" w14:textId="77777777" w:rsidR="008F05A7" w:rsidRDefault="008F05A7" w:rsidP="005609B3">
            <w:pPr>
              <w:pStyle w:val="Tabletext"/>
            </w:pPr>
            <w:r>
              <w:t>NSW Office of Environment and Heritage, NABERS</w:t>
            </w:r>
          </w:p>
        </w:tc>
      </w:tr>
      <w:tr w:rsidR="008F05A7" w14:paraId="605987D1" w14:textId="77777777" w:rsidTr="00955999">
        <w:tc>
          <w:tcPr>
            <w:tcW w:w="3686" w:type="dxa"/>
          </w:tcPr>
          <w:p w14:paraId="069AE2F1" w14:textId="77777777" w:rsidR="008F05A7" w:rsidRDefault="008F05A7" w:rsidP="005609B3">
            <w:pPr>
              <w:pStyle w:val="Tabletext"/>
            </w:pPr>
            <w:r>
              <w:t>Carlos Flores</w:t>
            </w:r>
          </w:p>
        </w:tc>
        <w:tc>
          <w:tcPr>
            <w:tcW w:w="3686" w:type="dxa"/>
          </w:tcPr>
          <w:p w14:paraId="7F00E4E1" w14:textId="77777777" w:rsidR="008F05A7" w:rsidRDefault="008F05A7" w:rsidP="005609B3">
            <w:pPr>
              <w:pStyle w:val="Tabletext"/>
            </w:pPr>
            <w:r>
              <w:t>NSW Office of Environment and Heritage, NABERS</w:t>
            </w:r>
          </w:p>
        </w:tc>
      </w:tr>
      <w:tr w:rsidR="008F05A7" w14:paraId="1B7F0428" w14:textId="77777777" w:rsidTr="00955999">
        <w:tc>
          <w:tcPr>
            <w:tcW w:w="3686" w:type="dxa"/>
          </w:tcPr>
          <w:p w14:paraId="65BC5555" w14:textId="77777777" w:rsidR="008F05A7" w:rsidRDefault="008F05A7" w:rsidP="005609B3">
            <w:pPr>
              <w:pStyle w:val="Tabletext"/>
            </w:pPr>
            <w:r>
              <w:t>Sam MacLean</w:t>
            </w:r>
          </w:p>
        </w:tc>
        <w:tc>
          <w:tcPr>
            <w:tcW w:w="3686" w:type="dxa"/>
          </w:tcPr>
          <w:p w14:paraId="05229A1D" w14:textId="77777777" w:rsidR="008F05A7" w:rsidRDefault="008F05A7" w:rsidP="005609B3">
            <w:pPr>
              <w:pStyle w:val="Tabletext"/>
            </w:pPr>
            <w:r>
              <w:t>NSW Office of Environment and Heritage, NABERS</w:t>
            </w:r>
          </w:p>
        </w:tc>
      </w:tr>
      <w:tr w:rsidR="008F05A7" w14:paraId="25053A5D" w14:textId="77777777" w:rsidTr="00955999">
        <w:tc>
          <w:tcPr>
            <w:tcW w:w="3686" w:type="dxa"/>
          </w:tcPr>
          <w:p w14:paraId="72CF4027" w14:textId="77777777" w:rsidR="008F05A7" w:rsidRDefault="008F05A7" w:rsidP="008F05A7">
            <w:pPr>
              <w:pStyle w:val="Tabletext"/>
            </w:pPr>
            <w:r>
              <w:t xml:space="preserve">Tom </w:t>
            </w:r>
            <w:proofErr w:type="spellStart"/>
            <w:r>
              <w:t>Belsham</w:t>
            </w:r>
            <w:proofErr w:type="spellEnd"/>
          </w:p>
        </w:tc>
        <w:tc>
          <w:tcPr>
            <w:tcW w:w="3686" w:type="dxa"/>
          </w:tcPr>
          <w:p w14:paraId="13DD1F44" w14:textId="77777777" w:rsidR="008F05A7" w:rsidRDefault="008F05A7" w:rsidP="008F05A7">
            <w:pPr>
              <w:pStyle w:val="Tabletext"/>
            </w:pPr>
            <w:r>
              <w:t>City of Sydney</w:t>
            </w:r>
          </w:p>
        </w:tc>
      </w:tr>
      <w:tr w:rsidR="008F05A7" w14:paraId="551D2368" w14:textId="77777777" w:rsidTr="00955999">
        <w:tc>
          <w:tcPr>
            <w:tcW w:w="3686" w:type="dxa"/>
          </w:tcPr>
          <w:p w14:paraId="549CC046" w14:textId="77777777" w:rsidR="008F05A7" w:rsidRDefault="008F05A7" w:rsidP="008F05A7">
            <w:pPr>
              <w:pStyle w:val="Tabletext"/>
            </w:pPr>
            <w:r>
              <w:t>Beck Dawson</w:t>
            </w:r>
          </w:p>
        </w:tc>
        <w:tc>
          <w:tcPr>
            <w:tcW w:w="3686" w:type="dxa"/>
          </w:tcPr>
          <w:p w14:paraId="1C892A01" w14:textId="77777777" w:rsidR="008F05A7" w:rsidRDefault="008F05A7" w:rsidP="008F05A7">
            <w:pPr>
              <w:pStyle w:val="Tabletext"/>
            </w:pPr>
            <w:proofErr w:type="spellStart"/>
            <w:r>
              <w:t>Investa</w:t>
            </w:r>
            <w:proofErr w:type="spellEnd"/>
            <w:r>
              <w:t xml:space="preserve"> Property Group</w:t>
            </w:r>
          </w:p>
        </w:tc>
      </w:tr>
      <w:tr w:rsidR="008F05A7" w14:paraId="10CF6348" w14:textId="77777777" w:rsidTr="00955999">
        <w:tc>
          <w:tcPr>
            <w:tcW w:w="3686" w:type="dxa"/>
          </w:tcPr>
          <w:p w14:paraId="59E42BB7" w14:textId="77777777" w:rsidR="008F05A7" w:rsidRDefault="008F05A7" w:rsidP="008F05A7">
            <w:pPr>
              <w:pStyle w:val="Tabletext"/>
            </w:pPr>
            <w:r>
              <w:t>Charlie Thomas</w:t>
            </w:r>
          </w:p>
        </w:tc>
        <w:tc>
          <w:tcPr>
            <w:tcW w:w="3686" w:type="dxa"/>
          </w:tcPr>
          <w:p w14:paraId="216DEAA4" w14:textId="77777777" w:rsidR="008F05A7" w:rsidRDefault="008F05A7" w:rsidP="008F05A7">
            <w:pPr>
              <w:pStyle w:val="Tabletext"/>
            </w:pPr>
            <w:r>
              <w:t>Property Council of Australia (PCA)</w:t>
            </w:r>
          </w:p>
        </w:tc>
      </w:tr>
      <w:tr w:rsidR="008F05A7" w14:paraId="7C2C3FEA" w14:textId="77777777" w:rsidTr="00955999">
        <w:tc>
          <w:tcPr>
            <w:tcW w:w="3686" w:type="dxa"/>
          </w:tcPr>
          <w:p w14:paraId="7F20827D" w14:textId="77777777" w:rsidR="008F05A7" w:rsidRDefault="008F05A7" w:rsidP="008F05A7">
            <w:pPr>
              <w:pStyle w:val="Tabletext"/>
            </w:pPr>
            <w:proofErr w:type="spellStart"/>
            <w:r w:rsidRPr="0051150A">
              <w:t>Ché</w:t>
            </w:r>
            <w:proofErr w:type="spellEnd"/>
            <w:r w:rsidRPr="0051150A">
              <w:t xml:space="preserve"> Wall</w:t>
            </w:r>
          </w:p>
        </w:tc>
        <w:tc>
          <w:tcPr>
            <w:tcW w:w="3686" w:type="dxa"/>
          </w:tcPr>
          <w:p w14:paraId="1D3B049A" w14:textId="77777777" w:rsidR="008F05A7" w:rsidRDefault="008F05A7" w:rsidP="008F05A7">
            <w:pPr>
              <w:pStyle w:val="Tabletext"/>
            </w:pPr>
            <w:r>
              <w:t>Flux Consultants</w:t>
            </w:r>
          </w:p>
        </w:tc>
      </w:tr>
      <w:tr w:rsidR="008F05A7" w14:paraId="2163509E" w14:textId="77777777" w:rsidTr="00955999">
        <w:tc>
          <w:tcPr>
            <w:tcW w:w="3686" w:type="dxa"/>
          </w:tcPr>
          <w:p w14:paraId="489CE825" w14:textId="77777777" w:rsidR="008F05A7" w:rsidRDefault="008F05A7" w:rsidP="008F05A7">
            <w:pPr>
              <w:pStyle w:val="Tabletext"/>
            </w:pPr>
            <w:r>
              <w:t>Steve Hennessey</w:t>
            </w:r>
          </w:p>
        </w:tc>
        <w:tc>
          <w:tcPr>
            <w:tcW w:w="3686" w:type="dxa"/>
          </w:tcPr>
          <w:p w14:paraId="4682C243" w14:textId="77777777" w:rsidR="008F05A7" w:rsidRDefault="008F05A7" w:rsidP="008F05A7">
            <w:pPr>
              <w:pStyle w:val="Tabletext"/>
            </w:pPr>
            <w:r>
              <w:t>WT Sustainability</w:t>
            </w:r>
          </w:p>
        </w:tc>
      </w:tr>
      <w:tr w:rsidR="008F05A7" w14:paraId="11A74DCD" w14:textId="77777777" w:rsidTr="00955999">
        <w:tc>
          <w:tcPr>
            <w:tcW w:w="3686" w:type="dxa"/>
          </w:tcPr>
          <w:p w14:paraId="7A1893CA" w14:textId="77777777" w:rsidR="008F05A7" w:rsidRDefault="008F05A7" w:rsidP="008F05A7">
            <w:pPr>
              <w:pStyle w:val="Tabletext"/>
            </w:pPr>
            <w:r>
              <w:t>PC Thomas</w:t>
            </w:r>
          </w:p>
        </w:tc>
        <w:tc>
          <w:tcPr>
            <w:tcW w:w="3686" w:type="dxa"/>
          </w:tcPr>
          <w:p w14:paraId="1BEA96C9" w14:textId="77777777" w:rsidR="008F05A7" w:rsidRDefault="008F05A7" w:rsidP="008F05A7">
            <w:pPr>
              <w:pStyle w:val="Tabletext"/>
            </w:pPr>
            <w:r>
              <w:t>Team Catalyst</w:t>
            </w:r>
          </w:p>
        </w:tc>
      </w:tr>
      <w:tr w:rsidR="008F05A7" w14:paraId="3B46BEC8" w14:textId="77777777" w:rsidTr="00955999">
        <w:tc>
          <w:tcPr>
            <w:tcW w:w="3686" w:type="dxa"/>
          </w:tcPr>
          <w:p w14:paraId="5A606E77" w14:textId="77777777" w:rsidR="008F05A7" w:rsidRDefault="008F05A7" w:rsidP="008F05A7">
            <w:pPr>
              <w:pStyle w:val="Tabletext"/>
            </w:pPr>
            <w:r>
              <w:t xml:space="preserve">Gary </w:t>
            </w:r>
            <w:proofErr w:type="spellStart"/>
            <w:r>
              <w:t>Whatling</w:t>
            </w:r>
            <w:proofErr w:type="spellEnd"/>
          </w:p>
        </w:tc>
        <w:tc>
          <w:tcPr>
            <w:tcW w:w="3686" w:type="dxa"/>
          </w:tcPr>
          <w:p w14:paraId="407A9F86" w14:textId="77777777" w:rsidR="008F05A7" w:rsidRDefault="00B664C7" w:rsidP="00B664C7">
            <w:pPr>
              <w:pStyle w:val="Tabletext"/>
            </w:pPr>
            <w:r>
              <w:t>Jones Lang LaSalle (</w:t>
            </w:r>
            <w:r w:rsidR="008F05A7">
              <w:t>JLL</w:t>
            </w:r>
            <w:r>
              <w:t>)</w:t>
            </w:r>
          </w:p>
        </w:tc>
      </w:tr>
      <w:tr w:rsidR="008F05A7" w14:paraId="0DA10F17" w14:textId="77777777" w:rsidTr="00955999">
        <w:tc>
          <w:tcPr>
            <w:tcW w:w="3686" w:type="dxa"/>
          </w:tcPr>
          <w:p w14:paraId="2411D619" w14:textId="77777777" w:rsidR="008F05A7" w:rsidRDefault="008F05A7" w:rsidP="008F05A7">
            <w:pPr>
              <w:pStyle w:val="Tabletext"/>
            </w:pPr>
            <w:r>
              <w:t>Chris Nunn</w:t>
            </w:r>
          </w:p>
        </w:tc>
        <w:tc>
          <w:tcPr>
            <w:tcW w:w="3686" w:type="dxa"/>
          </w:tcPr>
          <w:p w14:paraId="5B4F55F2" w14:textId="77777777" w:rsidR="008F05A7" w:rsidRDefault="006038C7" w:rsidP="008F05A7">
            <w:pPr>
              <w:pStyle w:val="Tabletext"/>
            </w:pPr>
            <w:r>
              <w:t xml:space="preserve">Jones Lang LaSalle </w:t>
            </w:r>
            <w:r w:rsidR="00FF7D4B">
              <w:t>(</w:t>
            </w:r>
            <w:r w:rsidR="008F05A7">
              <w:t>JLL</w:t>
            </w:r>
            <w:r w:rsidR="00FF7D4B">
              <w:t>)</w:t>
            </w:r>
          </w:p>
        </w:tc>
      </w:tr>
      <w:tr w:rsidR="008F05A7" w14:paraId="356849A6" w14:textId="77777777" w:rsidTr="00955999">
        <w:tc>
          <w:tcPr>
            <w:tcW w:w="3686" w:type="dxa"/>
          </w:tcPr>
          <w:p w14:paraId="76CCA797" w14:textId="77777777" w:rsidR="008F05A7" w:rsidRDefault="008F05A7" w:rsidP="008F05A7">
            <w:pPr>
              <w:pStyle w:val="Tabletext"/>
            </w:pPr>
            <w:r>
              <w:t xml:space="preserve">Robert </w:t>
            </w:r>
            <w:proofErr w:type="spellStart"/>
            <w:r>
              <w:t>Sviderskas</w:t>
            </w:r>
            <w:proofErr w:type="spellEnd"/>
          </w:p>
        </w:tc>
        <w:tc>
          <w:tcPr>
            <w:tcW w:w="3686" w:type="dxa"/>
          </w:tcPr>
          <w:p w14:paraId="24463B93" w14:textId="77777777" w:rsidR="008F05A7" w:rsidRDefault="008F05A7" w:rsidP="008F05A7">
            <w:pPr>
              <w:pStyle w:val="Tabletext"/>
            </w:pPr>
            <w:r>
              <w:t>ISPT</w:t>
            </w:r>
            <w:r w:rsidR="00EB7834">
              <w:t xml:space="preserve"> Super Property</w:t>
            </w:r>
          </w:p>
        </w:tc>
      </w:tr>
      <w:tr w:rsidR="008F05A7" w14:paraId="48C5AB0B" w14:textId="77777777" w:rsidTr="00955999">
        <w:tc>
          <w:tcPr>
            <w:tcW w:w="3686" w:type="dxa"/>
          </w:tcPr>
          <w:p w14:paraId="7CDE3793" w14:textId="77777777" w:rsidR="008F05A7" w:rsidRDefault="008F05A7" w:rsidP="008F05A7">
            <w:pPr>
              <w:pStyle w:val="Tabletext"/>
            </w:pPr>
            <w:r>
              <w:t>Ian Van Eerden</w:t>
            </w:r>
          </w:p>
        </w:tc>
        <w:tc>
          <w:tcPr>
            <w:tcW w:w="3686" w:type="dxa"/>
          </w:tcPr>
          <w:p w14:paraId="7406ED2C" w14:textId="77777777" w:rsidR="008F05A7" w:rsidRDefault="00EB7834" w:rsidP="008F05A7">
            <w:pPr>
              <w:pStyle w:val="Tabletext"/>
            </w:pPr>
            <w:r>
              <w:t>Normal Disney &amp; Young</w:t>
            </w:r>
          </w:p>
        </w:tc>
      </w:tr>
      <w:tr w:rsidR="008F05A7" w14:paraId="5EDBEACD" w14:textId="77777777" w:rsidTr="00955999">
        <w:tc>
          <w:tcPr>
            <w:tcW w:w="3686" w:type="dxa"/>
          </w:tcPr>
          <w:p w14:paraId="623F9ACA" w14:textId="77777777" w:rsidR="008F05A7" w:rsidRDefault="008F05A7" w:rsidP="008F05A7">
            <w:pPr>
              <w:pStyle w:val="Tabletext"/>
            </w:pPr>
            <w:r>
              <w:t>Katy Dean</w:t>
            </w:r>
          </w:p>
        </w:tc>
        <w:tc>
          <w:tcPr>
            <w:tcW w:w="3686" w:type="dxa"/>
          </w:tcPr>
          <w:p w14:paraId="3D221066" w14:textId="77777777" w:rsidR="008F05A7" w:rsidRDefault="008F05A7" w:rsidP="008F05A7">
            <w:pPr>
              <w:pStyle w:val="Tabletext"/>
            </w:pPr>
            <w:r>
              <w:t>Green Building Council of Australia (GBCA)</w:t>
            </w:r>
          </w:p>
        </w:tc>
      </w:tr>
      <w:tr w:rsidR="008F05A7" w14:paraId="10C90C2D" w14:textId="77777777" w:rsidTr="00955999">
        <w:tc>
          <w:tcPr>
            <w:tcW w:w="3686" w:type="dxa"/>
          </w:tcPr>
          <w:p w14:paraId="35CB9AD5" w14:textId="77777777" w:rsidR="008F05A7" w:rsidRDefault="008F05A7" w:rsidP="008F05A7">
            <w:pPr>
              <w:pStyle w:val="Tabletext"/>
            </w:pPr>
            <w:r>
              <w:t>Kristin Pryce</w:t>
            </w:r>
          </w:p>
        </w:tc>
        <w:tc>
          <w:tcPr>
            <w:tcW w:w="3686" w:type="dxa"/>
          </w:tcPr>
          <w:p w14:paraId="5EFFA77B" w14:textId="77777777" w:rsidR="008F05A7" w:rsidRDefault="008F05A7" w:rsidP="008F05A7">
            <w:pPr>
              <w:pStyle w:val="Tabletext"/>
            </w:pPr>
            <w:r>
              <w:t>Shopping Centre Council of Australia</w:t>
            </w:r>
          </w:p>
        </w:tc>
      </w:tr>
      <w:tr w:rsidR="00FF7D4B" w14:paraId="64DFBFED" w14:textId="77777777" w:rsidTr="00955999">
        <w:tc>
          <w:tcPr>
            <w:tcW w:w="3686" w:type="dxa"/>
          </w:tcPr>
          <w:p w14:paraId="0BE4E2CF" w14:textId="77777777" w:rsidR="00FF7D4B" w:rsidRDefault="00FF7D4B" w:rsidP="008F05A7">
            <w:pPr>
              <w:pStyle w:val="Tabletext"/>
            </w:pPr>
            <w:r w:rsidRPr="00FF7D4B">
              <w:t xml:space="preserve">Marine </w:t>
            </w:r>
            <w:proofErr w:type="spellStart"/>
            <w:r w:rsidRPr="00FF7D4B">
              <w:t>Calmettes</w:t>
            </w:r>
            <w:proofErr w:type="spellEnd"/>
          </w:p>
        </w:tc>
        <w:tc>
          <w:tcPr>
            <w:tcW w:w="3686" w:type="dxa"/>
          </w:tcPr>
          <w:p w14:paraId="66DDC51C" w14:textId="77777777" w:rsidR="00FF7D4B" w:rsidRDefault="00FF7D4B" w:rsidP="008F05A7">
            <w:pPr>
              <w:pStyle w:val="Tabletext"/>
            </w:pPr>
            <w:proofErr w:type="spellStart"/>
            <w:r w:rsidRPr="00FF7D4B">
              <w:t>Umow</w:t>
            </w:r>
            <w:proofErr w:type="spellEnd"/>
            <w:r w:rsidRPr="00FF7D4B">
              <w:t xml:space="preserve"> Lai</w:t>
            </w:r>
          </w:p>
        </w:tc>
      </w:tr>
      <w:tr w:rsidR="00FF7D4B" w14:paraId="0F98A33A" w14:textId="77777777" w:rsidTr="00955999">
        <w:tc>
          <w:tcPr>
            <w:tcW w:w="3686" w:type="dxa"/>
          </w:tcPr>
          <w:p w14:paraId="76D2D17E" w14:textId="77777777" w:rsidR="00FF7D4B" w:rsidRPr="00FF7D4B" w:rsidRDefault="00FF7D4B" w:rsidP="008F05A7">
            <w:pPr>
              <w:pStyle w:val="Tabletext"/>
            </w:pPr>
            <w:r w:rsidRPr="00FF7D4B">
              <w:t>Brett Johnson</w:t>
            </w:r>
          </w:p>
        </w:tc>
        <w:tc>
          <w:tcPr>
            <w:tcW w:w="3686" w:type="dxa"/>
          </w:tcPr>
          <w:p w14:paraId="10BBCC48" w14:textId="77777777" w:rsidR="00FF7D4B" w:rsidRPr="00FF7D4B" w:rsidRDefault="00FF7D4B" w:rsidP="008F05A7">
            <w:pPr>
              <w:pStyle w:val="Tabletext"/>
            </w:pPr>
            <w:r w:rsidRPr="00FF7D4B">
              <w:t>Jones Lang LaSalle (JLL)</w:t>
            </w:r>
          </w:p>
        </w:tc>
      </w:tr>
      <w:tr w:rsidR="00FF7D4B" w14:paraId="3ADCE5CB" w14:textId="77777777" w:rsidTr="00955999">
        <w:tc>
          <w:tcPr>
            <w:tcW w:w="3686" w:type="dxa"/>
          </w:tcPr>
          <w:p w14:paraId="6DBA9CF8" w14:textId="77777777" w:rsidR="00FF7D4B" w:rsidRPr="00FF7D4B" w:rsidRDefault="00FF7D4B" w:rsidP="008F05A7">
            <w:pPr>
              <w:pStyle w:val="Tabletext"/>
            </w:pPr>
            <w:r w:rsidRPr="00FF7D4B">
              <w:t>GS Rao</w:t>
            </w:r>
          </w:p>
        </w:tc>
        <w:tc>
          <w:tcPr>
            <w:tcW w:w="3686" w:type="dxa"/>
          </w:tcPr>
          <w:p w14:paraId="2B24B913" w14:textId="77777777" w:rsidR="00FF7D4B" w:rsidRPr="00FF7D4B" w:rsidRDefault="00FF7D4B" w:rsidP="008F05A7">
            <w:pPr>
              <w:pStyle w:val="Tabletext"/>
            </w:pPr>
            <w:r w:rsidRPr="00FF7D4B">
              <w:t>Team Catalyst</w:t>
            </w:r>
          </w:p>
        </w:tc>
      </w:tr>
      <w:tr w:rsidR="00FF7D4B" w14:paraId="25640D0B" w14:textId="77777777" w:rsidTr="00955999">
        <w:tc>
          <w:tcPr>
            <w:tcW w:w="3686" w:type="dxa"/>
          </w:tcPr>
          <w:p w14:paraId="4768790F" w14:textId="77777777" w:rsidR="00FF7D4B" w:rsidRPr="00FF7D4B" w:rsidRDefault="00FF7D4B" w:rsidP="008F05A7">
            <w:pPr>
              <w:pStyle w:val="Tabletext"/>
            </w:pPr>
            <w:r w:rsidRPr="00FF7D4B">
              <w:t>Paul Riordan</w:t>
            </w:r>
          </w:p>
        </w:tc>
        <w:tc>
          <w:tcPr>
            <w:tcW w:w="3686" w:type="dxa"/>
          </w:tcPr>
          <w:p w14:paraId="0DF905E6" w14:textId="77777777" w:rsidR="00FF7D4B" w:rsidRPr="00FF7D4B" w:rsidRDefault="00FF7D4B" w:rsidP="00B20792">
            <w:pPr>
              <w:pStyle w:val="Tabletext"/>
            </w:pPr>
            <w:r w:rsidRPr="00FF7D4B">
              <w:t xml:space="preserve">Paul Riordan </w:t>
            </w:r>
            <w:r w:rsidR="00B20792">
              <w:t>C</w:t>
            </w:r>
            <w:r w:rsidRPr="00FF7D4B">
              <w:t>onsulting</w:t>
            </w:r>
          </w:p>
        </w:tc>
      </w:tr>
      <w:tr w:rsidR="00FF7D4B" w14:paraId="354A85C9" w14:textId="77777777" w:rsidTr="00955999">
        <w:tc>
          <w:tcPr>
            <w:tcW w:w="3686" w:type="dxa"/>
          </w:tcPr>
          <w:p w14:paraId="0A55133A" w14:textId="77777777" w:rsidR="00FF7D4B" w:rsidRPr="00FF7D4B" w:rsidRDefault="00FF7D4B" w:rsidP="008F05A7">
            <w:pPr>
              <w:pStyle w:val="Tabletext"/>
            </w:pPr>
            <w:r w:rsidRPr="00FF7D4B">
              <w:t>Emma McMahon</w:t>
            </w:r>
          </w:p>
        </w:tc>
        <w:tc>
          <w:tcPr>
            <w:tcW w:w="3686" w:type="dxa"/>
          </w:tcPr>
          <w:p w14:paraId="7CCF3C55" w14:textId="77777777" w:rsidR="00FF7D4B" w:rsidRPr="00FF7D4B" w:rsidRDefault="00FF7D4B" w:rsidP="008F05A7">
            <w:pPr>
              <w:pStyle w:val="Tabletext"/>
            </w:pPr>
            <w:r>
              <w:t>CBRE Australia</w:t>
            </w:r>
          </w:p>
        </w:tc>
      </w:tr>
      <w:tr w:rsidR="00FF7D4B" w14:paraId="7131F1FA" w14:textId="77777777" w:rsidTr="00955999">
        <w:tc>
          <w:tcPr>
            <w:tcW w:w="3686" w:type="dxa"/>
          </w:tcPr>
          <w:p w14:paraId="06FB4212" w14:textId="77777777" w:rsidR="00FF7D4B" w:rsidRPr="00FF7D4B" w:rsidRDefault="00FF7D4B" w:rsidP="008F05A7">
            <w:pPr>
              <w:pStyle w:val="Tabletext"/>
            </w:pPr>
            <w:r w:rsidRPr="00FF7D4B">
              <w:t>Michael Bosnich</w:t>
            </w:r>
          </w:p>
        </w:tc>
        <w:tc>
          <w:tcPr>
            <w:tcW w:w="3686" w:type="dxa"/>
          </w:tcPr>
          <w:p w14:paraId="70225C0A" w14:textId="77777777" w:rsidR="00FF7D4B" w:rsidRDefault="00FF7D4B" w:rsidP="00B20792">
            <w:pPr>
              <w:pStyle w:val="Tabletext"/>
            </w:pPr>
            <w:r>
              <w:t xml:space="preserve">CBD </w:t>
            </w:r>
            <w:r w:rsidR="00B20792">
              <w:t>a</w:t>
            </w:r>
            <w:r>
              <w:t>ssessor</w:t>
            </w:r>
          </w:p>
        </w:tc>
      </w:tr>
      <w:tr w:rsidR="00585F11" w14:paraId="065E80E2" w14:textId="77777777" w:rsidTr="00955999">
        <w:tc>
          <w:tcPr>
            <w:tcW w:w="7372" w:type="dxa"/>
            <w:gridSpan w:val="2"/>
            <w:shd w:val="clear" w:color="auto" w:fill="EADDED" w:themeFill="text2" w:themeFillTint="33"/>
          </w:tcPr>
          <w:p w14:paraId="241CF7E3" w14:textId="77777777" w:rsidR="00585F11" w:rsidRDefault="00585F11" w:rsidP="008F05A7">
            <w:pPr>
              <w:pStyle w:val="Tabletext"/>
            </w:pPr>
            <w:r w:rsidRPr="008F05A7">
              <w:rPr>
                <w:b/>
              </w:rPr>
              <w:t>Melbourne workshop</w:t>
            </w:r>
            <w:r>
              <w:rPr>
                <w:b/>
              </w:rPr>
              <w:t xml:space="preserve"> (6 November 2014)</w:t>
            </w:r>
          </w:p>
        </w:tc>
      </w:tr>
      <w:tr w:rsidR="008F05A7" w14:paraId="2DE70819" w14:textId="77777777" w:rsidTr="00955999">
        <w:tc>
          <w:tcPr>
            <w:tcW w:w="3686" w:type="dxa"/>
          </w:tcPr>
          <w:p w14:paraId="7283012A" w14:textId="77777777" w:rsidR="008F05A7" w:rsidRDefault="008F05A7" w:rsidP="008F05A7">
            <w:pPr>
              <w:pStyle w:val="Tabletext"/>
            </w:pPr>
            <w:r>
              <w:t>Phil Wilkinson</w:t>
            </w:r>
          </w:p>
        </w:tc>
        <w:tc>
          <w:tcPr>
            <w:tcW w:w="3686" w:type="dxa"/>
          </w:tcPr>
          <w:p w14:paraId="26D0A8C3" w14:textId="77777777" w:rsidR="008F05A7" w:rsidRDefault="00EC060D" w:rsidP="008F05A7">
            <w:pPr>
              <w:pStyle w:val="Tabletext"/>
            </w:pPr>
            <w:r w:rsidRPr="00EC060D">
              <w:t>Australian Institute of Refrigeration, Air Conditioning and Heating</w:t>
            </w:r>
            <w:r>
              <w:t xml:space="preserve"> (</w:t>
            </w:r>
            <w:r w:rsidR="008F05A7">
              <w:t>ARIAH</w:t>
            </w:r>
            <w:r>
              <w:t>)</w:t>
            </w:r>
          </w:p>
        </w:tc>
      </w:tr>
      <w:tr w:rsidR="008F05A7" w14:paraId="3C04FEB7" w14:textId="77777777" w:rsidTr="00955999">
        <w:tc>
          <w:tcPr>
            <w:tcW w:w="3686" w:type="dxa"/>
          </w:tcPr>
          <w:p w14:paraId="132E76F5" w14:textId="77777777" w:rsidR="008F05A7" w:rsidRDefault="008F05A7" w:rsidP="008F05A7">
            <w:pPr>
              <w:pStyle w:val="Tabletext"/>
            </w:pPr>
            <w:r>
              <w:t>Lisa Williams</w:t>
            </w:r>
          </w:p>
        </w:tc>
        <w:tc>
          <w:tcPr>
            <w:tcW w:w="3686" w:type="dxa"/>
          </w:tcPr>
          <w:p w14:paraId="7896609A" w14:textId="77777777" w:rsidR="008F05A7" w:rsidRDefault="008F05A7" w:rsidP="008F05A7">
            <w:pPr>
              <w:pStyle w:val="Tabletext"/>
            </w:pPr>
            <w:r>
              <w:t>CBRE</w:t>
            </w:r>
            <w:r w:rsidR="00EC060D">
              <w:t xml:space="preserve"> Australia</w:t>
            </w:r>
          </w:p>
        </w:tc>
      </w:tr>
      <w:tr w:rsidR="008F05A7" w14:paraId="355DDCEF" w14:textId="77777777" w:rsidTr="00955999">
        <w:tc>
          <w:tcPr>
            <w:tcW w:w="3686" w:type="dxa"/>
          </w:tcPr>
          <w:p w14:paraId="26AC753E" w14:textId="77777777" w:rsidR="008F05A7" w:rsidRDefault="008F05A7" w:rsidP="008F05A7">
            <w:pPr>
              <w:pStyle w:val="Tabletext"/>
            </w:pPr>
            <w:r>
              <w:t>Rob Murray Leach</w:t>
            </w:r>
          </w:p>
        </w:tc>
        <w:tc>
          <w:tcPr>
            <w:tcW w:w="3686" w:type="dxa"/>
          </w:tcPr>
          <w:p w14:paraId="411A9F4B" w14:textId="77777777" w:rsidR="008F05A7" w:rsidRDefault="008F05A7" w:rsidP="008F05A7">
            <w:pPr>
              <w:pStyle w:val="Tabletext"/>
            </w:pPr>
            <w:r>
              <w:t>Energy Efficiency Council</w:t>
            </w:r>
          </w:p>
        </w:tc>
      </w:tr>
      <w:tr w:rsidR="008F05A7" w14:paraId="78D995CF" w14:textId="77777777" w:rsidTr="00955999">
        <w:tc>
          <w:tcPr>
            <w:tcW w:w="3686" w:type="dxa"/>
          </w:tcPr>
          <w:p w14:paraId="6CF18ABF" w14:textId="77777777" w:rsidR="008F05A7" w:rsidRDefault="008F05A7" w:rsidP="008F05A7">
            <w:pPr>
              <w:pStyle w:val="Tabletext"/>
            </w:pPr>
            <w:proofErr w:type="spellStart"/>
            <w:r>
              <w:t>Sharn</w:t>
            </w:r>
            <w:proofErr w:type="spellEnd"/>
            <w:r>
              <w:t xml:space="preserve"> </w:t>
            </w:r>
            <w:proofErr w:type="spellStart"/>
            <w:r>
              <w:t>Enzinger</w:t>
            </w:r>
            <w:proofErr w:type="spellEnd"/>
          </w:p>
        </w:tc>
        <w:tc>
          <w:tcPr>
            <w:tcW w:w="3686" w:type="dxa"/>
          </w:tcPr>
          <w:p w14:paraId="0964BDFF" w14:textId="77777777" w:rsidR="008F05A7" w:rsidRDefault="008F05A7" w:rsidP="008F05A7">
            <w:pPr>
              <w:pStyle w:val="Tabletext"/>
            </w:pPr>
            <w:r>
              <w:t>Department of State Development and Business Innovation, Victoria</w:t>
            </w:r>
          </w:p>
        </w:tc>
      </w:tr>
      <w:tr w:rsidR="008F05A7" w14:paraId="4103CA35" w14:textId="77777777" w:rsidTr="00955999">
        <w:tc>
          <w:tcPr>
            <w:tcW w:w="3686" w:type="dxa"/>
          </w:tcPr>
          <w:p w14:paraId="4E550C8D" w14:textId="77777777" w:rsidR="008F05A7" w:rsidRDefault="008F05A7" w:rsidP="008F05A7">
            <w:pPr>
              <w:pStyle w:val="Tabletext"/>
            </w:pPr>
            <w:r>
              <w:t>John Casey</w:t>
            </w:r>
          </w:p>
        </w:tc>
        <w:tc>
          <w:tcPr>
            <w:tcW w:w="3686" w:type="dxa"/>
          </w:tcPr>
          <w:p w14:paraId="2FCF5BDC" w14:textId="77777777" w:rsidR="008F05A7" w:rsidRDefault="008F05A7" w:rsidP="008F05A7">
            <w:pPr>
              <w:pStyle w:val="Tabletext"/>
            </w:pPr>
            <w:r>
              <w:t>Facilities Management Association (FMA)</w:t>
            </w:r>
          </w:p>
        </w:tc>
      </w:tr>
      <w:tr w:rsidR="008F05A7" w14:paraId="26D7AA61" w14:textId="77777777" w:rsidTr="00955999">
        <w:tc>
          <w:tcPr>
            <w:tcW w:w="3686" w:type="dxa"/>
          </w:tcPr>
          <w:p w14:paraId="49713170" w14:textId="77777777" w:rsidR="008F05A7" w:rsidRDefault="008F05A7" w:rsidP="008F05A7">
            <w:pPr>
              <w:pStyle w:val="Tabletext"/>
            </w:pPr>
            <w:r>
              <w:t>Peter Lovett</w:t>
            </w:r>
          </w:p>
        </w:tc>
        <w:tc>
          <w:tcPr>
            <w:tcW w:w="3686" w:type="dxa"/>
          </w:tcPr>
          <w:p w14:paraId="16827BE4" w14:textId="77777777" w:rsidR="008F05A7" w:rsidRDefault="008F05A7" w:rsidP="008F05A7">
            <w:pPr>
              <w:pStyle w:val="Tabletext"/>
            </w:pPr>
            <w:r>
              <w:t>Green Pass</w:t>
            </w:r>
          </w:p>
        </w:tc>
      </w:tr>
      <w:tr w:rsidR="008F05A7" w14:paraId="1DBB7CCD" w14:textId="77777777" w:rsidTr="00955999">
        <w:tc>
          <w:tcPr>
            <w:tcW w:w="3686" w:type="dxa"/>
          </w:tcPr>
          <w:p w14:paraId="3AB008D4" w14:textId="77777777" w:rsidR="008F05A7" w:rsidRDefault="008F05A7" w:rsidP="008F05A7">
            <w:pPr>
              <w:pStyle w:val="Tabletext"/>
            </w:pPr>
            <w:r>
              <w:t>Sandra Qian</w:t>
            </w:r>
          </w:p>
        </w:tc>
        <w:tc>
          <w:tcPr>
            <w:tcW w:w="3686" w:type="dxa"/>
          </w:tcPr>
          <w:p w14:paraId="0E4F92B2" w14:textId="77777777" w:rsidR="008F05A7" w:rsidRDefault="008F05A7" w:rsidP="008F05A7">
            <w:pPr>
              <w:pStyle w:val="Tabletext"/>
            </w:pPr>
            <w:r>
              <w:t>Property Council of Australia</w:t>
            </w:r>
          </w:p>
        </w:tc>
      </w:tr>
      <w:tr w:rsidR="008F05A7" w14:paraId="36A870CB" w14:textId="77777777" w:rsidTr="00955999">
        <w:tc>
          <w:tcPr>
            <w:tcW w:w="3686" w:type="dxa"/>
          </w:tcPr>
          <w:p w14:paraId="3CAF788C" w14:textId="77777777" w:rsidR="008F05A7" w:rsidRDefault="008F05A7" w:rsidP="008F05A7">
            <w:pPr>
              <w:pStyle w:val="Tabletext"/>
            </w:pPr>
            <w:r>
              <w:t>Shan A</w:t>
            </w:r>
          </w:p>
        </w:tc>
        <w:tc>
          <w:tcPr>
            <w:tcW w:w="3686" w:type="dxa"/>
          </w:tcPr>
          <w:p w14:paraId="32B075EA" w14:textId="77777777" w:rsidR="008F05A7" w:rsidRDefault="008F05A7" w:rsidP="008F05A7">
            <w:pPr>
              <w:pStyle w:val="Tabletext"/>
            </w:pPr>
            <w:r>
              <w:t>Subspace</w:t>
            </w:r>
          </w:p>
        </w:tc>
      </w:tr>
      <w:tr w:rsidR="008F05A7" w14:paraId="65408C4B" w14:textId="77777777" w:rsidTr="00955999">
        <w:tc>
          <w:tcPr>
            <w:tcW w:w="3686" w:type="dxa"/>
          </w:tcPr>
          <w:p w14:paraId="76FBECF7" w14:textId="77777777" w:rsidR="008F05A7" w:rsidRDefault="008F05A7" w:rsidP="008F05A7">
            <w:pPr>
              <w:pStyle w:val="Tabletext"/>
            </w:pPr>
            <w:r>
              <w:t xml:space="preserve">Michelle </w:t>
            </w:r>
            <w:proofErr w:type="spellStart"/>
            <w:r>
              <w:t>Leembruggen</w:t>
            </w:r>
            <w:proofErr w:type="spellEnd"/>
          </w:p>
        </w:tc>
        <w:tc>
          <w:tcPr>
            <w:tcW w:w="3686" w:type="dxa"/>
          </w:tcPr>
          <w:p w14:paraId="39BEBC0A" w14:textId="77777777" w:rsidR="008F05A7" w:rsidRDefault="008F05A7" w:rsidP="008F05A7">
            <w:pPr>
              <w:pStyle w:val="Tabletext"/>
            </w:pPr>
            <w:r>
              <w:t>1200 Buildings Program</w:t>
            </w:r>
          </w:p>
        </w:tc>
      </w:tr>
      <w:tr w:rsidR="007D4D33" w14:paraId="24F697DE" w14:textId="77777777" w:rsidTr="00955999">
        <w:tc>
          <w:tcPr>
            <w:tcW w:w="3686" w:type="dxa"/>
          </w:tcPr>
          <w:p w14:paraId="2DA21107" w14:textId="53B3751B" w:rsidR="007D4D33" w:rsidRDefault="007D4D33" w:rsidP="008F05A7">
            <w:pPr>
              <w:pStyle w:val="Tabletext"/>
            </w:pPr>
            <w:r>
              <w:t xml:space="preserve">Chris </w:t>
            </w:r>
            <w:proofErr w:type="spellStart"/>
            <w:r>
              <w:t>Iape</w:t>
            </w:r>
            <w:proofErr w:type="spellEnd"/>
          </w:p>
        </w:tc>
        <w:tc>
          <w:tcPr>
            <w:tcW w:w="3686" w:type="dxa"/>
          </w:tcPr>
          <w:p w14:paraId="3D73F7CF" w14:textId="26A05EEF" w:rsidR="007D4D33" w:rsidRDefault="007D4D33" w:rsidP="008F05A7">
            <w:pPr>
              <w:pStyle w:val="Tabletext"/>
            </w:pPr>
            <w:r>
              <w:t>Sustainability Victoria</w:t>
            </w:r>
          </w:p>
        </w:tc>
      </w:tr>
      <w:tr w:rsidR="007D4D33" w14:paraId="37FE53FA" w14:textId="77777777" w:rsidTr="00955999">
        <w:tc>
          <w:tcPr>
            <w:tcW w:w="3686" w:type="dxa"/>
          </w:tcPr>
          <w:p w14:paraId="45EEF7EA" w14:textId="6266FEB1" w:rsidR="007D4D33" w:rsidRDefault="007D4D33" w:rsidP="008F05A7">
            <w:pPr>
              <w:pStyle w:val="Tabletext"/>
            </w:pPr>
            <w:r>
              <w:t>Carlos Flores</w:t>
            </w:r>
          </w:p>
        </w:tc>
        <w:tc>
          <w:tcPr>
            <w:tcW w:w="3686" w:type="dxa"/>
          </w:tcPr>
          <w:p w14:paraId="7BA9B128" w14:textId="234213DE" w:rsidR="007D4D33" w:rsidRDefault="007D4D33" w:rsidP="008F05A7">
            <w:pPr>
              <w:pStyle w:val="Tabletext"/>
            </w:pPr>
            <w:r>
              <w:t>NSW Office of Environment and Heritage, NABERS</w:t>
            </w:r>
          </w:p>
        </w:tc>
      </w:tr>
    </w:tbl>
    <w:p w14:paraId="78531014" w14:textId="77777777" w:rsidR="008F05A7" w:rsidRPr="00B347D7" w:rsidRDefault="008F05A7" w:rsidP="005609B3">
      <w:pPr>
        <w:pStyle w:val="Source"/>
      </w:pPr>
      <w:r w:rsidRPr="00B347D7">
        <w:t xml:space="preserve">Source: </w:t>
      </w:r>
      <w:r w:rsidR="00186043">
        <w:t>ACIL Allen</w:t>
      </w:r>
    </w:p>
    <w:p w14:paraId="259CD29E" w14:textId="77777777" w:rsidR="00186043" w:rsidRDefault="00B07D2A" w:rsidP="003475B9">
      <w:pPr>
        <w:pStyle w:val="BodyText"/>
      </w:pPr>
      <w:r>
        <w:t xml:space="preserve">In addition to the stakeholder workshops, </w:t>
      </w:r>
      <w:r w:rsidR="00585F11">
        <w:t xml:space="preserve">ACIL Allen undertook in-depth consultations </w:t>
      </w:r>
      <w:r w:rsidR="00F31F8C">
        <w:t xml:space="preserve">on a range of issues </w:t>
      </w:r>
      <w:r w:rsidR="00585F11">
        <w:t>with the following individuals from key organisations:</w:t>
      </w:r>
    </w:p>
    <w:p w14:paraId="0C48BAEA" w14:textId="77777777" w:rsidR="00186043" w:rsidRDefault="00186043" w:rsidP="00186043">
      <w:pPr>
        <w:pStyle w:val="ListDash"/>
      </w:pPr>
      <w:r>
        <w:t xml:space="preserve">Mark Matthews, Ester Bailey and Tom </w:t>
      </w:r>
      <w:proofErr w:type="spellStart"/>
      <w:r>
        <w:t>Belsham</w:t>
      </w:r>
      <w:proofErr w:type="spellEnd"/>
      <w:r>
        <w:t xml:space="preserve"> – City of Sydney</w:t>
      </w:r>
    </w:p>
    <w:p w14:paraId="5D37495F" w14:textId="77777777" w:rsidR="00186043" w:rsidRDefault="00186043" w:rsidP="00186043">
      <w:pPr>
        <w:pStyle w:val="ListDash"/>
      </w:pPr>
      <w:r>
        <w:t>Paul Suter – NSW Government Property</w:t>
      </w:r>
    </w:p>
    <w:p w14:paraId="2D069B5A" w14:textId="77777777" w:rsidR="00186043" w:rsidRDefault="00186043" w:rsidP="00186043">
      <w:pPr>
        <w:pStyle w:val="ListDash"/>
      </w:pPr>
      <w:r>
        <w:t>Charlie Thomas – Property Council of Australia</w:t>
      </w:r>
    </w:p>
    <w:p w14:paraId="71829D5D" w14:textId="77777777" w:rsidR="00186043" w:rsidRDefault="00186043" w:rsidP="00186043">
      <w:pPr>
        <w:pStyle w:val="ListDash"/>
      </w:pPr>
      <w:r>
        <w:t xml:space="preserve">Amandine Dennis – </w:t>
      </w:r>
      <w:proofErr w:type="spellStart"/>
      <w:r>
        <w:t>ClimateWorks</w:t>
      </w:r>
      <w:proofErr w:type="spellEnd"/>
    </w:p>
    <w:p w14:paraId="3ADBF88A" w14:textId="77777777" w:rsidR="00186043" w:rsidRDefault="00186043" w:rsidP="00186043">
      <w:pPr>
        <w:pStyle w:val="ListDash"/>
      </w:pPr>
      <w:r>
        <w:lastRenderedPageBreak/>
        <w:t>Chris Bloomfield – Energy Action</w:t>
      </w:r>
    </w:p>
    <w:p w14:paraId="23DA946F" w14:textId="77777777" w:rsidR="0062409E" w:rsidRDefault="00186043" w:rsidP="00186043">
      <w:pPr>
        <w:pStyle w:val="ListDash"/>
      </w:pPr>
      <w:r>
        <w:t>Katy Dean – Green Building Council of Australia</w:t>
      </w:r>
    </w:p>
    <w:p w14:paraId="137D390C" w14:textId="77777777" w:rsidR="00186043" w:rsidRDefault="00186043" w:rsidP="00186043">
      <w:pPr>
        <w:pStyle w:val="ListDash"/>
      </w:pPr>
      <w:r>
        <w:t>Kimberley Slow - IPD</w:t>
      </w:r>
    </w:p>
    <w:p w14:paraId="46024937" w14:textId="77777777" w:rsidR="003475B9" w:rsidRDefault="003475B9" w:rsidP="003475B9">
      <w:pPr>
        <w:pStyle w:val="Heading2"/>
      </w:pPr>
      <w:bookmarkStart w:id="25" w:name="_Toc415660825"/>
      <w:r>
        <w:t>Report structure</w:t>
      </w:r>
      <w:bookmarkEnd w:id="25"/>
    </w:p>
    <w:p w14:paraId="60BFA43C" w14:textId="77777777" w:rsidR="00B07D2A" w:rsidRDefault="00B07D2A" w:rsidP="00B07D2A">
      <w:pPr>
        <w:pStyle w:val="BodyText"/>
      </w:pPr>
      <w:r>
        <w:t>This report is structured as follows:</w:t>
      </w:r>
    </w:p>
    <w:p w14:paraId="330C8929" w14:textId="77777777" w:rsidR="00B07D2A" w:rsidRPr="00A83614" w:rsidRDefault="00B07D2A" w:rsidP="00B07D2A">
      <w:pPr>
        <w:pStyle w:val="ListDash"/>
      </w:pPr>
      <w:r>
        <w:t xml:space="preserve">This </w:t>
      </w:r>
      <w:r w:rsidR="00106994">
        <w:t>chapter</w:t>
      </w:r>
      <w:r>
        <w:t xml:space="preserve"> provides an introduction to the report.</w:t>
      </w:r>
    </w:p>
    <w:p w14:paraId="02F6AAF0" w14:textId="77777777" w:rsidR="00B07D2A" w:rsidRDefault="00106994" w:rsidP="00B07D2A">
      <w:pPr>
        <w:pStyle w:val="ListDash"/>
      </w:pPr>
      <w:r>
        <w:t>Chapter 2</w:t>
      </w:r>
      <w:r>
        <w:rPr>
          <w:b/>
        </w:rPr>
        <w:t xml:space="preserve"> </w:t>
      </w:r>
      <w:r w:rsidR="00B07D2A">
        <w:t>provides an overview of energy consumption in Australian commercial buildings, including barriers and drivers of energy efficiency.</w:t>
      </w:r>
    </w:p>
    <w:p w14:paraId="4C085FC6" w14:textId="35A5CC61" w:rsidR="00B07D2A" w:rsidRDefault="00106994" w:rsidP="00B07D2A">
      <w:pPr>
        <w:pStyle w:val="ListDash"/>
      </w:pPr>
      <w:r>
        <w:t xml:space="preserve">Chapter 3 </w:t>
      </w:r>
      <w:r w:rsidR="00B07D2A">
        <w:t xml:space="preserve">describes the </w:t>
      </w:r>
      <w:r w:rsidR="00FA5BCF">
        <w:t xml:space="preserve">CBD </w:t>
      </w:r>
      <w:r w:rsidR="00B07D2A">
        <w:t>scheme, complementary schemes and a review of international experiences with mandatory disclosure.</w:t>
      </w:r>
    </w:p>
    <w:p w14:paraId="784F1DAC" w14:textId="77777777" w:rsidR="00B07D2A" w:rsidRDefault="00106994" w:rsidP="00B07D2A">
      <w:pPr>
        <w:pStyle w:val="ListDash"/>
      </w:pPr>
      <w:r>
        <w:t>Chapter 4</w:t>
      </w:r>
      <w:r w:rsidR="00A90AF4">
        <w:rPr>
          <w:b/>
        </w:rPr>
        <w:t xml:space="preserve"> </w:t>
      </w:r>
      <w:r w:rsidR="00B07D2A">
        <w:t>assesses the costs and benefits of the CBD program to date.</w:t>
      </w:r>
    </w:p>
    <w:p w14:paraId="0E32522A" w14:textId="77777777" w:rsidR="00B07D2A" w:rsidRDefault="00106994" w:rsidP="00B07D2A">
      <w:pPr>
        <w:pStyle w:val="ListDash"/>
      </w:pPr>
      <w:r>
        <w:t>Chapter 5</w:t>
      </w:r>
      <w:r w:rsidR="00A90AF4" w:rsidRPr="00A90AF4">
        <w:t xml:space="preserve"> </w:t>
      </w:r>
      <w:r w:rsidR="00B07D2A">
        <w:t>assesses the expected future costs and benefits of the program if it were to continue.</w:t>
      </w:r>
    </w:p>
    <w:p w14:paraId="3B86C058" w14:textId="77777777" w:rsidR="00B07D2A" w:rsidRDefault="00106994" w:rsidP="00B07D2A">
      <w:pPr>
        <w:pStyle w:val="ListDash"/>
      </w:pPr>
      <w:r>
        <w:t>Chapter 6</w:t>
      </w:r>
      <w:r w:rsidR="00A90AF4" w:rsidRPr="00A90AF4">
        <w:t xml:space="preserve"> </w:t>
      </w:r>
      <w:r w:rsidR="00B07D2A" w:rsidRPr="00A83614">
        <w:t>presents</w:t>
      </w:r>
      <w:r w:rsidR="00B07D2A">
        <w:rPr>
          <w:b/>
        </w:rPr>
        <w:t xml:space="preserve"> </w:t>
      </w:r>
      <w:r w:rsidR="00B07D2A" w:rsidRPr="00A83614">
        <w:t>a</w:t>
      </w:r>
      <w:r w:rsidR="00B07D2A">
        <w:t>n assessment of potential changes to the program.</w:t>
      </w:r>
    </w:p>
    <w:p w14:paraId="3B8DB474" w14:textId="77777777" w:rsidR="00B07D2A" w:rsidRPr="00AA4F6B" w:rsidRDefault="00106994" w:rsidP="00B07D2A">
      <w:pPr>
        <w:pStyle w:val="ListDash"/>
      </w:pPr>
      <w:r>
        <w:t>Chapter 7</w:t>
      </w:r>
      <w:r w:rsidR="00A90AF4" w:rsidRPr="00A90AF4">
        <w:t xml:space="preserve"> </w:t>
      </w:r>
      <w:r w:rsidR="00B07D2A" w:rsidRPr="00A83614">
        <w:t xml:space="preserve">provides a summary of </w:t>
      </w:r>
      <w:r w:rsidR="00B07D2A">
        <w:t xml:space="preserve">the </w:t>
      </w:r>
      <w:r w:rsidR="00B07D2A" w:rsidRPr="00A83614">
        <w:t>key findings</w:t>
      </w:r>
      <w:r w:rsidR="00B07D2A">
        <w:t xml:space="preserve"> of the review</w:t>
      </w:r>
      <w:r w:rsidR="00B07D2A" w:rsidRPr="00A83614">
        <w:t>.</w:t>
      </w:r>
    </w:p>
    <w:p w14:paraId="4650A0BB" w14:textId="77777777" w:rsidR="00B07D2A" w:rsidRDefault="00B07D2A" w:rsidP="003475B9">
      <w:pPr>
        <w:pStyle w:val="BodyText"/>
      </w:pPr>
    </w:p>
    <w:p w14:paraId="1E32F091" w14:textId="77777777" w:rsidR="003475B9" w:rsidRDefault="003475B9" w:rsidP="003475B9">
      <w:pPr>
        <w:pStyle w:val="BodyText"/>
      </w:pPr>
    </w:p>
    <w:p w14:paraId="23439ADB" w14:textId="77777777" w:rsidR="003475B9" w:rsidRDefault="00932504" w:rsidP="00AE5E08">
      <w:pPr>
        <w:pStyle w:val="Heading1"/>
      </w:pPr>
      <w:bookmarkStart w:id="26" w:name="_Ref409622629"/>
      <w:bookmarkStart w:id="27" w:name="_Toc415660826"/>
      <w:r>
        <w:lastRenderedPageBreak/>
        <w:t>Why building energy efficiency matters</w:t>
      </w:r>
      <w:bookmarkEnd w:id="26"/>
      <w:bookmarkEnd w:id="27"/>
    </w:p>
    <w:p w14:paraId="73989587" w14:textId="77777777" w:rsidR="00932504" w:rsidRDefault="00AF5BAB" w:rsidP="003475B9">
      <w:pPr>
        <w:pStyle w:val="Heading2"/>
      </w:pPr>
      <w:bookmarkStart w:id="28" w:name="_Toc415660827"/>
      <w:r>
        <w:t>Impacts of buildings – energy consumption and greenhouse gas emissions</w:t>
      </w:r>
      <w:bookmarkEnd w:id="28"/>
    </w:p>
    <w:p w14:paraId="3FAD514E" w14:textId="77777777" w:rsidR="00932504" w:rsidRDefault="00932504" w:rsidP="004572F4">
      <w:pPr>
        <w:pStyle w:val="Heading3"/>
      </w:pPr>
      <w:bookmarkStart w:id="29" w:name="_Toc408824526"/>
      <w:bookmarkStart w:id="30" w:name="_Toc408824632"/>
      <w:bookmarkStart w:id="31" w:name="_Toc408824797"/>
      <w:bookmarkStart w:id="32" w:name="_Toc408826983"/>
      <w:bookmarkStart w:id="33" w:name="_Toc408828956"/>
      <w:bookmarkStart w:id="34" w:name="_Toc408831982"/>
      <w:bookmarkStart w:id="35" w:name="_Toc408832085"/>
      <w:bookmarkStart w:id="36" w:name="_Toc408833559"/>
      <w:bookmarkStart w:id="37" w:name="_Toc408834859"/>
      <w:bookmarkStart w:id="38" w:name="_Toc408869961"/>
      <w:bookmarkStart w:id="39" w:name="_Toc415660828"/>
      <w:bookmarkEnd w:id="29"/>
      <w:bookmarkEnd w:id="30"/>
      <w:bookmarkEnd w:id="31"/>
      <w:bookmarkEnd w:id="32"/>
      <w:bookmarkEnd w:id="33"/>
      <w:bookmarkEnd w:id="34"/>
      <w:bookmarkEnd w:id="35"/>
      <w:bookmarkEnd w:id="36"/>
      <w:bookmarkEnd w:id="37"/>
      <w:bookmarkEnd w:id="38"/>
      <w:r>
        <w:t>Energy consumption</w:t>
      </w:r>
      <w:bookmarkEnd w:id="39"/>
    </w:p>
    <w:p w14:paraId="77150183" w14:textId="77777777" w:rsidR="00FB0A09" w:rsidRDefault="00FB0A09" w:rsidP="004572F4">
      <w:pPr>
        <w:pStyle w:val="BodyText"/>
      </w:pPr>
      <w:r>
        <w:t xml:space="preserve">According to </w:t>
      </w:r>
      <w:proofErr w:type="spellStart"/>
      <w:r w:rsidR="00D50A0A">
        <w:t>p</w:t>
      </w:r>
      <w:r>
        <w:t>itt&amp;</w:t>
      </w:r>
      <w:r w:rsidR="00D50A0A">
        <w:t>s</w:t>
      </w:r>
      <w:r>
        <w:t>herry</w:t>
      </w:r>
      <w:proofErr w:type="spellEnd"/>
      <w:r w:rsidR="00A90AF4">
        <w:t xml:space="preserve"> (2012)</w:t>
      </w:r>
      <w:r>
        <w:t xml:space="preserve">, </w:t>
      </w:r>
      <w:r w:rsidR="00FA5BCF">
        <w:t xml:space="preserve">the </w:t>
      </w:r>
      <w:r>
        <w:t xml:space="preserve">total energy consumption of commercial buildings in Australia was approximately 135 </w:t>
      </w:r>
      <w:proofErr w:type="spellStart"/>
      <w:r w:rsidR="001E092B">
        <w:t>petajoules</w:t>
      </w:r>
      <w:proofErr w:type="spellEnd"/>
      <w:r w:rsidR="001E092B">
        <w:t xml:space="preserve"> (</w:t>
      </w:r>
      <w:r>
        <w:t>PJ</w:t>
      </w:r>
      <w:r w:rsidR="001E092B">
        <w:t>)</w:t>
      </w:r>
      <w:r>
        <w:t xml:space="preserve"> in 2009, representing around 3.5 per cent of the 3,907 PJ of gross final energy consumption in Australia in that year.</w:t>
      </w:r>
      <w:r w:rsidR="00252B96">
        <w:rPr>
          <w:rStyle w:val="FootnoteReference"/>
        </w:rPr>
        <w:footnoteReference w:id="10"/>
      </w:r>
      <w:r>
        <w:t xml:space="preserve"> </w:t>
      </w:r>
      <w:r w:rsidR="007B7721">
        <w:t>Stand-alone o</w:t>
      </w:r>
      <w:r>
        <w:t>ffice buildings represented the second largest share of energy consumption in commercial buildings in 2009, consuming approximately 34 PJ or 25 per cent of the total</w:t>
      </w:r>
      <w:r w:rsidR="00D50A0A">
        <w:t xml:space="preserve"> (see </w:t>
      </w:r>
      <w:r w:rsidR="00492194">
        <w:fldChar w:fldCharType="begin"/>
      </w:r>
      <w:r w:rsidR="00D50A0A">
        <w:instrText xml:space="preserve"> REF _Ref408596114 \h </w:instrText>
      </w:r>
      <w:r w:rsidR="00492194">
        <w:fldChar w:fldCharType="separate"/>
      </w:r>
      <w:r w:rsidR="006A273E">
        <w:t xml:space="preserve">Figure </w:t>
      </w:r>
      <w:r w:rsidR="006A273E">
        <w:rPr>
          <w:noProof/>
        </w:rPr>
        <w:t>2</w:t>
      </w:r>
      <w:r w:rsidR="00492194">
        <w:fldChar w:fldCharType="end"/>
      </w:r>
      <w:r w:rsidR="00D50A0A">
        <w:t>)</w:t>
      </w:r>
      <w:r w:rsidR="00CB3EC7">
        <w:t xml:space="preserve">. </w:t>
      </w:r>
      <w:r w:rsidR="00D50A0A">
        <w:t>R</w:t>
      </w:r>
      <w:r>
        <w:t xml:space="preserve">etail buildings accounted for the largest share, consuming approximately 47 </w:t>
      </w:r>
      <w:r w:rsidR="00D50A0A">
        <w:t>PJ or 35 per cent of the total.</w:t>
      </w:r>
    </w:p>
    <w:p w14:paraId="7BE7F92B" w14:textId="77777777" w:rsidR="004C3DD9" w:rsidRDefault="004C3DD9">
      <w:pPr>
        <w:pStyle w:val="Caption"/>
      </w:pPr>
      <w:bookmarkStart w:id="40" w:name="_Ref408596114"/>
      <w:bookmarkStart w:id="41" w:name="_Toc415660947"/>
      <w:r>
        <w:t xml:space="preserve">Figure </w:t>
      </w:r>
      <w:r w:rsidR="00492194">
        <w:fldChar w:fldCharType="begin"/>
      </w:r>
      <w:r w:rsidR="0044208C">
        <w:instrText xml:space="preserve"> SEQ Figure \* ARABIC </w:instrText>
      </w:r>
      <w:r w:rsidR="00492194">
        <w:fldChar w:fldCharType="separate"/>
      </w:r>
      <w:r w:rsidR="006A273E">
        <w:rPr>
          <w:noProof/>
        </w:rPr>
        <w:t>2</w:t>
      </w:r>
      <w:r w:rsidR="00492194">
        <w:rPr>
          <w:noProof/>
        </w:rPr>
        <w:fldChar w:fldCharType="end"/>
      </w:r>
      <w:bookmarkEnd w:id="40"/>
      <w:r w:rsidRPr="004E0C91">
        <w:rPr>
          <w:b/>
          <w:color w:val="000080"/>
        </w:rPr>
        <w:tab/>
      </w:r>
      <w:r>
        <w:rPr>
          <w:rStyle w:val="CaptionLabel"/>
        </w:rPr>
        <w:t>Total energy consumption by building type, 2009 (PJ, % shares)</w:t>
      </w:r>
      <w:bookmarkEnd w:id="41"/>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4C3DD9" w14:paraId="27EB738A" w14:textId="77777777">
        <w:trPr>
          <w:cantSplit/>
        </w:trPr>
        <w:tc>
          <w:tcPr>
            <w:tcW w:w="5000" w:type="pct"/>
          </w:tcPr>
          <w:p w14:paraId="0D4EED1F" w14:textId="77777777" w:rsidR="004C3DD9" w:rsidRDefault="004C3DD9" w:rsidP="005609B3">
            <w:pPr>
              <w:pStyle w:val="SmallDeltasRightAligned"/>
              <w:keepNext/>
            </w:pPr>
            <w:r>
              <w:rPr>
                <w:noProof/>
                <w:lang w:eastAsia="en-AU"/>
              </w:rPr>
              <w:drawing>
                <wp:inline distT="0" distB="0" distL="0" distR="0" wp14:anchorId="2E2E28F6" wp14:editId="422E1429">
                  <wp:extent cx="481585" cy="234696"/>
                  <wp:effectExtent l="0" t="0" r="0" b="0"/>
                  <wp:docPr id="41" name="Picture 41"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C3DD9" w14:paraId="644650A4" w14:textId="77777777">
        <w:trPr>
          <w:cantSplit/>
        </w:trPr>
        <w:tc>
          <w:tcPr>
            <w:tcW w:w="5000" w:type="pct"/>
          </w:tcPr>
          <w:p w14:paraId="0EBC2E3B" w14:textId="77777777" w:rsidR="004C3DD9" w:rsidRDefault="004C3DD9" w:rsidP="005609B3">
            <w:pPr>
              <w:pStyle w:val="Figure"/>
            </w:pPr>
            <w:r w:rsidRPr="004C3DD9">
              <w:rPr>
                <w:noProof/>
                <w:lang w:eastAsia="en-AU"/>
              </w:rPr>
              <w:drawing>
                <wp:inline distT="0" distB="0" distL="0" distR="0" wp14:anchorId="0A616DF3" wp14:editId="4A177C40">
                  <wp:extent cx="4572000" cy="2743200"/>
                  <wp:effectExtent l="0" t="0" r="0" b="0"/>
                  <wp:docPr id="1" name="Picture 1" descr="Total energy consumption by building type, 2009 (PJ, % shares)" title="Total energy consumption by building type, 2009 (PJ, % sh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bl>
    <w:p w14:paraId="7890A128" w14:textId="77777777" w:rsidR="004C3DD9" w:rsidRPr="00B50A1B" w:rsidRDefault="004C3DD9" w:rsidP="005609B3">
      <w:pPr>
        <w:pStyle w:val="Source"/>
        <w:rPr>
          <w:i/>
        </w:rPr>
      </w:pPr>
      <w:r>
        <w:t>S</w:t>
      </w:r>
      <w:r w:rsidRPr="00B50A1B">
        <w:t>ource:</w:t>
      </w:r>
      <w:r w:rsidRPr="00954EED">
        <w:t xml:space="preserve"> </w:t>
      </w:r>
      <w:proofErr w:type="spellStart"/>
      <w:r>
        <w:t>pitt&amp;sherry</w:t>
      </w:r>
      <w:proofErr w:type="spellEnd"/>
      <w:r w:rsidR="00A90AF4">
        <w:t xml:space="preserve"> (2012)</w:t>
      </w:r>
    </w:p>
    <w:p w14:paraId="5F8365DA" w14:textId="349E8885" w:rsidR="00F40DE7" w:rsidRDefault="00F40DE7" w:rsidP="004572F4">
      <w:pPr>
        <w:pStyle w:val="BodyText"/>
      </w:pPr>
      <w:r>
        <w:t xml:space="preserve">According to </w:t>
      </w:r>
      <w:proofErr w:type="spellStart"/>
      <w:r>
        <w:t>Climate</w:t>
      </w:r>
      <w:r w:rsidR="00FB0A09">
        <w:t>W</w:t>
      </w:r>
      <w:r>
        <w:t>orks</w:t>
      </w:r>
      <w:proofErr w:type="spellEnd"/>
      <w:r w:rsidR="00A90AF4">
        <w:t xml:space="preserve"> (2013)</w:t>
      </w:r>
      <w:r>
        <w:t xml:space="preserve">, </w:t>
      </w:r>
      <w:r w:rsidR="00FA5BCF">
        <w:t xml:space="preserve">the </w:t>
      </w:r>
      <w:r>
        <w:t xml:space="preserve">energy intensity per </w:t>
      </w:r>
      <w:r w:rsidR="003243BF">
        <w:t>square met</w:t>
      </w:r>
      <w:r w:rsidR="00FA5BCF">
        <w:t>re</w:t>
      </w:r>
      <w:r w:rsidR="003243BF">
        <w:t xml:space="preserve"> </w:t>
      </w:r>
      <w:r w:rsidR="00FB0A09">
        <w:t xml:space="preserve">of commercial buildings </w:t>
      </w:r>
      <w:r>
        <w:t>decreased by an average of only 0.3 per cent per annum between 2002-03 and 2010-11</w:t>
      </w:r>
      <w:r w:rsidR="00A31DA9">
        <w:t xml:space="preserve">, driven by a small number of market leaders and </w:t>
      </w:r>
      <w:r w:rsidR="003243BF">
        <w:t xml:space="preserve">the </w:t>
      </w:r>
      <w:r w:rsidR="00A31DA9">
        <w:t>capture of ‘low hanging fruit’ in other buildings.</w:t>
      </w:r>
      <w:r w:rsidR="00FB0A09">
        <w:rPr>
          <w:rStyle w:val="FootnoteReference"/>
        </w:rPr>
        <w:footnoteReference w:id="11"/>
      </w:r>
      <w:r w:rsidR="00A31DA9">
        <w:t xml:space="preserve"> </w:t>
      </w:r>
      <w:r w:rsidR="00481868">
        <w:t xml:space="preserve">By </w:t>
      </w:r>
      <w:r>
        <w:t xml:space="preserve">2011-12 </w:t>
      </w:r>
      <w:r w:rsidR="00D50A0A">
        <w:t xml:space="preserve">(after the introduction of the CBD program) </w:t>
      </w:r>
      <w:r w:rsidR="00481868">
        <w:t xml:space="preserve">NABERS ratings </w:t>
      </w:r>
      <w:r>
        <w:t>showed average emissions reductions of 9 per cent for over 620 buildings.</w:t>
      </w:r>
    </w:p>
    <w:p w14:paraId="4EE752CE" w14:textId="77777777" w:rsidR="00A31DA9" w:rsidRDefault="00F40DE7" w:rsidP="00A31DA9">
      <w:pPr>
        <w:pStyle w:val="BodyText"/>
      </w:pPr>
      <w:proofErr w:type="spellStart"/>
      <w:r>
        <w:lastRenderedPageBreak/>
        <w:t>Climate</w:t>
      </w:r>
      <w:r w:rsidR="00FB0A09">
        <w:t>W</w:t>
      </w:r>
      <w:r>
        <w:t>orks</w:t>
      </w:r>
      <w:proofErr w:type="spellEnd"/>
      <w:r>
        <w:t xml:space="preserve"> believes that increased standards for new buildings have resulted in strong improvement in </w:t>
      </w:r>
      <w:r w:rsidR="003243BF">
        <w:t xml:space="preserve">the energy efficiency of </w:t>
      </w:r>
      <w:r>
        <w:t>new office base buildings</w:t>
      </w:r>
      <w:r w:rsidR="00CB3EC7">
        <w:t xml:space="preserve">. </w:t>
      </w:r>
      <w:r w:rsidR="00A31DA9">
        <w:t>This comprises heating, cooling, ventilation, common area lighting and elevators</w:t>
      </w:r>
      <w:r w:rsidR="00B05BE2">
        <w:t>,</w:t>
      </w:r>
      <w:r w:rsidR="00A31DA9">
        <w:t xml:space="preserve"> but only accounts for around 12 per cent of commercial building energy use</w:t>
      </w:r>
      <w:r w:rsidR="00CB3EC7">
        <w:t xml:space="preserve">. </w:t>
      </w:r>
      <w:r w:rsidR="00A31DA9">
        <w:t>Lack of data prevents accurate estimates of recent changes in office tenancies and other commercial building types.</w:t>
      </w:r>
    </w:p>
    <w:p w14:paraId="1B609748" w14:textId="24AC35CD" w:rsidR="00F40DE7" w:rsidRDefault="00FB0A09" w:rsidP="004572F4">
      <w:pPr>
        <w:pStyle w:val="BodyText"/>
      </w:pPr>
      <w:r>
        <w:t xml:space="preserve">According to </w:t>
      </w:r>
      <w:proofErr w:type="spellStart"/>
      <w:r>
        <w:t>ClimateWorks</w:t>
      </w:r>
      <w:proofErr w:type="spellEnd"/>
      <w:r>
        <w:t>, n</w:t>
      </w:r>
      <w:r w:rsidR="00F40DE7">
        <w:t>ew office base buildings</w:t>
      </w:r>
      <w:r w:rsidR="008F7021">
        <w:rPr>
          <w:rStyle w:val="FootnoteReference"/>
        </w:rPr>
        <w:footnoteReference w:id="12"/>
      </w:r>
      <w:r w:rsidR="00F40DE7">
        <w:t xml:space="preserve"> are approximately 32 per cent more efficient than the average 10</w:t>
      </w:r>
      <w:r w:rsidR="00CC7D45">
        <w:t>-</w:t>
      </w:r>
      <w:r w:rsidR="00F40DE7">
        <w:t>year</w:t>
      </w:r>
      <w:r w:rsidR="00B05BE2">
        <w:t>-</w:t>
      </w:r>
      <w:r w:rsidR="00F40DE7">
        <w:t>old building</w:t>
      </w:r>
      <w:r w:rsidR="00CB3EC7">
        <w:t xml:space="preserve">. </w:t>
      </w:r>
      <w:r w:rsidR="00F40DE7">
        <w:t xml:space="preserve">Green Star </w:t>
      </w:r>
      <w:r w:rsidR="003243BF">
        <w:t xml:space="preserve">rated </w:t>
      </w:r>
      <w:r w:rsidR="00F40DE7">
        <w:t>offices represent over 31 per cent of new office space</w:t>
      </w:r>
      <w:r w:rsidR="00CC7D45">
        <w:t>s</w:t>
      </w:r>
      <w:r w:rsidR="00F40DE7">
        <w:t xml:space="preserve"> built since 20</w:t>
      </w:r>
      <w:r w:rsidR="00A31DA9">
        <w:t>0</w:t>
      </w:r>
      <w:r w:rsidR="00F40DE7">
        <w:t>3</w:t>
      </w:r>
      <w:r w:rsidR="00CB3EC7">
        <w:t xml:space="preserve">. </w:t>
      </w:r>
      <w:r w:rsidR="003243BF">
        <w:t xml:space="preserve">These buildings are associated with </w:t>
      </w:r>
      <w:r w:rsidR="00F40DE7">
        <w:t>44 per cent less</w:t>
      </w:r>
      <w:r w:rsidR="003243BF">
        <w:t xml:space="preserve"> greenhouse gas emissions</w:t>
      </w:r>
      <w:r w:rsidR="00F40DE7">
        <w:t xml:space="preserve"> than offices </w:t>
      </w:r>
      <w:r w:rsidR="003243BF">
        <w:t xml:space="preserve">built </w:t>
      </w:r>
      <w:r w:rsidR="00F40DE7">
        <w:t>to meet “minimum standards”.</w:t>
      </w:r>
    </w:p>
    <w:p w14:paraId="639874F4" w14:textId="77777777" w:rsidR="00932504" w:rsidRDefault="00932504" w:rsidP="004572F4">
      <w:pPr>
        <w:pStyle w:val="Heading3"/>
      </w:pPr>
      <w:bookmarkStart w:id="42" w:name="_Toc408824528"/>
      <w:bookmarkStart w:id="43" w:name="_Toc408824634"/>
      <w:bookmarkStart w:id="44" w:name="_Toc408824799"/>
      <w:bookmarkStart w:id="45" w:name="_Toc408826985"/>
      <w:bookmarkStart w:id="46" w:name="_Toc408828958"/>
      <w:bookmarkStart w:id="47" w:name="_Toc408831984"/>
      <w:bookmarkStart w:id="48" w:name="_Toc408832087"/>
      <w:bookmarkStart w:id="49" w:name="_Toc408833561"/>
      <w:bookmarkStart w:id="50" w:name="_Toc408834861"/>
      <w:bookmarkStart w:id="51" w:name="_Toc408869963"/>
      <w:bookmarkStart w:id="52" w:name="_Toc415660829"/>
      <w:bookmarkEnd w:id="42"/>
      <w:bookmarkEnd w:id="43"/>
      <w:bookmarkEnd w:id="44"/>
      <w:bookmarkEnd w:id="45"/>
      <w:bookmarkEnd w:id="46"/>
      <w:bookmarkEnd w:id="47"/>
      <w:bookmarkEnd w:id="48"/>
      <w:bookmarkEnd w:id="49"/>
      <w:bookmarkEnd w:id="50"/>
      <w:bookmarkEnd w:id="51"/>
      <w:r>
        <w:t>Greenhouse gas emissions</w:t>
      </w:r>
      <w:bookmarkEnd w:id="52"/>
    </w:p>
    <w:p w14:paraId="6ACB9FA3" w14:textId="77777777" w:rsidR="00E1237D" w:rsidRDefault="00E1237D" w:rsidP="00E1237D">
      <w:pPr>
        <w:pStyle w:val="BodyText"/>
      </w:pPr>
      <w:r>
        <w:t xml:space="preserve">According to </w:t>
      </w:r>
      <w:proofErr w:type="spellStart"/>
      <w:r>
        <w:t>Climateworks</w:t>
      </w:r>
      <w:proofErr w:type="spellEnd"/>
      <w:r>
        <w:t xml:space="preserve">, in 2010-11, buildings in Australia </w:t>
      </w:r>
      <w:r w:rsidR="00877B55">
        <w:t xml:space="preserve">(including both residential and commercial buildings) </w:t>
      </w:r>
      <w:r w:rsidR="003243BF">
        <w:t xml:space="preserve">were associated with </w:t>
      </w:r>
      <w:r>
        <w:t>113 MtCO</w:t>
      </w:r>
      <w:r w:rsidRPr="0024777E">
        <w:rPr>
          <w:vertAlign w:val="subscript"/>
        </w:rPr>
        <w:t>2e</w:t>
      </w:r>
      <w:r>
        <w:t xml:space="preserve"> (20.1 per cent) </w:t>
      </w:r>
      <w:r w:rsidR="003243BF">
        <w:t xml:space="preserve">of emissions </w:t>
      </w:r>
      <w:r>
        <w:t>out of a total of 563 MtCO</w:t>
      </w:r>
      <w:r w:rsidRPr="0024777E">
        <w:rPr>
          <w:vertAlign w:val="subscript"/>
        </w:rPr>
        <w:t>2e</w:t>
      </w:r>
      <w:r w:rsidR="00CB3EC7">
        <w:t xml:space="preserve">. </w:t>
      </w:r>
      <w:r>
        <w:t>Only power generation was a greater source of carbon emissions (218 MtCO</w:t>
      </w:r>
      <w:r w:rsidRPr="0024777E">
        <w:rPr>
          <w:vertAlign w:val="subscript"/>
        </w:rPr>
        <w:t>2e</w:t>
      </w:r>
      <w:r>
        <w:t>)</w:t>
      </w:r>
      <w:r w:rsidR="00CB3EC7">
        <w:t xml:space="preserve">. </w:t>
      </w:r>
      <w:r>
        <w:t xml:space="preserve">In 2002-03, buildings </w:t>
      </w:r>
      <w:r w:rsidR="00E9020E">
        <w:t xml:space="preserve">had </w:t>
      </w:r>
      <w:r>
        <w:t>accounted for 18.6 per cent of total carbon emissions in Australia.</w:t>
      </w:r>
    </w:p>
    <w:p w14:paraId="20B818BE" w14:textId="77777777" w:rsidR="00BB1489" w:rsidRPr="00F062BA" w:rsidRDefault="00D50A0A" w:rsidP="004572F4">
      <w:pPr>
        <w:pStyle w:val="BodyText"/>
      </w:pPr>
      <w:r>
        <w:t xml:space="preserve">According to </w:t>
      </w:r>
      <w:proofErr w:type="spellStart"/>
      <w:r>
        <w:t>pitt&amp;sherry</w:t>
      </w:r>
      <w:proofErr w:type="spellEnd"/>
      <w:r>
        <w:t>, electricity dominates the fuel mix for all commercial buildings in Australia, with a share of almost 83 per cent in 2009 (compared with natural gas’ share of 17 per cent)</w:t>
      </w:r>
      <w:r w:rsidR="00CB3EC7">
        <w:t xml:space="preserve">. </w:t>
      </w:r>
      <w:r>
        <w:t>Given the relatively high average greenhouse gas intensity of electricity supply in Australia, this largely explains why buildings exhibit a larger share of Australia’s greenhouse gas emissions than their share of energy use.</w:t>
      </w:r>
    </w:p>
    <w:p w14:paraId="5199F37C" w14:textId="77777777" w:rsidR="003475B9" w:rsidRDefault="00AE5E08" w:rsidP="003475B9">
      <w:pPr>
        <w:pStyle w:val="Heading2"/>
      </w:pPr>
      <w:bookmarkStart w:id="53" w:name="_Toc415660830"/>
      <w:r>
        <w:t xml:space="preserve">Profile of </w:t>
      </w:r>
      <w:r w:rsidR="00A64B54">
        <w:t xml:space="preserve">office </w:t>
      </w:r>
      <w:r>
        <w:t>building energy use</w:t>
      </w:r>
      <w:bookmarkEnd w:id="53"/>
    </w:p>
    <w:p w14:paraId="1A1EBA4F" w14:textId="77777777" w:rsidR="000F69E5" w:rsidRDefault="000F69E5" w:rsidP="00A90AF4">
      <w:pPr>
        <w:pStyle w:val="Heading3"/>
      </w:pPr>
      <w:bookmarkStart w:id="54" w:name="_Toc415660831"/>
      <w:r>
        <w:t>Overview of office building stock</w:t>
      </w:r>
      <w:bookmarkEnd w:id="54"/>
    </w:p>
    <w:p w14:paraId="27DE2F82" w14:textId="7D98D089" w:rsidR="00640496" w:rsidRDefault="00E446C6" w:rsidP="00A90AF4">
      <w:pPr>
        <w:pStyle w:val="BodyText"/>
      </w:pPr>
      <w:r>
        <w:t xml:space="preserve">According to </w:t>
      </w:r>
      <w:proofErr w:type="spellStart"/>
      <w:r>
        <w:t>pitt&amp;sherry</w:t>
      </w:r>
      <w:proofErr w:type="spellEnd"/>
      <w:r>
        <w:t xml:space="preserve"> </w:t>
      </w:r>
      <w:r w:rsidR="006C5B72">
        <w:t xml:space="preserve">(2012), </w:t>
      </w:r>
      <w:r w:rsidR="005E3223" w:rsidRPr="00A90AF4">
        <w:rPr>
          <w:i/>
        </w:rPr>
        <w:t>Baseline Energy Consumption and Greenhouse Gas Emissions In Commercial Buildings in Australia</w:t>
      </w:r>
      <w:r w:rsidR="005E3223">
        <w:t>, i</w:t>
      </w:r>
      <w:r w:rsidR="00A03978" w:rsidRPr="00A03978">
        <w:t>n 2009</w:t>
      </w:r>
      <w:r w:rsidR="00BD7258">
        <w:t>,</w:t>
      </w:r>
      <w:r w:rsidR="00A03978" w:rsidRPr="00A03978">
        <w:t xml:space="preserve"> standalone offices </w:t>
      </w:r>
      <w:r w:rsidR="00BD7258">
        <w:t>we</w:t>
      </w:r>
      <w:r w:rsidR="00A03978" w:rsidRPr="00A03978">
        <w:t xml:space="preserve">re estimated to have comprised some 36.6 million square metres </w:t>
      </w:r>
      <w:r w:rsidR="00A03978">
        <w:t>N</w:t>
      </w:r>
      <w:r w:rsidR="00A03978" w:rsidRPr="00A03978">
        <w:t xml:space="preserve">et </w:t>
      </w:r>
      <w:r w:rsidR="00A03978">
        <w:t>L</w:t>
      </w:r>
      <w:r w:rsidR="00A03978" w:rsidRPr="00A03978">
        <w:t xml:space="preserve">ettable </w:t>
      </w:r>
      <w:r w:rsidR="00A03978">
        <w:t>A</w:t>
      </w:r>
      <w:r w:rsidR="00A03978" w:rsidRPr="00A03978">
        <w:t xml:space="preserve">rea </w:t>
      </w:r>
      <w:r w:rsidR="00A03978">
        <w:t>(NLA) across Australia as a whole</w:t>
      </w:r>
      <w:r w:rsidR="00CB3EC7" w:rsidRPr="00A03978">
        <w:t>.</w:t>
      </w:r>
      <w:r w:rsidR="00CB3EC7">
        <w:t xml:space="preserve"> </w:t>
      </w:r>
      <w:r w:rsidR="00A03978" w:rsidRPr="00A03978">
        <w:t>Historically, the stock grew at an average rate of 2.2</w:t>
      </w:r>
      <w:r w:rsidR="00A03978">
        <w:t xml:space="preserve"> per cent</w:t>
      </w:r>
      <w:r w:rsidR="00A03978" w:rsidRPr="00A03978">
        <w:t xml:space="preserve"> per year between 1999 and 2011, and it is projected to continue to grow </w:t>
      </w:r>
      <w:r w:rsidR="005E3223">
        <w:t>at</w:t>
      </w:r>
      <w:r w:rsidR="00A03978" w:rsidRPr="00A03978">
        <w:t xml:space="preserve"> </w:t>
      </w:r>
      <w:r w:rsidR="005E3223">
        <w:t>approximately</w:t>
      </w:r>
      <w:r w:rsidR="00A03978" w:rsidRPr="00A03978">
        <w:t xml:space="preserve"> 2</w:t>
      </w:r>
      <w:r w:rsidR="00A03978">
        <w:t xml:space="preserve"> per cent</w:t>
      </w:r>
      <w:r w:rsidR="00A03978" w:rsidRPr="00A03978">
        <w:t xml:space="preserve"> per year</w:t>
      </w:r>
      <w:r w:rsidR="005E3223">
        <w:t xml:space="preserve"> to 2020</w:t>
      </w:r>
      <w:r w:rsidR="00A03978" w:rsidRPr="00A03978">
        <w:t>.</w:t>
      </w:r>
    </w:p>
    <w:p w14:paraId="11D15AA8" w14:textId="6A851A84" w:rsidR="00794AAA" w:rsidRDefault="00A03978" w:rsidP="007444A0">
      <w:pPr>
        <w:pStyle w:val="ListDash"/>
        <w:numPr>
          <w:ilvl w:val="0"/>
          <w:numId w:val="0"/>
        </w:numPr>
      </w:pPr>
      <w:r w:rsidRPr="00A03978">
        <w:t>While New South Wales comprise</w:t>
      </w:r>
      <w:r w:rsidR="005E3223">
        <w:t>d</w:t>
      </w:r>
      <w:r w:rsidRPr="00A03978">
        <w:t xml:space="preserve"> the largest share of the office stock by state, this share is expected to fall slightly over the 2009 to 2020 period, from 38.6</w:t>
      </w:r>
      <w:r>
        <w:t xml:space="preserve"> per cent</w:t>
      </w:r>
      <w:r w:rsidRPr="00A03978">
        <w:t xml:space="preserve"> to 37.8</w:t>
      </w:r>
      <w:r>
        <w:t xml:space="preserve"> per cent</w:t>
      </w:r>
      <w:r w:rsidR="00CB3EC7" w:rsidRPr="00A03978">
        <w:t>.</w:t>
      </w:r>
      <w:r w:rsidR="00CB3EC7">
        <w:t xml:space="preserve"> </w:t>
      </w:r>
      <w:r w:rsidR="00640496" w:rsidRPr="00640496">
        <w:t>Over the same period, shares of Queensland and Western Australia are expected to increase somewhat, from 14.3</w:t>
      </w:r>
      <w:r w:rsidR="00640496">
        <w:t xml:space="preserve"> per cent</w:t>
      </w:r>
      <w:r w:rsidR="00640496" w:rsidRPr="00640496">
        <w:t xml:space="preserve"> to 15.2</w:t>
      </w:r>
      <w:r w:rsidR="00640496">
        <w:t xml:space="preserve"> per cent</w:t>
      </w:r>
      <w:r w:rsidR="00640496" w:rsidRPr="00640496">
        <w:t xml:space="preserve"> (Q</w:t>
      </w:r>
      <w:r w:rsidR="00640496">
        <w:t>ld</w:t>
      </w:r>
      <w:r w:rsidR="00640496" w:rsidRPr="00640496">
        <w:t>) and from 8.4</w:t>
      </w:r>
      <w:r w:rsidR="005E3223">
        <w:t xml:space="preserve"> per cent</w:t>
      </w:r>
      <w:r w:rsidR="00640496" w:rsidRPr="00640496">
        <w:t xml:space="preserve"> to 9.2</w:t>
      </w:r>
      <w:r w:rsidR="005E3223">
        <w:t xml:space="preserve"> per cent</w:t>
      </w:r>
      <w:r w:rsidR="00640496" w:rsidRPr="00640496">
        <w:t xml:space="preserve"> (WA).</w:t>
      </w:r>
    </w:p>
    <w:p w14:paraId="278F9D00" w14:textId="77777777" w:rsidR="00DA7E33" w:rsidRDefault="00DA7E33" w:rsidP="00A90AF4">
      <w:pPr>
        <w:pStyle w:val="Heading3"/>
      </w:pPr>
      <w:bookmarkStart w:id="55" w:name="_Toc415660832"/>
      <w:r>
        <w:t>Office building energy consumption</w:t>
      </w:r>
      <w:bookmarkEnd w:id="55"/>
    </w:p>
    <w:p w14:paraId="4B86C4CB" w14:textId="0F5738CF" w:rsidR="00DA7E33" w:rsidRDefault="00796978" w:rsidP="007444A0">
      <w:pPr>
        <w:pStyle w:val="ListDash"/>
        <w:numPr>
          <w:ilvl w:val="0"/>
          <w:numId w:val="0"/>
        </w:numPr>
      </w:pPr>
      <w:r>
        <w:t>T</w:t>
      </w:r>
      <w:r w:rsidR="00DA7E33" w:rsidRPr="00DA7E33">
        <w:t xml:space="preserve">otal energy consumption in standalone offices in 2009 </w:t>
      </w:r>
      <w:r w:rsidR="00267E18">
        <w:t>wa</w:t>
      </w:r>
      <w:r w:rsidR="00DA7E33" w:rsidRPr="00DA7E33">
        <w:t xml:space="preserve">s estimated </w:t>
      </w:r>
      <w:r w:rsidR="005E3223">
        <w:t xml:space="preserve">by </w:t>
      </w:r>
      <w:proofErr w:type="spellStart"/>
      <w:r w:rsidR="005E3223">
        <w:t>pitt&amp;sherry</w:t>
      </w:r>
      <w:proofErr w:type="spellEnd"/>
      <w:r w:rsidR="005E3223">
        <w:t xml:space="preserve"> </w:t>
      </w:r>
      <w:r w:rsidR="00DA7E33" w:rsidRPr="00DA7E33">
        <w:t>at some 33.6 PJ, a 14</w:t>
      </w:r>
      <w:r>
        <w:t xml:space="preserve"> per cent</w:t>
      </w:r>
      <w:r w:rsidR="00DA7E33" w:rsidRPr="00DA7E33">
        <w:t xml:space="preserve"> increase over the 1999 value of 29.4 PJ</w:t>
      </w:r>
      <w:r w:rsidR="00CB3EC7" w:rsidRPr="00DA7E33">
        <w:t>.</w:t>
      </w:r>
      <w:r w:rsidR="00CB3EC7">
        <w:t xml:space="preserve"> </w:t>
      </w:r>
      <w:r w:rsidR="00DA7E33" w:rsidRPr="00DA7E33">
        <w:t xml:space="preserve">This is projected to increase steadily to just over 38 PJ in 2020 </w:t>
      </w:r>
      <w:r w:rsidR="0032582C">
        <w:t xml:space="preserve">according to </w:t>
      </w:r>
      <w:r w:rsidR="00DA7E33" w:rsidRPr="00DA7E33">
        <w:t xml:space="preserve">current </w:t>
      </w:r>
      <w:r w:rsidR="00DA7E33" w:rsidRPr="00DA7E33">
        <w:lastRenderedPageBreak/>
        <w:t>trends</w:t>
      </w:r>
      <w:r w:rsidR="00CB3EC7" w:rsidRPr="00DA7E33">
        <w:t>.</w:t>
      </w:r>
      <w:r w:rsidR="00CB3EC7">
        <w:t xml:space="preserve"> </w:t>
      </w:r>
      <w:r w:rsidR="00DA7E33" w:rsidRPr="00DA7E33">
        <w:t>Tenancies accounted for around 42</w:t>
      </w:r>
      <w:r w:rsidR="00135B3D">
        <w:t xml:space="preserve"> per cent</w:t>
      </w:r>
      <w:r w:rsidR="00DA7E33" w:rsidRPr="00DA7E33">
        <w:t xml:space="preserve"> of the energy consumption in 2009, </w:t>
      </w:r>
      <w:r w:rsidR="005E3223">
        <w:t>with</w:t>
      </w:r>
      <w:r w:rsidR="00DA7E33" w:rsidRPr="00DA7E33">
        <w:t xml:space="preserve"> base buildings account</w:t>
      </w:r>
      <w:r w:rsidR="005E3223">
        <w:t>ing</w:t>
      </w:r>
      <w:r w:rsidR="00DA7E33" w:rsidRPr="00DA7E33">
        <w:t xml:space="preserve"> for the balance of 58</w:t>
      </w:r>
      <w:r w:rsidR="00135B3D">
        <w:t xml:space="preserve"> per cent</w:t>
      </w:r>
      <w:r w:rsidR="00DA7E33" w:rsidRPr="00DA7E33">
        <w:t>.</w:t>
      </w:r>
    </w:p>
    <w:p w14:paraId="0C3877A4" w14:textId="77777777" w:rsidR="00DA7E33" w:rsidRDefault="00DA7E33" w:rsidP="00DA7E33">
      <w:pPr>
        <w:pStyle w:val="Heading3"/>
      </w:pPr>
      <w:bookmarkStart w:id="56" w:name="_Toc415660833"/>
      <w:r>
        <w:t>Office building greenhouse gas emissions</w:t>
      </w:r>
      <w:bookmarkEnd w:id="56"/>
    </w:p>
    <w:p w14:paraId="6D528486" w14:textId="77777777" w:rsidR="00DA7E33" w:rsidRDefault="00DA7E33" w:rsidP="00DA7E33">
      <w:pPr>
        <w:pStyle w:val="ListDash"/>
        <w:numPr>
          <w:ilvl w:val="0"/>
          <w:numId w:val="0"/>
        </w:numPr>
      </w:pPr>
      <w:r w:rsidRPr="002432BA">
        <w:t xml:space="preserve">Greenhouse gas emissions associated with standalone office energy use in 2009 </w:t>
      </w:r>
      <w:r w:rsidR="005E3223">
        <w:t>were</w:t>
      </w:r>
      <w:r w:rsidRPr="002432BA">
        <w:t xml:space="preserve"> estimated </w:t>
      </w:r>
      <w:r w:rsidR="005E3223">
        <w:t xml:space="preserve">by </w:t>
      </w:r>
      <w:proofErr w:type="spellStart"/>
      <w:r w:rsidR="005E3223">
        <w:t>pitt&amp;sherry</w:t>
      </w:r>
      <w:proofErr w:type="spellEnd"/>
      <w:r w:rsidR="005E3223">
        <w:t xml:space="preserve"> </w:t>
      </w:r>
      <w:r w:rsidRPr="002432BA">
        <w:t>at 8.7 Mt CO</w:t>
      </w:r>
      <w:r w:rsidRPr="005F0932">
        <w:rPr>
          <w:vertAlign w:val="subscript"/>
        </w:rPr>
        <w:t>2</w:t>
      </w:r>
      <w:r w:rsidRPr="0024777E">
        <w:rPr>
          <w:vertAlign w:val="subscript"/>
        </w:rPr>
        <w:t>e</w:t>
      </w:r>
      <w:r w:rsidRPr="002432BA">
        <w:t>, and are projected to rise around 9.8 Mt CO</w:t>
      </w:r>
      <w:r w:rsidRPr="005F0932">
        <w:rPr>
          <w:vertAlign w:val="subscript"/>
        </w:rPr>
        <w:t>2</w:t>
      </w:r>
      <w:r w:rsidRPr="0024777E">
        <w:rPr>
          <w:vertAlign w:val="subscript"/>
        </w:rPr>
        <w:t>e</w:t>
      </w:r>
      <w:r w:rsidRPr="002432BA">
        <w:t xml:space="preserve"> in 2020</w:t>
      </w:r>
      <w:r w:rsidR="00135B3D">
        <w:t>, assuming that the greenhouse gas intensity of electricity in each state and territory remains unchanged</w:t>
      </w:r>
      <w:r w:rsidRPr="002432BA">
        <w:t>.</w:t>
      </w:r>
    </w:p>
    <w:p w14:paraId="11B3007E" w14:textId="77777777" w:rsidR="000F69E5" w:rsidRDefault="000F69E5" w:rsidP="00A90AF4">
      <w:pPr>
        <w:pStyle w:val="Heading3"/>
      </w:pPr>
      <w:bookmarkStart w:id="57" w:name="_Toc415660834"/>
      <w:r>
        <w:t>Office building energy intensity</w:t>
      </w:r>
      <w:bookmarkEnd w:id="57"/>
    </w:p>
    <w:p w14:paraId="1B26A656" w14:textId="77777777" w:rsidR="00A930B1" w:rsidRDefault="005E3223" w:rsidP="007444A0">
      <w:pPr>
        <w:pStyle w:val="ListDash"/>
        <w:numPr>
          <w:ilvl w:val="0"/>
          <w:numId w:val="0"/>
        </w:numPr>
      </w:pPr>
      <w:r>
        <w:t xml:space="preserve">In the </w:t>
      </w:r>
      <w:proofErr w:type="spellStart"/>
      <w:r>
        <w:t>pitt&amp;sherry</w:t>
      </w:r>
      <w:proofErr w:type="spellEnd"/>
      <w:r>
        <w:t xml:space="preserve"> report, e</w:t>
      </w:r>
      <w:r w:rsidR="00A930B1" w:rsidRPr="00A930B1">
        <w:t xml:space="preserve">nergy and fuel intensities </w:t>
      </w:r>
      <w:r>
        <w:t>we</w:t>
      </w:r>
      <w:r w:rsidR="00A930B1" w:rsidRPr="00A930B1">
        <w:t>re calculated for each year, office sub-type (base building, tenancies, whole buildings) and ownership type (private, government)</w:t>
      </w:r>
      <w:r>
        <w:t>,</w:t>
      </w:r>
      <w:r w:rsidR="00A930B1" w:rsidRPr="00A930B1">
        <w:t xml:space="preserve"> drawing on more than 4,300 data records relating to over 1,700 actual office buildings</w:t>
      </w:r>
      <w:r w:rsidR="00A930B1">
        <w:t xml:space="preserve"> between 1999 and 2012</w:t>
      </w:r>
      <w:r w:rsidR="00A930B1" w:rsidRPr="00A930B1">
        <w:t>.</w:t>
      </w:r>
    </w:p>
    <w:p w14:paraId="34C7EC70" w14:textId="77777777" w:rsidR="00A930B1" w:rsidRDefault="00492194" w:rsidP="007444A0">
      <w:pPr>
        <w:pStyle w:val="ListDash"/>
        <w:numPr>
          <w:ilvl w:val="0"/>
          <w:numId w:val="0"/>
        </w:numPr>
      </w:pPr>
      <w:r>
        <w:fldChar w:fldCharType="begin"/>
      </w:r>
      <w:r w:rsidR="00A930B1">
        <w:instrText xml:space="preserve"> REF _Ref409536901 \h </w:instrText>
      </w:r>
      <w:r>
        <w:fldChar w:fldCharType="separate"/>
      </w:r>
      <w:r w:rsidR="006A273E">
        <w:t xml:space="preserve">Figure </w:t>
      </w:r>
      <w:r w:rsidR="006A273E">
        <w:rPr>
          <w:noProof/>
        </w:rPr>
        <w:t>3</w:t>
      </w:r>
      <w:r>
        <w:fldChar w:fldCharType="end"/>
      </w:r>
      <w:r w:rsidR="00A930B1">
        <w:t xml:space="preserve"> </w:t>
      </w:r>
      <w:r w:rsidR="00A930B1" w:rsidRPr="00A930B1">
        <w:t>shows all office energy intensities (all sub-types and time periods) plotted against area</w:t>
      </w:r>
      <w:r w:rsidR="00CB3EC7" w:rsidRPr="00A930B1">
        <w:t>.</w:t>
      </w:r>
      <w:r w:rsidR="00CB3EC7">
        <w:t xml:space="preserve"> </w:t>
      </w:r>
      <w:r w:rsidR="00A930B1" w:rsidRPr="00A930B1">
        <w:t>While the larger offices exhibit a reasonably symmetrical distribution of values around the mean, the overall distribution shows a skewed ‘tail’ of smaller and more energy intensive offices.</w:t>
      </w:r>
    </w:p>
    <w:p w14:paraId="74C64B31" w14:textId="77777777" w:rsidR="00A03978" w:rsidRDefault="00A03978">
      <w:pPr>
        <w:pStyle w:val="Caption"/>
      </w:pPr>
      <w:bookmarkStart w:id="58" w:name="_Ref409536901"/>
      <w:bookmarkStart w:id="59" w:name="_Toc415660948"/>
      <w:r>
        <w:t xml:space="preserve">Figure </w:t>
      </w:r>
      <w:r w:rsidR="00492194">
        <w:fldChar w:fldCharType="begin"/>
      </w:r>
      <w:r w:rsidR="0044208C">
        <w:instrText xml:space="preserve"> SEQ Figure \* ARABIC </w:instrText>
      </w:r>
      <w:r w:rsidR="00492194">
        <w:fldChar w:fldCharType="separate"/>
      </w:r>
      <w:r w:rsidR="006A273E">
        <w:rPr>
          <w:noProof/>
        </w:rPr>
        <w:t>3</w:t>
      </w:r>
      <w:r w:rsidR="00492194">
        <w:rPr>
          <w:noProof/>
        </w:rPr>
        <w:fldChar w:fldCharType="end"/>
      </w:r>
      <w:bookmarkEnd w:id="58"/>
      <w:r w:rsidRPr="004E0C91">
        <w:rPr>
          <w:b/>
          <w:color w:val="000080"/>
        </w:rPr>
        <w:tab/>
      </w:r>
      <w:r w:rsidR="00A930B1">
        <w:rPr>
          <w:rStyle w:val="CaptionLabel"/>
        </w:rPr>
        <w:t>Total energy intensity versus area, all offices</w:t>
      </w:r>
      <w:bookmarkEnd w:id="59"/>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A03978" w14:paraId="0020B815" w14:textId="77777777">
        <w:trPr>
          <w:cantSplit/>
        </w:trPr>
        <w:tc>
          <w:tcPr>
            <w:tcW w:w="5000" w:type="pct"/>
          </w:tcPr>
          <w:p w14:paraId="763F9414" w14:textId="77777777" w:rsidR="00A03978" w:rsidRDefault="00A03978" w:rsidP="0032582C">
            <w:pPr>
              <w:pStyle w:val="SmallDeltasRightAligned"/>
              <w:keepNext/>
            </w:pPr>
            <w:r>
              <w:rPr>
                <w:noProof/>
                <w:lang w:eastAsia="en-AU"/>
              </w:rPr>
              <w:drawing>
                <wp:inline distT="0" distB="0" distL="0" distR="0" wp14:anchorId="2B417311" wp14:editId="2C023D75">
                  <wp:extent cx="481585" cy="234696"/>
                  <wp:effectExtent l="0" t="0" r="0" b="0"/>
                  <wp:docPr id="46" name="Picture 46"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A03978" w14:paraId="54999E95" w14:textId="77777777">
        <w:trPr>
          <w:cantSplit/>
        </w:trPr>
        <w:tc>
          <w:tcPr>
            <w:tcW w:w="5000" w:type="pct"/>
          </w:tcPr>
          <w:p w14:paraId="0242B801" w14:textId="77777777" w:rsidR="00A03978" w:rsidRDefault="00A930B1" w:rsidP="0032582C">
            <w:pPr>
              <w:pStyle w:val="Figure"/>
            </w:pPr>
            <w:r>
              <w:rPr>
                <w:noProof/>
                <w:lang w:eastAsia="en-AU"/>
              </w:rPr>
              <w:drawing>
                <wp:inline distT="0" distB="0" distL="0" distR="0" wp14:anchorId="4A3130DF" wp14:editId="060F39AE">
                  <wp:extent cx="4680585" cy="2808605"/>
                  <wp:effectExtent l="0" t="0" r="5715" b="0"/>
                  <wp:docPr id="51" name="Picture 51" descr="Total energy intensity versus area, all offices" title="Total energy intensity versus area, all 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80585" cy="2808605"/>
                          </a:xfrm>
                          <a:prstGeom prst="rect">
                            <a:avLst/>
                          </a:prstGeom>
                        </pic:spPr>
                      </pic:pic>
                    </a:graphicData>
                  </a:graphic>
                </wp:inline>
              </w:drawing>
            </w:r>
          </w:p>
        </w:tc>
      </w:tr>
    </w:tbl>
    <w:p w14:paraId="2465A664" w14:textId="77777777" w:rsidR="00A03978" w:rsidRPr="00B50A1B" w:rsidRDefault="00A03978" w:rsidP="0032582C">
      <w:pPr>
        <w:pStyle w:val="Source"/>
        <w:rPr>
          <w:i/>
        </w:rPr>
      </w:pPr>
      <w:r>
        <w:t>S</w:t>
      </w:r>
      <w:r w:rsidRPr="00B50A1B">
        <w:t>ource:</w:t>
      </w:r>
      <w:r w:rsidRPr="00954EED">
        <w:t xml:space="preserve"> </w:t>
      </w:r>
      <w:r w:rsidR="006C5B72">
        <w:t xml:space="preserve">Figure 5.3, p.36, </w:t>
      </w:r>
      <w:proofErr w:type="spellStart"/>
      <w:r w:rsidR="00A930B1">
        <w:t>pitt&amp;sherry</w:t>
      </w:r>
      <w:proofErr w:type="spellEnd"/>
      <w:r w:rsidR="006C5B72">
        <w:t xml:space="preserve"> (2012)</w:t>
      </w:r>
    </w:p>
    <w:p w14:paraId="6AAD0FEF" w14:textId="77777777" w:rsidR="00A03978" w:rsidRDefault="00492194" w:rsidP="007444A0">
      <w:pPr>
        <w:pStyle w:val="ListDash"/>
        <w:numPr>
          <w:ilvl w:val="0"/>
          <w:numId w:val="0"/>
        </w:numPr>
      </w:pPr>
      <w:r>
        <w:fldChar w:fldCharType="begin"/>
      </w:r>
      <w:r w:rsidR="00797A60">
        <w:instrText xml:space="preserve"> REF _Ref409537161 \h </w:instrText>
      </w:r>
      <w:r>
        <w:fldChar w:fldCharType="separate"/>
      </w:r>
      <w:r w:rsidR="006A273E">
        <w:t xml:space="preserve">Figure </w:t>
      </w:r>
      <w:r w:rsidR="006A273E">
        <w:rPr>
          <w:noProof/>
        </w:rPr>
        <w:t>4</w:t>
      </w:r>
      <w:r>
        <w:fldChar w:fldCharType="end"/>
      </w:r>
      <w:r w:rsidR="00797A60">
        <w:t xml:space="preserve"> </w:t>
      </w:r>
      <w:r w:rsidR="00797A60" w:rsidRPr="00797A60">
        <w:t>shows the average annual energy intensity for office tenancies for the years 2001</w:t>
      </w:r>
      <w:r w:rsidR="005E3223">
        <w:t xml:space="preserve"> to </w:t>
      </w:r>
      <w:r w:rsidR="00797A60" w:rsidRPr="00797A60">
        <w:t>2011, including linear regressions for the period back to 1999 and forward to 2020</w:t>
      </w:r>
      <w:r w:rsidR="00CB3EC7" w:rsidRPr="00797A60">
        <w:t>.</w:t>
      </w:r>
      <w:r w:rsidR="00CB3EC7">
        <w:t xml:space="preserve"> </w:t>
      </w:r>
      <w:r w:rsidR="00797A60" w:rsidRPr="00797A60">
        <w:t xml:space="preserve">In the base year of 2009, the average energy intensity of office tenancies in Australia </w:t>
      </w:r>
      <w:r w:rsidR="005E3223">
        <w:t>was estimated</w:t>
      </w:r>
      <w:r w:rsidR="00797A60" w:rsidRPr="00797A60">
        <w:t xml:space="preserve"> to be around 385 MJ/m</w:t>
      </w:r>
      <w:r w:rsidR="00797A60" w:rsidRPr="00A90AF4">
        <w:rPr>
          <w:vertAlign w:val="superscript"/>
        </w:rPr>
        <w:t>2</w:t>
      </w:r>
      <w:r w:rsidR="00797A60">
        <w:t>.</w:t>
      </w:r>
    </w:p>
    <w:p w14:paraId="0C493A37" w14:textId="77777777" w:rsidR="009A124A" w:rsidRDefault="009A124A" w:rsidP="007444A0">
      <w:pPr>
        <w:pStyle w:val="ListDash"/>
        <w:numPr>
          <w:ilvl w:val="0"/>
          <w:numId w:val="0"/>
        </w:numPr>
      </w:pPr>
      <w:r>
        <w:t>It</w:t>
      </w:r>
      <w:r w:rsidRPr="002432BA">
        <w:t xml:space="preserve"> can be seen </w:t>
      </w:r>
      <w:r>
        <w:t xml:space="preserve">in </w:t>
      </w:r>
      <w:r w:rsidR="00492194">
        <w:fldChar w:fldCharType="begin"/>
      </w:r>
      <w:r>
        <w:instrText xml:space="preserve"> REF _Ref409537161 \h </w:instrText>
      </w:r>
      <w:r w:rsidR="00492194">
        <w:fldChar w:fldCharType="separate"/>
      </w:r>
      <w:r w:rsidR="006A273E">
        <w:t xml:space="preserve">Figure </w:t>
      </w:r>
      <w:r w:rsidR="006A273E">
        <w:rPr>
          <w:noProof/>
        </w:rPr>
        <w:t>4</w:t>
      </w:r>
      <w:r w:rsidR="00492194">
        <w:fldChar w:fldCharType="end"/>
      </w:r>
      <w:r>
        <w:t xml:space="preserve"> </w:t>
      </w:r>
      <w:r w:rsidRPr="002432BA">
        <w:t>that the values for average annual energy intensity vary considerably around the trend, result</w:t>
      </w:r>
      <w:r>
        <w:t>ing</w:t>
      </w:r>
      <w:r w:rsidRPr="002432BA">
        <w:t xml:space="preserve"> in a very low R</w:t>
      </w:r>
      <w:r w:rsidRPr="005F0932">
        <w:rPr>
          <w:vertAlign w:val="superscript"/>
        </w:rPr>
        <w:t>2</w:t>
      </w:r>
      <w:r w:rsidRPr="002432BA">
        <w:t xml:space="preserve"> value of 0.04</w:t>
      </w:r>
      <w:r w:rsidR="00761741">
        <w:rPr>
          <w:rStyle w:val="FootnoteReference"/>
        </w:rPr>
        <w:footnoteReference w:id="13"/>
      </w:r>
      <w:r w:rsidR="00CB3EC7" w:rsidRPr="002432BA">
        <w:t>.</w:t>
      </w:r>
      <w:r w:rsidR="00CB3EC7">
        <w:t xml:space="preserve"> </w:t>
      </w:r>
      <w:r w:rsidRPr="002432BA">
        <w:t xml:space="preserve">Despite </w:t>
      </w:r>
      <w:r w:rsidRPr="002432BA">
        <w:lastRenderedPageBreak/>
        <w:t xml:space="preserve">this, </w:t>
      </w:r>
      <w:proofErr w:type="spellStart"/>
      <w:r>
        <w:t>pitt&amp;sherry</w:t>
      </w:r>
      <w:proofErr w:type="spellEnd"/>
      <w:r w:rsidRPr="002432BA">
        <w:t xml:space="preserve"> draw a weak conclusion that, on average, the energy intensity of office tenancies in Australia appears to have fallen modestly over the decade to 2</w:t>
      </w:r>
      <w:r>
        <w:t>011 (which largely pre-dated the introduction and operation of the CBD program).</w:t>
      </w:r>
    </w:p>
    <w:p w14:paraId="704B0327" w14:textId="77777777" w:rsidR="00A03978" w:rsidRDefault="00A03978">
      <w:pPr>
        <w:pStyle w:val="Caption"/>
      </w:pPr>
      <w:bookmarkStart w:id="60" w:name="_Ref409537161"/>
      <w:bookmarkStart w:id="61" w:name="_Toc415660949"/>
      <w:r>
        <w:t xml:space="preserve">Figure </w:t>
      </w:r>
      <w:r w:rsidR="00492194">
        <w:fldChar w:fldCharType="begin"/>
      </w:r>
      <w:r w:rsidR="0044208C">
        <w:instrText xml:space="preserve"> SEQ Figure \* ARABIC </w:instrText>
      </w:r>
      <w:r w:rsidR="00492194">
        <w:fldChar w:fldCharType="separate"/>
      </w:r>
      <w:r w:rsidR="006A273E">
        <w:rPr>
          <w:noProof/>
        </w:rPr>
        <w:t>4</w:t>
      </w:r>
      <w:r w:rsidR="00492194">
        <w:rPr>
          <w:noProof/>
        </w:rPr>
        <w:fldChar w:fldCharType="end"/>
      </w:r>
      <w:bookmarkEnd w:id="60"/>
      <w:r w:rsidRPr="004E0C91">
        <w:rPr>
          <w:b/>
          <w:color w:val="000080"/>
        </w:rPr>
        <w:tab/>
      </w:r>
      <w:r w:rsidR="00797A60">
        <w:rPr>
          <w:rStyle w:val="CaptionLabel"/>
        </w:rPr>
        <w:t>Average energy intensity, office tenancies, Australia</w:t>
      </w:r>
      <w:bookmarkEnd w:id="61"/>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A03978" w14:paraId="0678FD54" w14:textId="77777777">
        <w:trPr>
          <w:cantSplit/>
        </w:trPr>
        <w:tc>
          <w:tcPr>
            <w:tcW w:w="5000" w:type="pct"/>
          </w:tcPr>
          <w:p w14:paraId="08C4F1B2" w14:textId="77777777" w:rsidR="00A03978" w:rsidRDefault="00A03978" w:rsidP="0032582C">
            <w:pPr>
              <w:pStyle w:val="SmallDeltasRightAligned"/>
              <w:keepNext/>
            </w:pPr>
            <w:r>
              <w:rPr>
                <w:noProof/>
                <w:lang w:eastAsia="en-AU"/>
              </w:rPr>
              <w:drawing>
                <wp:inline distT="0" distB="0" distL="0" distR="0" wp14:anchorId="3B08D686" wp14:editId="2F4C82B6">
                  <wp:extent cx="481585" cy="234696"/>
                  <wp:effectExtent l="0" t="0" r="0" b="0"/>
                  <wp:docPr id="47" name="Picture 47"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A03978" w14:paraId="5F1FAA85" w14:textId="77777777">
        <w:trPr>
          <w:cantSplit/>
        </w:trPr>
        <w:tc>
          <w:tcPr>
            <w:tcW w:w="5000" w:type="pct"/>
          </w:tcPr>
          <w:p w14:paraId="6A9B33D0" w14:textId="77777777" w:rsidR="00A03978" w:rsidRDefault="00797A60" w:rsidP="0032582C">
            <w:pPr>
              <w:pStyle w:val="Figure"/>
            </w:pPr>
            <w:r>
              <w:rPr>
                <w:noProof/>
                <w:lang w:eastAsia="en-AU"/>
              </w:rPr>
              <w:drawing>
                <wp:inline distT="0" distB="0" distL="0" distR="0" wp14:anchorId="5FDE2414" wp14:editId="2B3BCB46">
                  <wp:extent cx="4680585" cy="3018155"/>
                  <wp:effectExtent l="0" t="0" r="5715" b="0"/>
                  <wp:docPr id="56" name="Picture 56" descr="Average energy intensity, office tenancies, Australia" title="Average energy intensity, office tenancie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80585" cy="3018155"/>
                          </a:xfrm>
                          <a:prstGeom prst="rect">
                            <a:avLst/>
                          </a:prstGeom>
                        </pic:spPr>
                      </pic:pic>
                    </a:graphicData>
                  </a:graphic>
                </wp:inline>
              </w:drawing>
            </w:r>
          </w:p>
        </w:tc>
      </w:tr>
    </w:tbl>
    <w:p w14:paraId="5CDDA919" w14:textId="77777777" w:rsidR="00A03978" w:rsidRPr="00B50A1B" w:rsidRDefault="006C5B72" w:rsidP="0032582C">
      <w:pPr>
        <w:pStyle w:val="Source"/>
        <w:rPr>
          <w:i/>
        </w:rPr>
      </w:pPr>
      <w:r>
        <w:t>S</w:t>
      </w:r>
      <w:r w:rsidRPr="00B50A1B">
        <w:t>ource:</w:t>
      </w:r>
      <w:r w:rsidRPr="00954EED">
        <w:t xml:space="preserve"> </w:t>
      </w:r>
      <w:r>
        <w:t xml:space="preserve">Figure 5.4, p.37, </w:t>
      </w:r>
      <w:proofErr w:type="spellStart"/>
      <w:r>
        <w:t>pitt&amp;sherry</w:t>
      </w:r>
      <w:proofErr w:type="spellEnd"/>
      <w:r>
        <w:t xml:space="preserve"> (2012)</w:t>
      </w:r>
    </w:p>
    <w:p w14:paraId="3EAD1CCB" w14:textId="77777777" w:rsidR="00A03978" w:rsidRDefault="00135B3D" w:rsidP="00A90AF4">
      <w:pPr>
        <w:pStyle w:val="Heading3"/>
      </w:pPr>
      <w:bookmarkStart w:id="62" w:name="_Toc415660835"/>
      <w:r>
        <w:t>Energy consumption by fuel</w:t>
      </w:r>
      <w:bookmarkEnd w:id="62"/>
    </w:p>
    <w:p w14:paraId="12366321" w14:textId="77777777" w:rsidR="00135B3D" w:rsidRDefault="00135B3D" w:rsidP="00A90AF4">
      <w:pPr>
        <w:pStyle w:val="BodyText"/>
      </w:pPr>
      <w:r>
        <w:t xml:space="preserve">According to the </w:t>
      </w:r>
      <w:proofErr w:type="spellStart"/>
      <w:r>
        <w:t>pitt&amp;sherry</w:t>
      </w:r>
      <w:proofErr w:type="spellEnd"/>
      <w:r>
        <w:t xml:space="preserve"> report, fuel use in standalone offices is dominated by electricity, which accounts for 90 per cent of total energy consumption</w:t>
      </w:r>
      <w:r w:rsidR="00CB3EC7">
        <w:t xml:space="preserve">. </w:t>
      </w:r>
      <w:r>
        <w:t>Natural gas accounts for the majority of the balance, with minor use of diesel (which is likely to be primarily for standby power generation) and LPG.</w:t>
      </w:r>
    </w:p>
    <w:p w14:paraId="4B859220" w14:textId="77777777" w:rsidR="00135B3D" w:rsidRDefault="00135B3D" w:rsidP="00135B3D">
      <w:pPr>
        <w:pStyle w:val="ListDash"/>
        <w:numPr>
          <w:ilvl w:val="0"/>
          <w:numId w:val="0"/>
        </w:numPr>
      </w:pPr>
      <w:r>
        <w:t>The fuel mix varies by office sub-type</w:t>
      </w:r>
      <w:r w:rsidR="00CB3EC7">
        <w:t xml:space="preserve">. </w:t>
      </w:r>
      <w:r>
        <w:t>Office tenancies, on average, use close to 100 per cent electricity (for ‘tenant light and power’), with around only 0.3 per cent natural gas and 0.1 per cent LPG</w:t>
      </w:r>
      <w:r w:rsidR="00CB3EC7">
        <w:t xml:space="preserve">. </w:t>
      </w:r>
      <w:r>
        <w:t>(These values represent averages over the 1999 to 2012 period, as no significant time series information was available.)</w:t>
      </w:r>
    </w:p>
    <w:p w14:paraId="5E43A4BF" w14:textId="77777777" w:rsidR="00135B3D" w:rsidRDefault="00135B3D" w:rsidP="00135B3D">
      <w:pPr>
        <w:pStyle w:val="ListDash"/>
        <w:numPr>
          <w:ilvl w:val="0"/>
          <w:numId w:val="0"/>
        </w:numPr>
      </w:pPr>
      <w:r>
        <w:t xml:space="preserve">In base buildings, on the other hand, electricity’s share of total energy consumption was, on average, around 83 per cent in 2009, with natural gas around 16 per cent </w:t>
      </w:r>
      <w:r w:rsidR="00815B66">
        <w:t>and</w:t>
      </w:r>
      <w:r>
        <w:t xml:space="preserve"> minor use of diesel and LPG</w:t>
      </w:r>
      <w:r w:rsidR="00CB3EC7">
        <w:t xml:space="preserve">. </w:t>
      </w:r>
      <w:r>
        <w:t>These fuel mix shares appear to have remained broadly constant over the 1999 to 2012 period.</w:t>
      </w:r>
    </w:p>
    <w:p w14:paraId="64142C65" w14:textId="77777777" w:rsidR="00135B3D" w:rsidRDefault="00135B3D" w:rsidP="00A90AF4">
      <w:pPr>
        <w:pStyle w:val="Heading3"/>
      </w:pPr>
      <w:bookmarkStart w:id="63" w:name="_Toc415660836"/>
      <w:r>
        <w:t>Energy end use in office buildings</w:t>
      </w:r>
      <w:bookmarkEnd w:id="63"/>
    </w:p>
    <w:p w14:paraId="74F805F1" w14:textId="77777777" w:rsidR="001556F1" w:rsidRDefault="001556F1" w:rsidP="00A90AF4">
      <w:pPr>
        <w:pStyle w:val="Heading4"/>
      </w:pPr>
      <w:r>
        <w:t>Base buildings</w:t>
      </w:r>
    </w:p>
    <w:p w14:paraId="6A08D3ED" w14:textId="77777777" w:rsidR="00CF256C" w:rsidRDefault="001556F1" w:rsidP="007444A0">
      <w:pPr>
        <w:pStyle w:val="ListDash"/>
        <w:numPr>
          <w:ilvl w:val="0"/>
          <w:numId w:val="0"/>
        </w:numPr>
      </w:pPr>
      <w:r>
        <w:t xml:space="preserve">The average electricity end-use shares for base buildings over all periods captured in the </w:t>
      </w:r>
      <w:proofErr w:type="spellStart"/>
      <w:proofErr w:type="gramStart"/>
      <w:r>
        <w:t>pitt&amp;</w:t>
      </w:r>
      <w:proofErr w:type="gramEnd"/>
      <w:r>
        <w:t>sherry</w:t>
      </w:r>
      <w:proofErr w:type="spellEnd"/>
      <w:r>
        <w:t xml:space="preserve"> data set </w:t>
      </w:r>
      <w:r w:rsidR="00815B66">
        <w:t>are</w:t>
      </w:r>
      <w:r>
        <w:t xml:space="preserve"> shown in </w:t>
      </w:r>
      <w:r w:rsidR="00492194">
        <w:fldChar w:fldCharType="begin"/>
      </w:r>
      <w:r>
        <w:instrText xml:space="preserve"> REF _Ref406768704 \h </w:instrText>
      </w:r>
      <w:r w:rsidR="00492194">
        <w:fldChar w:fldCharType="separate"/>
      </w:r>
      <w:r w:rsidR="006A273E">
        <w:t xml:space="preserve">Figure </w:t>
      </w:r>
      <w:r w:rsidR="006A273E">
        <w:rPr>
          <w:noProof/>
        </w:rPr>
        <w:t>11</w:t>
      </w:r>
      <w:r w:rsidR="00492194">
        <w:fldChar w:fldCharType="end"/>
      </w:r>
      <w:r w:rsidR="00CB3EC7">
        <w:t xml:space="preserve">. </w:t>
      </w:r>
      <w:r w:rsidR="007107D8">
        <w:t>H</w:t>
      </w:r>
      <w:r w:rsidR="007107D8" w:rsidRPr="007107D8">
        <w:t xml:space="preserve">eating, ventilation and air conditioning </w:t>
      </w:r>
      <w:r w:rsidR="007107D8">
        <w:t>(</w:t>
      </w:r>
      <w:r>
        <w:t>HVAC</w:t>
      </w:r>
      <w:r w:rsidR="007107D8">
        <w:t>)</w:t>
      </w:r>
      <w:r>
        <w:t xml:space="preserve"> dominates total electricity use (67 per cent), followed by lighting (15 per cent) and total equipment (11 per cent).</w:t>
      </w:r>
    </w:p>
    <w:p w14:paraId="6FB72228" w14:textId="77777777" w:rsidR="006D4AC7" w:rsidRDefault="006D4AC7">
      <w:pPr>
        <w:pStyle w:val="Caption"/>
      </w:pPr>
      <w:bookmarkStart w:id="64" w:name="_Toc415660950"/>
      <w:r>
        <w:lastRenderedPageBreak/>
        <w:t xml:space="preserve">Figure </w:t>
      </w:r>
      <w:r w:rsidR="00492194">
        <w:fldChar w:fldCharType="begin"/>
      </w:r>
      <w:r w:rsidR="0044208C">
        <w:instrText xml:space="preserve"> SEQ Figure \* ARABIC </w:instrText>
      </w:r>
      <w:r w:rsidR="00492194">
        <w:fldChar w:fldCharType="separate"/>
      </w:r>
      <w:r w:rsidR="006A273E">
        <w:rPr>
          <w:noProof/>
        </w:rPr>
        <w:t>5</w:t>
      </w:r>
      <w:r w:rsidR="00492194">
        <w:rPr>
          <w:noProof/>
        </w:rPr>
        <w:fldChar w:fldCharType="end"/>
      </w:r>
      <w:r w:rsidRPr="004E0C91">
        <w:rPr>
          <w:b/>
          <w:color w:val="000080"/>
        </w:rPr>
        <w:tab/>
      </w:r>
      <w:r w:rsidR="001556F1">
        <w:rPr>
          <w:rStyle w:val="CaptionLabel"/>
        </w:rPr>
        <w:t>Electricity end-use shares, base buildings, 1999-2012</w:t>
      </w:r>
      <w:bookmarkEnd w:id="64"/>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6D4AC7" w14:paraId="0981EEAC" w14:textId="77777777">
        <w:trPr>
          <w:cantSplit/>
        </w:trPr>
        <w:tc>
          <w:tcPr>
            <w:tcW w:w="5000" w:type="pct"/>
          </w:tcPr>
          <w:p w14:paraId="5FA64A6C" w14:textId="77777777" w:rsidR="006D4AC7" w:rsidRDefault="006D4AC7" w:rsidP="0032582C">
            <w:pPr>
              <w:pStyle w:val="SmallDeltasRightAligned"/>
              <w:keepNext/>
            </w:pPr>
            <w:r>
              <w:rPr>
                <w:noProof/>
                <w:lang w:eastAsia="en-AU"/>
              </w:rPr>
              <w:drawing>
                <wp:inline distT="0" distB="0" distL="0" distR="0" wp14:anchorId="6DB06356" wp14:editId="08BBB114">
                  <wp:extent cx="481585" cy="234696"/>
                  <wp:effectExtent l="0" t="0" r="0" b="0"/>
                  <wp:docPr id="57" name="Picture 57"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6D4AC7" w14:paraId="26C4008C" w14:textId="77777777">
        <w:trPr>
          <w:cantSplit/>
        </w:trPr>
        <w:tc>
          <w:tcPr>
            <w:tcW w:w="5000" w:type="pct"/>
          </w:tcPr>
          <w:p w14:paraId="58AE035E" w14:textId="77777777" w:rsidR="006D4AC7" w:rsidRDefault="001556F1" w:rsidP="0032582C">
            <w:pPr>
              <w:pStyle w:val="Figure"/>
            </w:pPr>
            <w:r w:rsidRPr="001556F1">
              <w:rPr>
                <w:noProof/>
                <w:lang w:eastAsia="en-AU"/>
              </w:rPr>
              <w:drawing>
                <wp:inline distT="0" distB="0" distL="0" distR="0" wp14:anchorId="01505337" wp14:editId="58047911">
                  <wp:extent cx="4572000" cy="2743200"/>
                  <wp:effectExtent l="0" t="0" r="0" b="0"/>
                  <wp:docPr id="59" name="Picture 59" descr="Electricity end-use shares, base buildings, 1999-2012" title="Electricity end-use shares, base buildings, 1999-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bl>
    <w:p w14:paraId="4855B4B4" w14:textId="77777777" w:rsidR="006D4AC7" w:rsidRPr="00B50A1B" w:rsidRDefault="000C57E9" w:rsidP="0032582C">
      <w:pPr>
        <w:pStyle w:val="Source"/>
        <w:rPr>
          <w:i/>
        </w:rPr>
      </w:pPr>
      <w:r>
        <w:t>S</w:t>
      </w:r>
      <w:r w:rsidRPr="00B50A1B">
        <w:t>ource:</w:t>
      </w:r>
      <w:r w:rsidRPr="00954EED">
        <w:t xml:space="preserve"> </w:t>
      </w:r>
      <w:r>
        <w:t xml:space="preserve">Figure 5.9, p.44, </w:t>
      </w:r>
      <w:proofErr w:type="spellStart"/>
      <w:r>
        <w:t>pitt&amp;sherry</w:t>
      </w:r>
      <w:proofErr w:type="spellEnd"/>
      <w:r>
        <w:t xml:space="preserve"> (2012)</w:t>
      </w:r>
    </w:p>
    <w:p w14:paraId="1B023FED" w14:textId="77777777" w:rsidR="001556F1" w:rsidRDefault="00AB713E" w:rsidP="001556F1">
      <w:pPr>
        <w:pStyle w:val="ListDash"/>
        <w:numPr>
          <w:ilvl w:val="0"/>
          <w:numId w:val="0"/>
        </w:numPr>
      </w:pPr>
      <w:r>
        <w:t xml:space="preserve">Space heating is the dominant end use of natural gas in office base buildings, with an average end-use share of 49 per cent (see </w:t>
      </w:r>
      <w:r w:rsidR="00492194">
        <w:fldChar w:fldCharType="begin"/>
      </w:r>
      <w:r>
        <w:instrText xml:space="preserve"> REF _Ref409539706 \h </w:instrText>
      </w:r>
      <w:r w:rsidR="00492194">
        <w:fldChar w:fldCharType="separate"/>
      </w:r>
      <w:r w:rsidR="006A273E">
        <w:t xml:space="preserve">Figure </w:t>
      </w:r>
      <w:r w:rsidR="006A273E">
        <w:rPr>
          <w:noProof/>
        </w:rPr>
        <w:t>6</w:t>
      </w:r>
      <w:r w:rsidR="00492194">
        <w:fldChar w:fldCharType="end"/>
      </w:r>
      <w:r>
        <w:t>)</w:t>
      </w:r>
      <w:r w:rsidR="00CB3EC7">
        <w:t xml:space="preserve">. </w:t>
      </w:r>
      <w:r w:rsidRPr="00AB713E">
        <w:t>Domestic hot water accounts for around 8</w:t>
      </w:r>
      <w:r>
        <w:t xml:space="preserve"> per cent</w:t>
      </w:r>
      <w:r w:rsidRPr="00AB713E">
        <w:t xml:space="preserve"> of gas use, while a significant residual of ‘other gas use’ is not attributed to particular end uses in the data available to </w:t>
      </w:r>
      <w:proofErr w:type="spellStart"/>
      <w:r>
        <w:t>pitt&amp;sherry</w:t>
      </w:r>
      <w:proofErr w:type="spellEnd"/>
      <w:r w:rsidRPr="00AB713E">
        <w:t>.</w:t>
      </w:r>
    </w:p>
    <w:p w14:paraId="405B151B" w14:textId="77777777" w:rsidR="001556F1" w:rsidRDefault="001556F1" w:rsidP="001556F1">
      <w:pPr>
        <w:pStyle w:val="Caption"/>
      </w:pPr>
      <w:bookmarkStart w:id="65" w:name="_Ref409539706"/>
      <w:bookmarkStart w:id="66" w:name="_Toc415660951"/>
      <w:r>
        <w:t xml:space="preserve">Figure </w:t>
      </w:r>
      <w:r w:rsidR="00492194">
        <w:fldChar w:fldCharType="begin"/>
      </w:r>
      <w:r w:rsidR="0044208C">
        <w:instrText xml:space="preserve"> SEQ Figure \* ARABIC </w:instrText>
      </w:r>
      <w:r w:rsidR="00492194">
        <w:fldChar w:fldCharType="separate"/>
      </w:r>
      <w:r w:rsidR="006A273E">
        <w:rPr>
          <w:noProof/>
        </w:rPr>
        <w:t>6</w:t>
      </w:r>
      <w:r w:rsidR="00492194">
        <w:rPr>
          <w:noProof/>
        </w:rPr>
        <w:fldChar w:fldCharType="end"/>
      </w:r>
      <w:bookmarkEnd w:id="65"/>
      <w:r w:rsidRPr="004E0C91">
        <w:rPr>
          <w:b/>
          <w:color w:val="000080"/>
        </w:rPr>
        <w:tab/>
      </w:r>
      <w:r>
        <w:rPr>
          <w:rStyle w:val="CaptionLabel"/>
        </w:rPr>
        <w:t>Gas end-use shares, base buildings, 1999-2012</w:t>
      </w:r>
      <w:bookmarkEnd w:id="66"/>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1556F1" w14:paraId="6093BF46" w14:textId="77777777">
        <w:trPr>
          <w:cantSplit/>
        </w:trPr>
        <w:tc>
          <w:tcPr>
            <w:tcW w:w="5000" w:type="pct"/>
          </w:tcPr>
          <w:p w14:paraId="01457485" w14:textId="77777777" w:rsidR="001556F1" w:rsidRDefault="001556F1" w:rsidP="0032582C">
            <w:pPr>
              <w:pStyle w:val="SmallDeltasRightAligned"/>
              <w:keepNext/>
            </w:pPr>
            <w:r>
              <w:rPr>
                <w:noProof/>
                <w:lang w:eastAsia="en-AU"/>
              </w:rPr>
              <w:drawing>
                <wp:inline distT="0" distB="0" distL="0" distR="0" wp14:anchorId="5128630C" wp14:editId="40E966F8">
                  <wp:extent cx="481585" cy="234696"/>
                  <wp:effectExtent l="0" t="0" r="0" b="0"/>
                  <wp:docPr id="61" name="Picture 61"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1556F1" w14:paraId="5268C73C" w14:textId="77777777">
        <w:trPr>
          <w:cantSplit/>
        </w:trPr>
        <w:tc>
          <w:tcPr>
            <w:tcW w:w="5000" w:type="pct"/>
          </w:tcPr>
          <w:p w14:paraId="1F1DB9AC" w14:textId="77777777" w:rsidR="001556F1" w:rsidRDefault="00E446C6" w:rsidP="0032582C">
            <w:pPr>
              <w:pStyle w:val="Figure"/>
            </w:pPr>
            <w:r w:rsidRPr="00E446C6">
              <w:rPr>
                <w:noProof/>
                <w:lang w:eastAsia="en-AU"/>
              </w:rPr>
              <w:drawing>
                <wp:inline distT="0" distB="0" distL="0" distR="0" wp14:anchorId="013AEACC" wp14:editId="2BF5AD48">
                  <wp:extent cx="4572000" cy="2743200"/>
                  <wp:effectExtent l="0" t="0" r="0" b="0"/>
                  <wp:docPr id="63" name="Picture 63" descr="Gas end-use shares, base buildings, 1999-2012" title="Gas end-use shares, base buildings, 1999-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bl>
    <w:p w14:paraId="18B03B24" w14:textId="77777777" w:rsidR="001556F1" w:rsidRPr="00B50A1B" w:rsidRDefault="000C57E9" w:rsidP="001556F1">
      <w:pPr>
        <w:pStyle w:val="Source"/>
        <w:rPr>
          <w:i/>
        </w:rPr>
      </w:pPr>
      <w:r>
        <w:t>S</w:t>
      </w:r>
      <w:r w:rsidRPr="00B50A1B">
        <w:t>ource:</w:t>
      </w:r>
      <w:r w:rsidRPr="00954EED">
        <w:t xml:space="preserve"> </w:t>
      </w:r>
      <w:r>
        <w:t xml:space="preserve">Figure 5.10, p.44, </w:t>
      </w:r>
      <w:proofErr w:type="spellStart"/>
      <w:r>
        <w:t>pitt&amp;sherry</w:t>
      </w:r>
      <w:proofErr w:type="spellEnd"/>
      <w:r>
        <w:t xml:space="preserve"> (2012)</w:t>
      </w:r>
    </w:p>
    <w:p w14:paraId="3BD98E99" w14:textId="77777777" w:rsidR="001556F1" w:rsidRDefault="001556F1" w:rsidP="00A90AF4">
      <w:pPr>
        <w:pStyle w:val="Heading4"/>
      </w:pPr>
      <w:r>
        <w:t>Tenancies</w:t>
      </w:r>
    </w:p>
    <w:p w14:paraId="2440581A" w14:textId="77777777" w:rsidR="00AB713E" w:rsidRDefault="001556F1" w:rsidP="001556F1">
      <w:pPr>
        <w:pStyle w:val="ListDash"/>
        <w:numPr>
          <w:ilvl w:val="0"/>
          <w:numId w:val="0"/>
        </w:numPr>
      </w:pPr>
      <w:r>
        <w:t xml:space="preserve">The average electricity end-use shares for office tenancies over all periods captured in the </w:t>
      </w:r>
      <w:proofErr w:type="spellStart"/>
      <w:proofErr w:type="gramStart"/>
      <w:r>
        <w:t>pitt&amp;</w:t>
      </w:r>
      <w:proofErr w:type="gramEnd"/>
      <w:r>
        <w:t>sherry</w:t>
      </w:r>
      <w:proofErr w:type="spellEnd"/>
      <w:r>
        <w:t xml:space="preserve"> data set is shown in </w:t>
      </w:r>
      <w:r w:rsidR="00492194">
        <w:fldChar w:fldCharType="begin"/>
      </w:r>
      <w:r>
        <w:instrText xml:space="preserve"> REF _Ref409539422 \h </w:instrText>
      </w:r>
      <w:r w:rsidR="00492194">
        <w:fldChar w:fldCharType="separate"/>
      </w:r>
      <w:r w:rsidR="006A273E">
        <w:t xml:space="preserve">Figure </w:t>
      </w:r>
      <w:r w:rsidR="006A273E">
        <w:rPr>
          <w:noProof/>
        </w:rPr>
        <w:t>7</w:t>
      </w:r>
      <w:r w:rsidR="00492194">
        <w:fldChar w:fldCharType="end"/>
      </w:r>
      <w:r w:rsidR="00CB3EC7">
        <w:t xml:space="preserve">. </w:t>
      </w:r>
      <w:r>
        <w:t>(As noted previously, electricity accounts for nearly 100 per cent of office tenancy energy use.)</w:t>
      </w:r>
    </w:p>
    <w:p w14:paraId="5380B316" w14:textId="77777777" w:rsidR="001556F1" w:rsidRDefault="00AB713E" w:rsidP="007444A0">
      <w:pPr>
        <w:pStyle w:val="ListDash"/>
        <w:numPr>
          <w:ilvl w:val="0"/>
          <w:numId w:val="0"/>
        </w:numPr>
      </w:pPr>
      <w:r w:rsidRPr="00AB713E">
        <w:t>Lighting and office equipment dominate the end-use shares, accounting for 37</w:t>
      </w:r>
      <w:r>
        <w:t xml:space="preserve"> per cent</w:t>
      </w:r>
      <w:r w:rsidRPr="00AB713E">
        <w:t xml:space="preserve"> and 31</w:t>
      </w:r>
      <w:r>
        <w:t xml:space="preserve"> per cent</w:t>
      </w:r>
      <w:r w:rsidRPr="00AB713E">
        <w:t xml:space="preserve"> respectively on average</w:t>
      </w:r>
      <w:r w:rsidR="00CB3EC7" w:rsidRPr="00AB713E">
        <w:t>.</w:t>
      </w:r>
      <w:r w:rsidR="00CB3EC7">
        <w:t xml:space="preserve"> </w:t>
      </w:r>
      <w:r w:rsidRPr="00AB713E">
        <w:t xml:space="preserve">Supplementary HVAC accounts for a </w:t>
      </w:r>
      <w:r w:rsidRPr="00AB713E">
        <w:lastRenderedPageBreak/>
        <w:t>significant 18</w:t>
      </w:r>
      <w:r>
        <w:t xml:space="preserve"> per cent</w:t>
      </w:r>
      <w:r w:rsidRPr="00AB713E">
        <w:t xml:space="preserve"> of energy use on average, noting that this is addition to HVAC services provided by the base building plant</w:t>
      </w:r>
      <w:r w:rsidR="00CB3EC7" w:rsidRPr="00AB713E">
        <w:t>.</w:t>
      </w:r>
      <w:r w:rsidR="00CB3EC7">
        <w:t xml:space="preserve"> </w:t>
      </w:r>
      <w:r w:rsidRPr="00AB713E">
        <w:t>Domestic hot water makes up 3</w:t>
      </w:r>
      <w:r>
        <w:t xml:space="preserve"> per cent</w:t>
      </w:r>
      <w:r w:rsidRPr="00AB713E">
        <w:t xml:space="preserve"> of the total office tenancy energy use on average.</w:t>
      </w:r>
    </w:p>
    <w:p w14:paraId="0B634470" w14:textId="77777777" w:rsidR="001556F1" w:rsidRDefault="001556F1" w:rsidP="001556F1">
      <w:pPr>
        <w:pStyle w:val="Caption"/>
      </w:pPr>
      <w:bookmarkStart w:id="67" w:name="_Ref409539422"/>
      <w:bookmarkStart w:id="68" w:name="_Toc415660952"/>
      <w:r>
        <w:t xml:space="preserve">Figure </w:t>
      </w:r>
      <w:r w:rsidR="00492194">
        <w:fldChar w:fldCharType="begin"/>
      </w:r>
      <w:r w:rsidR="0044208C">
        <w:instrText xml:space="preserve"> SEQ Figure \* ARABIC </w:instrText>
      </w:r>
      <w:r w:rsidR="00492194">
        <w:fldChar w:fldCharType="separate"/>
      </w:r>
      <w:r w:rsidR="006A273E">
        <w:rPr>
          <w:noProof/>
        </w:rPr>
        <w:t>7</w:t>
      </w:r>
      <w:r w:rsidR="00492194">
        <w:rPr>
          <w:noProof/>
        </w:rPr>
        <w:fldChar w:fldCharType="end"/>
      </w:r>
      <w:bookmarkEnd w:id="67"/>
      <w:r w:rsidRPr="004E0C91">
        <w:rPr>
          <w:b/>
          <w:color w:val="000080"/>
        </w:rPr>
        <w:tab/>
      </w:r>
      <w:r>
        <w:rPr>
          <w:rStyle w:val="CaptionLabel"/>
        </w:rPr>
        <w:t>Electricity end-use shares, office tenancies, 1999-2012</w:t>
      </w:r>
      <w:bookmarkEnd w:id="68"/>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1556F1" w14:paraId="4B5B4CAC" w14:textId="77777777">
        <w:trPr>
          <w:cantSplit/>
        </w:trPr>
        <w:tc>
          <w:tcPr>
            <w:tcW w:w="5000" w:type="pct"/>
          </w:tcPr>
          <w:p w14:paraId="7A45304F" w14:textId="77777777" w:rsidR="001556F1" w:rsidRDefault="001556F1" w:rsidP="0032582C">
            <w:pPr>
              <w:pStyle w:val="SmallDeltasRightAligned"/>
              <w:keepNext/>
            </w:pPr>
            <w:r>
              <w:rPr>
                <w:noProof/>
                <w:lang w:eastAsia="en-AU"/>
              </w:rPr>
              <w:drawing>
                <wp:inline distT="0" distB="0" distL="0" distR="0" wp14:anchorId="70906902" wp14:editId="4CACF4DB">
                  <wp:extent cx="481585" cy="234696"/>
                  <wp:effectExtent l="0" t="0" r="0" b="0"/>
                  <wp:docPr id="58" name="Picture 58"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1556F1" w14:paraId="785E9CD3" w14:textId="77777777">
        <w:trPr>
          <w:cantSplit/>
        </w:trPr>
        <w:tc>
          <w:tcPr>
            <w:tcW w:w="5000" w:type="pct"/>
          </w:tcPr>
          <w:p w14:paraId="089933A3" w14:textId="77777777" w:rsidR="001556F1" w:rsidRDefault="001556F1" w:rsidP="0032582C">
            <w:pPr>
              <w:pStyle w:val="Figure"/>
            </w:pPr>
            <w:r w:rsidRPr="001556F1">
              <w:rPr>
                <w:noProof/>
                <w:lang w:eastAsia="en-AU"/>
              </w:rPr>
              <w:drawing>
                <wp:inline distT="0" distB="0" distL="0" distR="0" wp14:anchorId="3ED861C3" wp14:editId="67491782">
                  <wp:extent cx="4572000" cy="2743200"/>
                  <wp:effectExtent l="0" t="0" r="0" b="0"/>
                  <wp:docPr id="60" name="Picture 60" descr="Electricity end-use shares, office tenancies, 1999-2012" title="Electricity end-use shares, office tenancies, 1999-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bl>
    <w:p w14:paraId="60B335B9" w14:textId="77777777" w:rsidR="001556F1" w:rsidRPr="00B50A1B" w:rsidRDefault="00F65A6F" w:rsidP="001556F1">
      <w:pPr>
        <w:pStyle w:val="Source"/>
        <w:rPr>
          <w:i/>
        </w:rPr>
      </w:pPr>
      <w:r>
        <w:t>S</w:t>
      </w:r>
      <w:r w:rsidRPr="00B50A1B">
        <w:t>ource:</w:t>
      </w:r>
      <w:r w:rsidRPr="00954EED">
        <w:t xml:space="preserve"> </w:t>
      </w:r>
      <w:r>
        <w:t xml:space="preserve">Figure 5.8, p.43, </w:t>
      </w:r>
      <w:proofErr w:type="spellStart"/>
      <w:r>
        <w:t>pitt&amp;sherry</w:t>
      </w:r>
      <w:proofErr w:type="spellEnd"/>
      <w:r>
        <w:t xml:space="preserve"> (2012)</w:t>
      </w:r>
    </w:p>
    <w:p w14:paraId="5620E9C6" w14:textId="77777777" w:rsidR="007C12E4" w:rsidRDefault="007C12E4" w:rsidP="007C12E4">
      <w:pPr>
        <w:pStyle w:val="Heading2"/>
      </w:pPr>
      <w:bookmarkStart w:id="69" w:name="_Toc415660837"/>
      <w:r>
        <w:t>Barriers and drivers of energy efficiency</w:t>
      </w:r>
      <w:bookmarkEnd w:id="69"/>
    </w:p>
    <w:p w14:paraId="47B53C87" w14:textId="77777777" w:rsidR="007C12E4" w:rsidRDefault="007C12E4" w:rsidP="007C12E4">
      <w:pPr>
        <w:pStyle w:val="Heading3"/>
      </w:pPr>
      <w:bookmarkStart w:id="70" w:name="_Toc415660838"/>
      <w:r>
        <w:t>Market failures</w:t>
      </w:r>
      <w:r w:rsidR="003E30A0">
        <w:t xml:space="preserve"> and barriers</w:t>
      </w:r>
      <w:bookmarkEnd w:id="70"/>
    </w:p>
    <w:p w14:paraId="0EDFDA97" w14:textId="77777777" w:rsidR="00596D3F" w:rsidRDefault="00596D3F" w:rsidP="00596D3F">
      <w:pPr>
        <w:pStyle w:val="BodyText"/>
      </w:pPr>
      <w:r>
        <w:t>In general, markets will provide price signals and other information to guide private decision-making that is reasonably consistent with an efficient allocation of resources</w:t>
      </w:r>
      <w:r w:rsidR="00CB3EC7">
        <w:t xml:space="preserve">. </w:t>
      </w:r>
      <w:r>
        <w:t>In a market-oriented economy such as Australia’s, government intervention through regulation and other means is usually predicated on the existence of market failures that prevent optimal outcomes from being achieved</w:t>
      </w:r>
      <w:r w:rsidR="001C0F1C">
        <w:t>.</w:t>
      </w:r>
    </w:p>
    <w:p w14:paraId="3CD19AA3" w14:textId="77777777" w:rsidR="00596D3F" w:rsidRDefault="00596D3F" w:rsidP="00596D3F">
      <w:pPr>
        <w:pStyle w:val="BodyText"/>
      </w:pPr>
      <w:r>
        <w:t>The intent of the CBD program and related government policy is therefore to address the market failures that prevent</w:t>
      </w:r>
      <w:r w:rsidR="00FF7F6B">
        <w:t>ed</w:t>
      </w:r>
      <w:r>
        <w:t xml:space="preserve"> the efficient uptake of energy efficiency</w:t>
      </w:r>
      <w:r w:rsidR="00FF7F6B">
        <w:t xml:space="preserve"> measures</w:t>
      </w:r>
      <w:r w:rsidR="00CB3EC7">
        <w:t xml:space="preserve">. </w:t>
      </w:r>
      <w:r>
        <w:t>Market failures exist when</w:t>
      </w:r>
      <w:r w:rsidR="001C0F1C">
        <w:t>,</w:t>
      </w:r>
      <w:r>
        <w:t xml:space="preserve"> in the absence of government regulation, the unfettered operation of markets does not lead to an efficient allocation/use of resources in the economy.</w:t>
      </w:r>
    </w:p>
    <w:p w14:paraId="50263981" w14:textId="77777777" w:rsidR="00596D3F" w:rsidRDefault="00596D3F" w:rsidP="00596D3F">
      <w:pPr>
        <w:pStyle w:val="BodyText"/>
      </w:pPr>
      <w:r>
        <w:t>In the specific case of energy consumption in energy buildings, a number of market failures result in lower adoption of energy efficient technology than would be considered ‘efficient’ from an economic perspective</w:t>
      </w:r>
      <w:r w:rsidR="00CB3EC7">
        <w:t xml:space="preserve">. </w:t>
      </w:r>
      <w:r>
        <w:t>The</w:t>
      </w:r>
      <w:r w:rsidR="00FF7F6B">
        <w:t>re are five</w:t>
      </w:r>
      <w:r>
        <w:t xml:space="preserve"> main market failures</w:t>
      </w:r>
      <w:r w:rsidR="00FF7F6B">
        <w:t xml:space="preserve"> in the commercial building sector, each of these failures</w:t>
      </w:r>
      <w:r>
        <w:t xml:space="preserve"> </w:t>
      </w:r>
      <w:r w:rsidR="00A527C6">
        <w:t xml:space="preserve">is </w:t>
      </w:r>
      <w:r>
        <w:t>discussed in turn</w:t>
      </w:r>
      <w:r w:rsidR="00FF7F6B">
        <w:t xml:space="preserve"> below</w:t>
      </w:r>
      <w:r>
        <w:t>.</w:t>
      </w:r>
    </w:p>
    <w:p w14:paraId="6578DEFB" w14:textId="77777777" w:rsidR="00BB0C3F" w:rsidRDefault="00BB0C3F" w:rsidP="00BB0C3F">
      <w:pPr>
        <w:pStyle w:val="Heading4"/>
      </w:pPr>
      <w:r>
        <w:t>Split incentives</w:t>
      </w:r>
    </w:p>
    <w:p w14:paraId="690F2A35" w14:textId="77777777" w:rsidR="00596D3F" w:rsidRDefault="00596D3F" w:rsidP="00596D3F">
      <w:pPr>
        <w:pStyle w:val="BodyText"/>
      </w:pPr>
      <w:r>
        <w:t>In the case of the environmental sustainability of rental office properties, one potential market failure lies in the form of the ‘split incentive’</w:t>
      </w:r>
      <w:r w:rsidR="00CB3EC7">
        <w:t xml:space="preserve">. </w:t>
      </w:r>
      <w:r>
        <w:t xml:space="preserve">While landlords are responsible for supplying and maintaining </w:t>
      </w:r>
      <w:r w:rsidR="00A527C6">
        <w:t xml:space="preserve">building </w:t>
      </w:r>
      <w:r>
        <w:t>features</w:t>
      </w:r>
      <w:r w:rsidR="00A527C6">
        <w:t xml:space="preserve"> and management procedures</w:t>
      </w:r>
      <w:r>
        <w:t xml:space="preserve"> which impact on the energy and water efficiency of properties, tenants </w:t>
      </w:r>
      <w:r>
        <w:lastRenderedPageBreak/>
        <w:t xml:space="preserve">are liable for </w:t>
      </w:r>
      <w:r w:rsidR="00A527C6">
        <w:t xml:space="preserve">the </w:t>
      </w:r>
      <w:r>
        <w:t xml:space="preserve">day-to-day running costs including </w:t>
      </w:r>
      <w:r w:rsidR="00A527C6">
        <w:t xml:space="preserve">their consumption </w:t>
      </w:r>
      <w:r>
        <w:t>of gas and electricity.</w:t>
      </w:r>
    </w:p>
    <w:p w14:paraId="05D32A18" w14:textId="77777777" w:rsidR="00596D3F" w:rsidRDefault="00596D3F" w:rsidP="00596D3F">
      <w:pPr>
        <w:pStyle w:val="BodyText"/>
      </w:pPr>
      <w:r>
        <w:t>As landlords do not receive the direct savings benefits arising from retrofitting energy efficiency measures, they are</w:t>
      </w:r>
      <w:r w:rsidR="00A527C6">
        <w:t xml:space="preserve"> less</w:t>
      </w:r>
      <w:r>
        <w:t xml:space="preserve"> likely to undertake improvements to</w:t>
      </w:r>
      <w:r w:rsidR="00A527C6">
        <w:t xml:space="preserve"> </w:t>
      </w:r>
      <w:r w:rsidR="00877B55">
        <w:t xml:space="preserve">the </w:t>
      </w:r>
      <w:r w:rsidR="00A527C6">
        <w:t>energy efficiency of the building, such as upgrades to</w:t>
      </w:r>
      <w:r>
        <w:t xml:space="preserve"> HVAC </w:t>
      </w:r>
      <w:r w:rsidR="00BB0C3F">
        <w:t xml:space="preserve">and control </w:t>
      </w:r>
      <w:r>
        <w:t>systems.</w:t>
      </w:r>
    </w:p>
    <w:p w14:paraId="11029158" w14:textId="77777777" w:rsidR="000A50BF" w:rsidRDefault="00BB0C3F" w:rsidP="000A50BF">
      <w:pPr>
        <w:pStyle w:val="BodyText"/>
      </w:pPr>
      <w:r w:rsidRPr="00BB0C3F">
        <w:t xml:space="preserve">On the other hand, tenants face a different set of </w:t>
      </w:r>
      <w:r w:rsidR="00A527C6">
        <w:t>challenges</w:t>
      </w:r>
      <w:r w:rsidR="00A527C6" w:rsidRPr="00BB0C3F">
        <w:t xml:space="preserve"> </w:t>
      </w:r>
      <w:r w:rsidRPr="00BB0C3F">
        <w:t>in implementing energy saving measures</w:t>
      </w:r>
      <w:r w:rsidR="00CB3EC7" w:rsidRPr="00BB0C3F">
        <w:t>.</w:t>
      </w:r>
      <w:r w:rsidR="00CB3EC7">
        <w:t xml:space="preserve"> </w:t>
      </w:r>
      <w:r w:rsidRPr="00BB0C3F">
        <w:t>These include the length and certainty of tenure in a particular property</w:t>
      </w:r>
      <w:r w:rsidR="00B4303A">
        <w:t>,</w:t>
      </w:r>
      <w:r w:rsidR="000A50BF">
        <w:t xml:space="preserve"> </w:t>
      </w:r>
      <w:r w:rsidRPr="00BB0C3F">
        <w:t xml:space="preserve">as well as the lack of legal rights to change fixtures and fittings to improve energy efficiency in rental </w:t>
      </w:r>
      <w:r>
        <w:t>properties</w:t>
      </w:r>
      <w:r w:rsidR="000A50BF" w:rsidRPr="00BB0C3F">
        <w:t>.</w:t>
      </w:r>
    </w:p>
    <w:p w14:paraId="2A8EA068" w14:textId="77777777" w:rsidR="00596D3F" w:rsidRPr="000A50BF" w:rsidRDefault="00BB7B1D" w:rsidP="000A50BF">
      <w:pPr>
        <w:pStyle w:val="BodyText"/>
        <w:rPr>
          <w:rFonts w:asciiTheme="majorHAnsi" w:hAnsiTheme="majorHAnsi"/>
          <w:b/>
          <w:color w:val="9757A6"/>
          <w:sz w:val="20"/>
          <w:szCs w:val="24"/>
        </w:rPr>
      </w:pPr>
      <w:r w:rsidRPr="000A50BF">
        <w:rPr>
          <w:rFonts w:asciiTheme="majorHAnsi" w:hAnsiTheme="majorHAnsi"/>
          <w:b/>
          <w:color w:val="9757A6"/>
          <w:sz w:val="20"/>
          <w:szCs w:val="24"/>
        </w:rPr>
        <w:t>Inadequate and asymmetric information</w:t>
      </w:r>
    </w:p>
    <w:p w14:paraId="3CAC7B8A" w14:textId="202B2489" w:rsidR="00BB7B1D" w:rsidRDefault="00BB7B1D" w:rsidP="00BB7B1D">
      <w:pPr>
        <w:pStyle w:val="BodyText"/>
      </w:pPr>
      <w:r>
        <w:t xml:space="preserve">Landlords and managers of office buildings may also be reluctant to improve the potential environmental sustainability of their properties if they do not understand </w:t>
      </w:r>
      <w:r w:rsidR="00EB26FB">
        <w:t xml:space="preserve">the </w:t>
      </w:r>
      <w:r>
        <w:t>indirect benefits</w:t>
      </w:r>
      <w:r w:rsidR="00B4303A">
        <w:t>,</w:t>
      </w:r>
      <w:r>
        <w:t xml:space="preserve"> such as improved tenant retention</w:t>
      </w:r>
      <w:r w:rsidR="00CB3EC7">
        <w:t xml:space="preserve">. </w:t>
      </w:r>
      <w:r w:rsidR="00EB26FB">
        <w:t>In addition, t</w:t>
      </w:r>
      <w:r>
        <w:t xml:space="preserve">he lack of readily available information about the energy efficiency of individual properties means that it may be difficult for prospective tenants to make informed decisions </w:t>
      </w:r>
      <w:r w:rsidR="00EB26FB">
        <w:t xml:space="preserve">that take into account </w:t>
      </w:r>
      <w:r>
        <w:t xml:space="preserve">energy efficiency when searching for rental </w:t>
      </w:r>
      <w:r w:rsidR="00EB26FB">
        <w:t>space for their business</w:t>
      </w:r>
      <w:r>
        <w:t>.</w:t>
      </w:r>
    </w:p>
    <w:p w14:paraId="400C3B18" w14:textId="77777777" w:rsidR="00BB7B1D" w:rsidRDefault="00BB7B1D" w:rsidP="00BB7B1D">
      <w:pPr>
        <w:pStyle w:val="BodyText"/>
      </w:pPr>
      <w:r>
        <w:t>Likewise, office building owners contemplating the sale of their properties in the near or medium term may also be reluctant to improve the potential environmental sustainability of their properties if they do not believe they can achieve a higher selling price in the market after they have incurred the cost of undertaking those improvements.</w:t>
      </w:r>
    </w:p>
    <w:p w14:paraId="3043D904" w14:textId="77777777" w:rsidR="00BB7B1D" w:rsidRDefault="00BB7B1D" w:rsidP="00BB7B1D">
      <w:pPr>
        <w:pStyle w:val="BodyText"/>
      </w:pPr>
      <w:r>
        <w:t xml:space="preserve">This problem is exacerbated by </w:t>
      </w:r>
      <w:r w:rsidRPr="00B737B4">
        <w:t xml:space="preserve">asymmetric information in </w:t>
      </w:r>
      <w:r>
        <w:t xml:space="preserve">the </w:t>
      </w:r>
      <w:r w:rsidRPr="00B737B4">
        <w:t>market</w:t>
      </w:r>
      <w:r>
        <w:t xml:space="preserve"> for office spaces, where landlords and sellers generally have more information about the property in question (including its energy efficiency) than tenants and buyers.</w:t>
      </w:r>
    </w:p>
    <w:p w14:paraId="35E94B5D" w14:textId="77777777" w:rsidR="00BB7B1D" w:rsidRDefault="003C215F" w:rsidP="003C215F">
      <w:pPr>
        <w:pStyle w:val="Heading4"/>
      </w:pPr>
      <w:r>
        <w:t>Adverse selection</w:t>
      </w:r>
    </w:p>
    <w:p w14:paraId="51FD119D" w14:textId="79EAB35E" w:rsidR="003C215F" w:rsidRDefault="003C215F" w:rsidP="003C215F">
      <w:pPr>
        <w:pStyle w:val="BodyText"/>
      </w:pPr>
      <w:r w:rsidRPr="003B0775">
        <w:t xml:space="preserve">George </w:t>
      </w:r>
      <w:proofErr w:type="spellStart"/>
      <w:r w:rsidRPr="003B0775">
        <w:t>Akerlof</w:t>
      </w:r>
      <w:proofErr w:type="spellEnd"/>
      <w:r w:rsidRPr="003B0775">
        <w:t xml:space="preserve"> (1970) highlighted the “adverse selection” or “lemons” problem</w:t>
      </w:r>
      <w:r>
        <w:t xml:space="preserve">, using </w:t>
      </w:r>
      <w:r w:rsidRPr="003B0775">
        <w:t>markets for new and used motor vehicles</w:t>
      </w:r>
      <w:r>
        <w:t xml:space="preserve"> to illustrate the analysis.</w:t>
      </w:r>
      <w:r>
        <w:rPr>
          <w:rStyle w:val="FootnoteReference"/>
        </w:rPr>
        <w:footnoteReference w:id="14"/>
      </w:r>
      <w:r>
        <w:t xml:space="preserve"> </w:t>
      </w:r>
      <w:r w:rsidRPr="003B0775">
        <w:t xml:space="preserve">His analytical approach could be applicable to </w:t>
      </w:r>
      <w:r>
        <w:t>the market for office space</w:t>
      </w:r>
      <w:r w:rsidRPr="003B0775">
        <w:t>.</w:t>
      </w:r>
    </w:p>
    <w:p w14:paraId="7499A446" w14:textId="77777777" w:rsidR="003C215F" w:rsidRDefault="003C215F" w:rsidP="003C215F">
      <w:pPr>
        <w:pStyle w:val="BodyText"/>
      </w:pPr>
      <w:r w:rsidRPr="003B0775">
        <w:t>In the absence of action to correct the information asymmetry</w:t>
      </w:r>
      <w:r>
        <w:t xml:space="preserve"> identified </w:t>
      </w:r>
      <w:r w:rsidR="00EB26FB">
        <w:t>above</w:t>
      </w:r>
      <w:r w:rsidRPr="003B0775">
        <w:t xml:space="preserve">, </w:t>
      </w:r>
      <w:r>
        <w:t xml:space="preserve">office accommodation </w:t>
      </w:r>
      <w:r w:rsidRPr="003B0775">
        <w:t xml:space="preserve">would tend to sell </w:t>
      </w:r>
      <w:r>
        <w:t xml:space="preserve">or rent </w:t>
      </w:r>
      <w:r w:rsidRPr="003B0775">
        <w:t>a</w:t>
      </w:r>
      <w:r>
        <w:t xml:space="preserve">ccording </w:t>
      </w:r>
      <w:r w:rsidRPr="003B0775">
        <w:t>t</w:t>
      </w:r>
      <w:r>
        <w:t>o attributes other than energy efficiency</w:t>
      </w:r>
      <w:r w:rsidRPr="003B0775">
        <w:t xml:space="preserve">, because buyers </w:t>
      </w:r>
      <w:r>
        <w:t xml:space="preserve">and renters </w:t>
      </w:r>
      <w:r w:rsidRPr="003B0775">
        <w:t xml:space="preserve">lack </w:t>
      </w:r>
      <w:r w:rsidR="00EB26FB">
        <w:t xml:space="preserve">any </w:t>
      </w:r>
      <w:r w:rsidRPr="003B0775">
        <w:t xml:space="preserve">knowledge of the differential value of </w:t>
      </w:r>
      <w:r>
        <w:t xml:space="preserve">energy efficiency </w:t>
      </w:r>
      <w:r w:rsidRPr="003B0775">
        <w:t xml:space="preserve">of various </w:t>
      </w:r>
      <w:r>
        <w:t>properties</w:t>
      </w:r>
      <w:r w:rsidRPr="003B0775">
        <w:t>.</w:t>
      </w:r>
    </w:p>
    <w:p w14:paraId="45401561" w14:textId="77777777" w:rsidR="003C215F" w:rsidRDefault="003C215F" w:rsidP="003C215F">
      <w:pPr>
        <w:pStyle w:val="BodyText"/>
      </w:pPr>
      <w:r>
        <w:t>Consequently</w:t>
      </w:r>
      <w:r w:rsidRPr="003B0775">
        <w:t xml:space="preserve">, </w:t>
      </w:r>
      <w:r>
        <w:t xml:space="preserve">builders, sellers, and investors </w:t>
      </w:r>
      <w:r w:rsidRPr="003B0775">
        <w:t xml:space="preserve">would not be able to fully capture </w:t>
      </w:r>
      <w:r w:rsidR="00EB26FB">
        <w:t xml:space="preserve">the </w:t>
      </w:r>
      <w:r w:rsidRPr="003B0775">
        <w:t xml:space="preserve">benefits of </w:t>
      </w:r>
      <w:r>
        <w:t xml:space="preserve">constructing or acquiring properties </w:t>
      </w:r>
      <w:r w:rsidRPr="003B0775">
        <w:t xml:space="preserve">with better </w:t>
      </w:r>
      <w:r>
        <w:t xml:space="preserve">energy efficiency </w:t>
      </w:r>
      <w:r w:rsidRPr="003B0775">
        <w:t>through higher prices</w:t>
      </w:r>
      <w:r>
        <w:t xml:space="preserve"> or rents</w:t>
      </w:r>
      <w:r w:rsidR="00CB3EC7">
        <w:t xml:space="preserve">. </w:t>
      </w:r>
      <w:r w:rsidRPr="003B0775">
        <w:t xml:space="preserve">This means </w:t>
      </w:r>
      <w:r w:rsidR="00EB26FB">
        <w:t xml:space="preserve">the </w:t>
      </w:r>
      <w:r w:rsidRPr="003B0775">
        <w:t xml:space="preserve">social benefits of </w:t>
      </w:r>
      <w:r>
        <w:t xml:space="preserve">energy efficient </w:t>
      </w:r>
      <w:r w:rsidR="00EB26FB">
        <w:t xml:space="preserve">buildings </w:t>
      </w:r>
      <w:r w:rsidRPr="003B0775">
        <w:t>would exceed private benefits</w:t>
      </w:r>
      <w:r>
        <w:t>, and m</w:t>
      </w:r>
      <w:r w:rsidRPr="003B0775">
        <w:t xml:space="preserve">arkets would undersupply </w:t>
      </w:r>
      <w:r>
        <w:t xml:space="preserve">office properties </w:t>
      </w:r>
      <w:r w:rsidRPr="003B0775">
        <w:t xml:space="preserve">with </w:t>
      </w:r>
      <w:r>
        <w:t>superior energy efficiency.</w:t>
      </w:r>
    </w:p>
    <w:p w14:paraId="4680FF22" w14:textId="77777777" w:rsidR="000A50BF" w:rsidRDefault="000A50BF" w:rsidP="000A50BF">
      <w:pPr>
        <w:pStyle w:val="Heading4"/>
      </w:pPr>
      <w:r>
        <w:lastRenderedPageBreak/>
        <w:t>Capital market imperfections</w:t>
      </w:r>
    </w:p>
    <w:p w14:paraId="5DC88D79" w14:textId="77777777" w:rsidR="000A50BF" w:rsidRDefault="000A50BF" w:rsidP="000A50BF">
      <w:pPr>
        <w:pStyle w:val="BodyText"/>
      </w:pPr>
      <w:r>
        <w:t xml:space="preserve">In addition to the split incentive problem, </w:t>
      </w:r>
      <w:r w:rsidR="003E30A0">
        <w:t xml:space="preserve">landlords and </w:t>
      </w:r>
      <w:r>
        <w:t>t</w:t>
      </w:r>
      <w:r w:rsidRPr="00BB0C3F">
        <w:t>enants may also face capital market imperfections in financing investments in energy saving measures</w:t>
      </w:r>
      <w:r w:rsidR="00CB3EC7" w:rsidRPr="00BB0C3F">
        <w:t>.</w:t>
      </w:r>
      <w:r w:rsidR="00CB3EC7">
        <w:t xml:space="preserve"> </w:t>
      </w:r>
      <w:r>
        <w:t xml:space="preserve">In particular, less well-resourced </w:t>
      </w:r>
      <w:r w:rsidR="003E30A0">
        <w:t>landlords and tenants without a strong financial track record may experience difficulties in accessing loans from the financial markets to undertake energy efficiency investments that have high rates of return.</w:t>
      </w:r>
    </w:p>
    <w:p w14:paraId="71E837CA" w14:textId="77777777" w:rsidR="003C215F" w:rsidRDefault="003C215F" w:rsidP="003C215F">
      <w:pPr>
        <w:pStyle w:val="Heading4"/>
      </w:pPr>
      <w:r>
        <w:t>Market failures associated with climate change</w:t>
      </w:r>
    </w:p>
    <w:p w14:paraId="74B1429B" w14:textId="77777777" w:rsidR="003C215F" w:rsidRDefault="003C215F" w:rsidP="003C215F">
      <w:pPr>
        <w:pStyle w:val="BodyText"/>
      </w:pPr>
      <w:r>
        <w:t>Climate change has been widely cited as an example of market failure – a cause of misallocation of resources or departure from an efficient allocation/use of resources</w:t>
      </w:r>
      <w:r w:rsidR="00CB3EC7">
        <w:t xml:space="preserve">. </w:t>
      </w:r>
      <w:r>
        <w:t xml:space="preserve">Climate change market failure can be depicted as a result of </w:t>
      </w:r>
      <w:r w:rsidR="00EB26FB">
        <w:t xml:space="preserve">failing to take into account </w:t>
      </w:r>
      <w:r>
        <w:t>the external costs of greenhouse gas emissions</w:t>
      </w:r>
      <w:r w:rsidR="00BB4745">
        <w:t>,</w:t>
      </w:r>
      <w:r>
        <w:t xml:space="preserve"> and/or as the result of the pure public good nature of emissions abatement.</w:t>
      </w:r>
    </w:p>
    <w:p w14:paraId="4F5528D2" w14:textId="77777777" w:rsidR="003C215F" w:rsidRDefault="003C215F" w:rsidP="003C215F">
      <w:pPr>
        <w:pStyle w:val="BodyText"/>
      </w:pPr>
      <w:r>
        <w:t>Individuals and firms use part of the natural environment, the atmosphere, to dispose of the greenhouse gases they emit in consumption and production activities</w:t>
      </w:r>
      <w:r w:rsidR="00CB3EC7">
        <w:t xml:space="preserve">. </w:t>
      </w:r>
      <w:r>
        <w:t xml:space="preserve">These emissions impose costs on others through the effects of greenhouse gases on </w:t>
      </w:r>
      <w:r w:rsidR="00EB26FB">
        <w:t xml:space="preserve">the </w:t>
      </w:r>
      <w:r>
        <w:t>climate</w:t>
      </w:r>
      <w:r w:rsidR="00CB3EC7">
        <w:t xml:space="preserve">. </w:t>
      </w:r>
      <w:r>
        <w:t>External costs of greenhouse gas emissions are borne globally</w:t>
      </w:r>
      <w:r w:rsidR="00CB3EC7">
        <w:t xml:space="preserve">. </w:t>
      </w:r>
      <w:r>
        <w:t>This occurs because the effects of emissions do not vary with the location of sources of emissions</w:t>
      </w:r>
      <w:r w:rsidR="00CB3EC7">
        <w:t xml:space="preserve">. </w:t>
      </w:r>
      <w:r>
        <w:t xml:space="preserve">In addition, the scrapping of the carbon tax means that these external costs are </w:t>
      </w:r>
      <w:r w:rsidR="00EB26FB">
        <w:t xml:space="preserve">no longer </w:t>
      </w:r>
      <w:r>
        <w:t>internalised in Australia.</w:t>
      </w:r>
    </w:p>
    <w:p w14:paraId="110BEB84" w14:textId="3BF02212" w:rsidR="003C215F" w:rsidRDefault="003C215F" w:rsidP="003C215F">
      <w:pPr>
        <w:pStyle w:val="BodyText"/>
      </w:pPr>
      <w:r w:rsidRPr="003B0775">
        <w:t>An alternative depiction of climate change market failure is that it derives from the pure public good character of emissions abatemen</w:t>
      </w:r>
      <w:r>
        <w:t>t</w:t>
      </w:r>
      <w:r w:rsidR="00CB3EC7">
        <w:t xml:space="preserve">. </w:t>
      </w:r>
      <w:r w:rsidRPr="003B0775">
        <w:t>Indeed, greenhouse gas emissions abatement is an ex</w:t>
      </w:r>
      <w:r>
        <w:t>ample of a global public good</w:t>
      </w:r>
      <w:r w:rsidR="00CB3EC7">
        <w:t xml:space="preserve">. </w:t>
      </w:r>
      <w:r w:rsidRPr="003B0775">
        <w:t xml:space="preserve">Each person’s enjoyment of the benefits of abatement would not detract from the availability of those benefits to any other person on </w:t>
      </w:r>
      <w:r w:rsidR="00BB4745">
        <w:t>E</w:t>
      </w:r>
      <w:r w:rsidRPr="003B0775">
        <w:t>arth</w:t>
      </w:r>
      <w:r w:rsidR="00CB3EC7" w:rsidRPr="003B0775">
        <w:t>.</w:t>
      </w:r>
      <w:r w:rsidR="00CB3EC7">
        <w:t xml:space="preserve"> </w:t>
      </w:r>
      <w:r w:rsidRPr="003B0775">
        <w:t>Also, it would not be practical to exclude those wh</w:t>
      </w:r>
      <w:r>
        <w:t>o failed to pay for abatement</w:t>
      </w:r>
      <w:r w:rsidR="00CB3EC7">
        <w:t xml:space="preserve">. </w:t>
      </w:r>
      <w:r w:rsidRPr="003B0775">
        <w:t>In such circumstances, free-riding could be pervasive.</w:t>
      </w:r>
    </w:p>
    <w:p w14:paraId="1156D7A9" w14:textId="7686D963" w:rsidR="003C215F" w:rsidRDefault="003C215F" w:rsidP="003C215F">
      <w:pPr>
        <w:pStyle w:val="BodyText"/>
      </w:pPr>
      <w:r w:rsidRPr="003B0775">
        <w:t xml:space="preserve">The consequence of climate change market failure </w:t>
      </w:r>
      <w:r w:rsidR="00BB4745">
        <w:t>is</w:t>
      </w:r>
      <w:r w:rsidR="00BB4745" w:rsidRPr="003B0775">
        <w:t xml:space="preserve"> </w:t>
      </w:r>
      <w:r w:rsidRPr="003B0775">
        <w:t>over-exploitation of the atmosphere</w:t>
      </w:r>
      <w:r w:rsidR="00EB26FB">
        <w:t xml:space="preserve"> as </w:t>
      </w:r>
      <w:r w:rsidR="00877B55">
        <w:t xml:space="preserve">a </w:t>
      </w:r>
      <w:r w:rsidR="00EB26FB">
        <w:t>place to dispose of greenhouse gases</w:t>
      </w:r>
      <w:r w:rsidRPr="003B0775">
        <w:t xml:space="preserve"> and </w:t>
      </w:r>
      <w:r w:rsidR="00EB26FB">
        <w:t>hence</w:t>
      </w:r>
      <w:r w:rsidR="00BB4745">
        <w:t>,</w:t>
      </w:r>
      <w:r w:rsidR="00EB26FB">
        <w:t xml:space="preserve"> </w:t>
      </w:r>
      <w:r w:rsidRPr="003B0775">
        <w:t>too much emitting activity from a global social perspective</w:t>
      </w:r>
      <w:r w:rsidR="00CB3EC7" w:rsidRPr="003B0775">
        <w:t>.</w:t>
      </w:r>
      <w:r w:rsidR="00CB3EC7">
        <w:t xml:space="preserve"> </w:t>
      </w:r>
      <w:r w:rsidRPr="003B0775">
        <w:t xml:space="preserve">That is, the resources available to global society are </w:t>
      </w:r>
      <w:r w:rsidRPr="00CC5A39">
        <w:rPr>
          <w:i/>
        </w:rPr>
        <w:t>not</w:t>
      </w:r>
      <w:r w:rsidRPr="003B0775">
        <w:t xml:space="preserve"> being used in an economically efficient way.</w:t>
      </w:r>
    </w:p>
    <w:p w14:paraId="4B9C246B" w14:textId="77777777" w:rsidR="003C215F" w:rsidRDefault="003C215F" w:rsidP="003C215F">
      <w:pPr>
        <w:pStyle w:val="BodyText"/>
      </w:pPr>
      <w:r>
        <w:t xml:space="preserve">Addressing climate change requires a concerted reduction in greenhouse gas emissions from a variety of sources, including those from the </w:t>
      </w:r>
      <w:r w:rsidR="00B4462D">
        <w:t>commercial building</w:t>
      </w:r>
      <w:r>
        <w:t xml:space="preserve"> sector</w:t>
      </w:r>
      <w:r w:rsidR="00675073">
        <w:t>.</w:t>
      </w:r>
    </w:p>
    <w:p w14:paraId="33C3AC49" w14:textId="74B54276" w:rsidR="00EA74D7" w:rsidRDefault="00EA74D7" w:rsidP="00104113">
      <w:pPr>
        <w:pStyle w:val="Heading3"/>
      </w:pPr>
      <w:bookmarkStart w:id="71" w:name="_Toc415660839"/>
      <w:r>
        <w:t>Behavioural failures and the impact of uncertainty</w:t>
      </w:r>
      <w:bookmarkEnd w:id="71"/>
    </w:p>
    <w:p w14:paraId="402DF549" w14:textId="77777777" w:rsidR="003C215F" w:rsidRDefault="004F020B" w:rsidP="004F020B">
      <w:pPr>
        <w:pStyle w:val="Heading4"/>
      </w:pPr>
      <w:r>
        <w:t>Behavioural failures associated with energy efficiency of commercial buildings</w:t>
      </w:r>
    </w:p>
    <w:p w14:paraId="3E27D83F" w14:textId="77777777" w:rsidR="004F020B" w:rsidRPr="003B0775" w:rsidRDefault="004F020B" w:rsidP="004F020B">
      <w:pPr>
        <w:pStyle w:val="BodyText"/>
      </w:pPr>
      <w:r>
        <w:t>Over time, increasing attention has been given to the role of “behavioural failures” as impediments to take-up energy efficiency opportunities that would yield private benefits in excess of private costs and achieve a</w:t>
      </w:r>
      <w:r w:rsidRPr="00CD1432">
        <w:t>n economically efficient level of abatement</w:t>
      </w:r>
      <w:r>
        <w:t>,</w:t>
      </w:r>
      <w:r w:rsidRPr="00CD1432">
        <w:t xml:space="preserve"> even </w:t>
      </w:r>
      <w:r>
        <w:t xml:space="preserve">in the context of </w:t>
      </w:r>
      <w:r w:rsidRPr="00CD1432">
        <w:t>a well-designed emissions pricing regime</w:t>
      </w:r>
      <w:r w:rsidR="00CB3EC7" w:rsidRPr="00CD1432">
        <w:t>.</w:t>
      </w:r>
      <w:r w:rsidR="00CB3EC7">
        <w:t xml:space="preserve"> </w:t>
      </w:r>
      <w:r>
        <w:t xml:space="preserve">For example, </w:t>
      </w:r>
      <w:r w:rsidRPr="003B0775">
        <w:t>Nicholas Stern (2007, p</w:t>
      </w:r>
      <w:r w:rsidR="00CB3EC7" w:rsidRPr="003B0775">
        <w:t>.</w:t>
      </w:r>
      <w:r w:rsidR="00CB3EC7">
        <w:t xml:space="preserve"> </w:t>
      </w:r>
      <w:r w:rsidRPr="003B0775">
        <w:t xml:space="preserve">429) commented that such apparently anomalous behaviour </w:t>
      </w:r>
      <w:r>
        <w:t xml:space="preserve">could </w:t>
      </w:r>
      <w:r w:rsidRPr="003B0775">
        <w:t>impl</w:t>
      </w:r>
      <w:r>
        <w:t>y</w:t>
      </w:r>
      <w:r w:rsidRPr="003B0775">
        <w:t xml:space="preserve"> the existence of “barriers to ‘rational’ behaviour and motivation”</w:t>
      </w:r>
      <w:r>
        <w:t>, not just market and policy failures</w:t>
      </w:r>
      <w:r w:rsidRPr="003B0775">
        <w:t>.</w:t>
      </w:r>
    </w:p>
    <w:p w14:paraId="199FC3DA" w14:textId="2E4EAEEA" w:rsidR="004F020B" w:rsidRDefault="004F020B" w:rsidP="00EA20A4">
      <w:pPr>
        <w:pStyle w:val="BodyText"/>
      </w:pPr>
      <w:r w:rsidRPr="00A40F83">
        <w:lastRenderedPageBreak/>
        <w:t xml:space="preserve">More than 25 sources of </w:t>
      </w:r>
      <w:r>
        <w:t>“</w:t>
      </w:r>
      <w:r w:rsidRPr="00A40F83">
        <w:t>behavioural failure</w:t>
      </w:r>
      <w:r>
        <w:t>”</w:t>
      </w:r>
      <w:r w:rsidRPr="00A40F83">
        <w:t xml:space="preserve"> have been identified in the behavioural economics literature</w:t>
      </w:r>
      <w:r w:rsidR="00CB3EC7" w:rsidRPr="00A40F83">
        <w:t>.</w:t>
      </w:r>
      <w:r w:rsidR="00CB3EC7">
        <w:t xml:space="preserve"> </w:t>
      </w:r>
      <w:r w:rsidRPr="00A40F83">
        <w:t>Key sources</w:t>
      </w:r>
      <w:r>
        <w:t>, some of which overlap,</w:t>
      </w:r>
      <w:r w:rsidRPr="00A40F83">
        <w:t xml:space="preserve"> include</w:t>
      </w:r>
      <w:r w:rsidR="00952797">
        <w:rPr>
          <w:rStyle w:val="FootnoteReference"/>
        </w:rPr>
        <w:footnoteReference w:id="15"/>
      </w:r>
      <w:r w:rsidRPr="00A40F83">
        <w:t>:</w:t>
      </w:r>
      <w:r>
        <w:t xml:space="preserve"> </w:t>
      </w:r>
    </w:p>
    <w:p w14:paraId="2129494E" w14:textId="1B991BE7" w:rsidR="004F020B" w:rsidRDefault="004F020B" w:rsidP="004F020B">
      <w:pPr>
        <w:pStyle w:val="ListDash"/>
      </w:pPr>
      <w:r w:rsidRPr="002B7020">
        <w:rPr>
          <w:i/>
        </w:rPr>
        <w:t>computational issues</w:t>
      </w:r>
      <w:r>
        <w:rPr>
          <w:i/>
        </w:rPr>
        <w:t xml:space="preserve"> </w:t>
      </w:r>
      <w:r w:rsidRPr="004F020B">
        <w:t>(l</w:t>
      </w:r>
      <w:r w:rsidRPr="002B7020">
        <w:t>imited attention</w:t>
      </w:r>
      <w:r>
        <w:t xml:space="preserve">, </w:t>
      </w:r>
      <w:r w:rsidRPr="002B7020">
        <w:t>decisional conflicts</w:t>
      </w:r>
      <w:r>
        <w:t xml:space="preserve">, </w:t>
      </w:r>
      <w:r w:rsidRPr="002B7020">
        <w:t>over</w:t>
      </w:r>
      <w:r>
        <w:t>-</w:t>
      </w:r>
      <w:r w:rsidRPr="002B7020">
        <w:t>optimism and over</w:t>
      </w:r>
      <w:r>
        <w:t>-</w:t>
      </w:r>
      <w:r w:rsidRPr="002B7020">
        <w:t>confidence</w:t>
      </w:r>
      <w:r>
        <w:t xml:space="preserve">, </w:t>
      </w:r>
      <w:r w:rsidRPr="002B7020">
        <w:t>self-serving bias</w:t>
      </w:r>
      <w:r>
        <w:t xml:space="preserve">, </w:t>
      </w:r>
      <w:r w:rsidRPr="002B7020">
        <w:t>limited analytical capacity</w:t>
      </w:r>
      <w:r>
        <w:t xml:space="preserve"> including </w:t>
      </w:r>
      <w:r w:rsidRPr="002B7020">
        <w:t>bounded rationality</w:t>
      </w:r>
      <w:r>
        <w:t xml:space="preserve"> and </w:t>
      </w:r>
      <w:r w:rsidRPr="002B7020">
        <w:t>rule of thumb (heuristic) decision-making</w:t>
      </w:r>
      <w:r>
        <w:t>)</w:t>
      </w:r>
    </w:p>
    <w:p w14:paraId="47EDF746" w14:textId="77777777" w:rsidR="004F020B" w:rsidRDefault="004F020B" w:rsidP="004F020B">
      <w:pPr>
        <w:pStyle w:val="ListDash"/>
      </w:pPr>
      <w:r w:rsidRPr="002B7020">
        <w:rPr>
          <w:i/>
        </w:rPr>
        <w:t>self</w:t>
      </w:r>
      <w:r>
        <w:rPr>
          <w:i/>
        </w:rPr>
        <w:t>-</w:t>
      </w:r>
      <w:r w:rsidRPr="002B7020">
        <w:rPr>
          <w:i/>
        </w:rPr>
        <w:t>control issues</w:t>
      </w:r>
      <w:r>
        <w:rPr>
          <w:i/>
        </w:rPr>
        <w:t xml:space="preserve"> </w:t>
      </w:r>
      <w:r>
        <w:t>(</w:t>
      </w:r>
      <w:r w:rsidRPr="002B7020">
        <w:t>time inconsistency</w:t>
      </w:r>
      <w:r>
        <w:t>, p</w:t>
      </w:r>
      <w:r w:rsidRPr="002B7020">
        <w:t>rocrastination</w:t>
      </w:r>
      <w:r>
        <w:t xml:space="preserve">, </w:t>
      </w:r>
      <w:r w:rsidRPr="002B7020">
        <w:t>temptation</w:t>
      </w:r>
      <w:r>
        <w:t xml:space="preserve">, </w:t>
      </w:r>
      <w:r w:rsidRPr="002B7020">
        <w:t>channelling and framing</w:t>
      </w:r>
      <w:r>
        <w:t>)</w:t>
      </w:r>
    </w:p>
    <w:p w14:paraId="0F340C47" w14:textId="77777777" w:rsidR="004F020B" w:rsidRPr="002B7020" w:rsidRDefault="004F020B" w:rsidP="004F020B">
      <w:pPr>
        <w:pStyle w:val="ListDash"/>
      </w:pPr>
      <w:r w:rsidRPr="002B7020">
        <w:rPr>
          <w:i/>
        </w:rPr>
        <w:t>preference issues</w:t>
      </w:r>
      <w:r>
        <w:rPr>
          <w:i/>
        </w:rPr>
        <w:t xml:space="preserve"> </w:t>
      </w:r>
      <w:r>
        <w:t>(</w:t>
      </w:r>
      <w:r w:rsidRPr="002B7020">
        <w:t>reference-dependent preferences</w:t>
      </w:r>
      <w:r>
        <w:t xml:space="preserve"> including </w:t>
      </w:r>
      <w:r w:rsidRPr="002B7020">
        <w:t>endowment ef</w:t>
      </w:r>
      <w:r>
        <w:t>f</w:t>
      </w:r>
      <w:r w:rsidRPr="002B7020">
        <w:t>ects</w:t>
      </w:r>
      <w:r>
        <w:t xml:space="preserve">, </w:t>
      </w:r>
      <w:r w:rsidRPr="002B7020">
        <w:t>status quo bias</w:t>
      </w:r>
      <w:r>
        <w:t xml:space="preserve"> and </w:t>
      </w:r>
      <w:r w:rsidRPr="002B7020">
        <w:t>loss aversion</w:t>
      </w:r>
      <w:r>
        <w:t xml:space="preserve">, </w:t>
      </w:r>
      <w:r w:rsidRPr="002B7020">
        <w:t xml:space="preserve">outward looking or other-regarding preferences </w:t>
      </w:r>
      <w:r>
        <w:t xml:space="preserve">including </w:t>
      </w:r>
      <w:r w:rsidRPr="002B7020">
        <w:t>altruism</w:t>
      </w:r>
      <w:r>
        <w:t xml:space="preserve">, </w:t>
      </w:r>
      <w:r w:rsidRPr="002B7020">
        <w:t>fairness concepts</w:t>
      </w:r>
      <w:r>
        <w:t xml:space="preserve"> and </w:t>
      </w:r>
      <w:r w:rsidRPr="002B7020">
        <w:t>social norms</w:t>
      </w:r>
      <w:r>
        <w:t>)</w:t>
      </w:r>
      <w:r w:rsidRPr="002B7020">
        <w:t>.</w:t>
      </w:r>
    </w:p>
    <w:p w14:paraId="5AC7BD15" w14:textId="77777777" w:rsidR="004F020B" w:rsidRDefault="004F020B" w:rsidP="004F020B">
      <w:pPr>
        <w:pStyle w:val="BodyText"/>
      </w:pPr>
      <w:r>
        <w:t>The potential role of “behavioural failures” in impeding better energy efficiency can be illustrated by some examples related to commercial buildings</w:t>
      </w:r>
      <w:r w:rsidR="00CB3EC7">
        <w:t xml:space="preserve">. </w:t>
      </w:r>
      <w:r>
        <w:t>B</w:t>
      </w:r>
      <w:r w:rsidRPr="003B0775">
        <w:t xml:space="preserve">ounded rationality has been suggested as a reason why </w:t>
      </w:r>
      <w:r>
        <w:t>buyers</w:t>
      </w:r>
      <w:r w:rsidRPr="003B0775">
        <w:t xml:space="preserve"> do not undertake discounted cash flow calculations, preferring to fall back on rules of thumb, before deciding on a</w:t>
      </w:r>
      <w:r>
        <w:t>n</w:t>
      </w:r>
      <w:r w:rsidRPr="003B0775">
        <w:t xml:space="preserve"> </w:t>
      </w:r>
      <w:r>
        <w:t>energy efficiency investment</w:t>
      </w:r>
      <w:r w:rsidRPr="003B0775">
        <w:t>.</w:t>
      </w:r>
    </w:p>
    <w:p w14:paraId="3BADBECC" w14:textId="77777777" w:rsidR="004F020B" w:rsidRDefault="004F020B" w:rsidP="004F020B">
      <w:pPr>
        <w:pStyle w:val="BodyText"/>
      </w:pPr>
      <w:r w:rsidRPr="006714EE">
        <w:t xml:space="preserve">It appears that very few purchasers and lessees of </w:t>
      </w:r>
      <w:r>
        <w:t>commercial</w:t>
      </w:r>
      <w:r w:rsidRPr="006714EE">
        <w:t xml:space="preserve"> properties undertake detailed research and analysis regarding energy efficiency features</w:t>
      </w:r>
      <w:r>
        <w:t xml:space="preserve">, due in part to </w:t>
      </w:r>
      <w:r w:rsidR="00675073">
        <w:t xml:space="preserve">the </w:t>
      </w:r>
      <w:r>
        <w:t xml:space="preserve">costs associated with </w:t>
      </w:r>
      <w:r w:rsidR="00675073">
        <w:t xml:space="preserve">searching for </w:t>
      </w:r>
      <w:r>
        <w:t>this information</w:t>
      </w:r>
      <w:r w:rsidR="00CB3EC7" w:rsidRPr="006714EE">
        <w:t>.</w:t>
      </w:r>
      <w:r w:rsidR="00CB3EC7">
        <w:t xml:space="preserve"> </w:t>
      </w:r>
      <w:r w:rsidRPr="006714EE">
        <w:t>In addition, ne</w:t>
      </w:r>
      <w:r>
        <w:t>t</w:t>
      </w:r>
      <w:r w:rsidRPr="006714EE">
        <w:t xml:space="preserve"> present value calculations may be beyond the competence of many purchasers</w:t>
      </w:r>
      <w:r>
        <w:t xml:space="preserve"> and lessees</w:t>
      </w:r>
      <w:r w:rsidR="00CB3EC7">
        <w:t xml:space="preserve">. </w:t>
      </w:r>
      <w:r w:rsidRPr="006714EE">
        <w:t>It is even less likely that more sophisticated analysis would be undertaken to allow for uncertainties regarding future energy prices, actu</w:t>
      </w:r>
      <w:r>
        <w:t xml:space="preserve">al fuel efficiency </w:t>
      </w:r>
      <w:r w:rsidR="00675073">
        <w:t>and the</w:t>
      </w:r>
      <w:r>
        <w:t xml:space="preserve"> </w:t>
      </w:r>
      <w:r w:rsidRPr="006714EE">
        <w:t>effect of energy efficiency features on re-sale values</w:t>
      </w:r>
      <w:r>
        <w:t>, tenure</w:t>
      </w:r>
      <w:r w:rsidRPr="006714EE">
        <w:t xml:space="preserve"> and future refurbishments</w:t>
      </w:r>
      <w:r w:rsidR="00CB3EC7" w:rsidRPr="006714EE">
        <w:t>.</w:t>
      </w:r>
      <w:r w:rsidR="00CB3EC7">
        <w:t xml:space="preserve"> </w:t>
      </w:r>
      <w:r>
        <w:t>However, it should be noted that bounded rationality suggests poor valuation of energy efficiency, not pervasive under-valuation.</w:t>
      </w:r>
    </w:p>
    <w:p w14:paraId="137D6EBB" w14:textId="77777777" w:rsidR="004F020B" w:rsidRDefault="004F020B" w:rsidP="004F020B">
      <w:pPr>
        <w:pStyle w:val="BodyText"/>
      </w:pPr>
      <w:r w:rsidRPr="003B0775">
        <w:t xml:space="preserve">Loss aversion and salience have been put forward as reasons why extra up-front costs of </w:t>
      </w:r>
      <w:r>
        <w:t xml:space="preserve">buildings and appliances </w:t>
      </w:r>
      <w:r w:rsidRPr="003B0775">
        <w:t xml:space="preserve">with better fuel </w:t>
      </w:r>
      <w:r>
        <w:t xml:space="preserve">efficiency </w:t>
      </w:r>
      <w:r w:rsidRPr="003B0775">
        <w:t xml:space="preserve">appear to be given more weight than </w:t>
      </w:r>
      <w:r>
        <w:t xml:space="preserve">energy </w:t>
      </w:r>
      <w:r w:rsidRPr="003B0775">
        <w:t xml:space="preserve">savings over the life of </w:t>
      </w:r>
      <w:r>
        <w:t>the investment</w:t>
      </w:r>
      <w:r w:rsidR="00CB3EC7" w:rsidRPr="003B0775">
        <w:t>.</w:t>
      </w:r>
      <w:r w:rsidR="00CB3EC7">
        <w:t xml:space="preserve"> </w:t>
      </w:r>
      <w:r w:rsidRPr="003B0775">
        <w:t>Framing through advertising c</w:t>
      </w:r>
      <w:r>
        <w:t>ould help explain why buyers</w:t>
      </w:r>
      <w:r w:rsidRPr="003B0775">
        <w:t xml:space="preserve"> </w:t>
      </w:r>
      <w:r>
        <w:t>give less attention to energy efficiency than other features of commercial accommodation.</w:t>
      </w:r>
    </w:p>
    <w:p w14:paraId="4E0DAE82" w14:textId="77777777" w:rsidR="003E30A0" w:rsidRDefault="003E30A0" w:rsidP="003E30A0">
      <w:pPr>
        <w:pStyle w:val="Heading4"/>
      </w:pPr>
      <w:r>
        <w:t>Impact of uncertainty on decision-making</w:t>
      </w:r>
    </w:p>
    <w:p w14:paraId="7DECA25D" w14:textId="77777777" w:rsidR="004F020B" w:rsidRDefault="004F020B" w:rsidP="004F020B">
      <w:pPr>
        <w:pStyle w:val="BodyText"/>
      </w:pPr>
      <w:r>
        <w:t xml:space="preserve">On the other hand, the </w:t>
      </w:r>
      <w:r w:rsidRPr="003B0775">
        <w:t>apparent under</w:t>
      </w:r>
      <w:r>
        <w:t>-</w:t>
      </w:r>
      <w:r w:rsidRPr="003B0775">
        <w:t xml:space="preserve">valuation of </w:t>
      </w:r>
      <w:r>
        <w:t xml:space="preserve">energy efficiency in </w:t>
      </w:r>
      <w:r w:rsidRPr="003B0775">
        <w:t xml:space="preserve">selection of </w:t>
      </w:r>
      <w:r>
        <w:t xml:space="preserve">commercial accommodation </w:t>
      </w:r>
      <w:r w:rsidRPr="003B0775">
        <w:t xml:space="preserve">might also reflect </w:t>
      </w:r>
      <w:r>
        <w:t>the (real option) values buy</w:t>
      </w:r>
      <w:r w:rsidRPr="003B0775">
        <w:t xml:space="preserve">ers place on </w:t>
      </w:r>
      <w:r>
        <w:t xml:space="preserve">deferring energy efficiency investments to </w:t>
      </w:r>
      <w:r w:rsidRPr="003B0775">
        <w:t>maintain flexibility or wait for more information in the context of</w:t>
      </w:r>
      <w:r>
        <w:t>:</w:t>
      </w:r>
    </w:p>
    <w:p w14:paraId="7A1DD4A0" w14:textId="77777777" w:rsidR="004F020B" w:rsidRDefault="004F020B" w:rsidP="004F020B">
      <w:pPr>
        <w:pStyle w:val="ListDash"/>
      </w:pPr>
      <w:r w:rsidRPr="003B0775">
        <w:t xml:space="preserve">a significant degree of irreversibility of extra </w:t>
      </w:r>
      <w:r>
        <w:t>acquisition or construction costs because of uncertainty regarding capitalisation of future energy savings on resale</w:t>
      </w:r>
    </w:p>
    <w:p w14:paraId="6572EE4A" w14:textId="77777777" w:rsidR="004F020B" w:rsidRDefault="004F020B" w:rsidP="004F020B">
      <w:pPr>
        <w:pStyle w:val="ListDash"/>
      </w:pPr>
      <w:r w:rsidRPr="003B0775">
        <w:t xml:space="preserve">uncertainty regarding future </w:t>
      </w:r>
      <w:r>
        <w:t>energy prices, energy savings, and realisable energy savings</w:t>
      </w:r>
      <w:r w:rsidRPr="003B0775">
        <w:t xml:space="preserve">, </w:t>
      </w:r>
      <w:r>
        <w:t>investment life</w:t>
      </w:r>
      <w:r w:rsidRPr="003B0775">
        <w:t xml:space="preserve">, and future </w:t>
      </w:r>
      <w:r>
        <w:t>accommodation requirements</w:t>
      </w:r>
    </w:p>
    <w:p w14:paraId="052C89F1" w14:textId="77777777" w:rsidR="004F020B" w:rsidRDefault="004F020B" w:rsidP="004F020B">
      <w:pPr>
        <w:pStyle w:val="ListDash"/>
      </w:pPr>
      <w:r w:rsidRPr="003B0775">
        <w:t xml:space="preserve">imprecise expectations of ongoing improvements in technologies for </w:t>
      </w:r>
      <w:r>
        <w:t>energy savings</w:t>
      </w:r>
      <w:r w:rsidRPr="003B0775">
        <w:t>.</w:t>
      </w:r>
    </w:p>
    <w:p w14:paraId="18B49C19" w14:textId="77777777" w:rsidR="004F020B" w:rsidRDefault="004F020B" w:rsidP="004F020B">
      <w:pPr>
        <w:pStyle w:val="BodyText"/>
      </w:pPr>
      <w:r w:rsidRPr="003B0775">
        <w:t xml:space="preserve">It is rational for </w:t>
      </w:r>
      <w:r>
        <w:t xml:space="preserve">tenants and investors considering </w:t>
      </w:r>
      <w:r w:rsidR="00675073">
        <w:t xml:space="preserve">leasing or buying </w:t>
      </w:r>
      <w:r>
        <w:t xml:space="preserve">office spaces </w:t>
      </w:r>
      <w:r w:rsidRPr="003B0775">
        <w:t xml:space="preserve">to allow for these considerations when making decisions </w:t>
      </w:r>
      <w:r>
        <w:t>regarding transactions.</w:t>
      </w:r>
    </w:p>
    <w:p w14:paraId="63D531BD" w14:textId="77777777" w:rsidR="004F020B" w:rsidRDefault="004F020B" w:rsidP="004F020B">
      <w:pPr>
        <w:pStyle w:val="BodyText"/>
      </w:pPr>
      <w:r w:rsidRPr="003B0775">
        <w:lastRenderedPageBreak/>
        <w:t>These neglected private costs are important explanatory factors</w:t>
      </w:r>
      <w:r>
        <w:t xml:space="preserve"> for the </w:t>
      </w:r>
      <w:r w:rsidRPr="004E013B">
        <w:t>“energy paradox”</w:t>
      </w:r>
      <w:r>
        <w:t>,</w:t>
      </w:r>
      <w:r w:rsidR="00675073">
        <w:t xml:space="preserve"> namely</w:t>
      </w:r>
      <w:r>
        <w:t xml:space="preserve"> the observed under-investment by office building owners in energy efficiency opportunities that seemingly yield private benefits in excess of private costs</w:t>
      </w:r>
      <w:r w:rsidR="00CB3EC7">
        <w:t xml:space="preserve">. </w:t>
      </w:r>
      <w:r>
        <w:t>This neglect is analytical oversight, not market, behavioural or policy failure.</w:t>
      </w:r>
    </w:p>
    <w:p w14:paraId="04E20484" w14:textId="77777777" w:rsidR="007C12E4" w:rsidRDefault="007C12E4" w:rsidP="007C12E4">
      <w:pPr>
        <w:pStyle w:val="Heading3"/>
      </w:pPr>
      <w:bookmarkStart w:id="72" w:name="_Ref409106763"/>
      <w:bookmarkStart w:id="73" w:name="_Toc415660840"/>
      <w:r>
        <w:t xml:space="preserve">Programs </w:t>
      </w:r>
      <w:r w:rsidR="00A705A1">
        <w:t xml:space="preserve">targeting </w:t>
      </w:r>
      <w:r>
        <w:t>building energy efficiency</w:t>
      </w:r>
      <w:bookmarkEnd w:id="72"/>
      <w:bookmarkEnd w:id="73"/>
    </w:p>
    <w:p w14:paraId="6DD40229" w14:textId="77777777" w:rsidR="00F31F8C" w:rsidRPr="00F31F8C" w:rsidRDefault="007B6CC5" w:rsidP="00F31F8C">
      <w:pPr>
        <w:pStyle w:val="BodyText"/>
      </w:pPr>
      <w:r>
        <w:t>In addition to the CBD program, t</w:t>
      </w:r>
      <w:r w:rsidR="00F31F8C">
        <w:t>here are a range of measures implemented by various levels of governments and other entities that seek to reduce the energy consumption and greenhouse gas emissions of buildings in Australia</w:t>
      </w:r>
      <w:r w:rsidR="00CB3EC7">
        <w:t xml:space="preserve">. </w:t>
      </w:r>
    </w:p>
    <w:p w14:paraId="7963C04C" w14:textId="77777777" w:rsidR="0045262E" w:rsidRDefault="0045262E" w:rsidP="007444A0">
      <w:pPr>
        <w:pStyle w:val="Heading4"/>
      </w:pPr>
      <w:r>
        <w:t>Standards</w:t>
      </w:r>
    </w:p>
    <w:p w14:paraId="02D528E9" w14:textId="77777777" w:rsidR="00913817" w:rsidRDefault="00913817" w:rsidP="00913817">
      <w:pPr>
        <w:pStyle w:val="BodyText"/>
      </w:pPr>
      <w:r>
        <w:t xml:space="preserve">In </w:t>
      </w:r>
      <w:r w:rsidR="00F31F8C">
        <w:t>recent years</w:t>
      </w:r>
      <w:r>
        <w:t xml:space="preserve"> there </w:t>
      </w:r>
      <w:r w:rsidR="00F31F8C">
        <w:t>have been</w:t>
      </w:r>
      <w:r>
        <w:t xml:space="preserve"> strong improvements in the energy efficiency standards for both residential and commercial buildings</w:t>
      </w:r>
      <w:r w:rsidR="00CB3EC7">
        <w:t xml:space="preserve">. </w:t>
      </w:r>
      <w:r>
        <w:t>These changes have helped to reduce the amount of heating and cooling required, improve</w:t>
      </w:r>
      <w:r w:rsidR="00FC774F">
        <w:t>d</w:t>
      </w:r>
      <w:r>
        <w:t xml:space="preserve"> lighting efficiency by reducing lighting power density, and eliminate</w:t>
      </w:r>
      <w:r w:rsidR="00FC774F">
        <w:t>d</w:t>
      </w:r>
      <w:r>
        <w:t xml:space="preserve"> </w:t>
      </w:r>
      <w:r w:rsidR="00FC774F">
        <w:t xml:space="preserve">the addition of </w:t>
      </w:r>
      <w:r>
        <w:t>new electric hot water heaters</w:t>
      </w:r>
      <w:r w:rsidR="00CB3EC7">
        <w:t xml:space="preserve">. </w:t>
      </w:r>
      <w:r>
        <w:t>States and territories choose whether to adopt the changes, which are set by the Australian Building Codes Board (ABCB).</w:t>
      </w:r>
    </w:p>
    <w:p w14:paraId="468F2B84" w14:textId="77777777" w:rsidR="00913817" w:rsidRDefault="00913817" w:rsidP="00913817">
      <w:pPr>
        <w:pStyle w:val="BodyText"/>
      </w:pPr>
      <w:r>
        <w:t xml:space="preserve">The </w:t>
      </w:r>
      <w:r w:rsidRPr="007444A0">
        <w:rPr>
          <w:b/>
        </w:rPr>
        <w:t>National Construction Code (NCC)</w:t>
      </w:r>
      <w:r>
        <w:t xml:space="preserve"> now contains a range of energy efficiency requirements, including requirements relating to the building itself – such as glazing, insulation and draught proofing – as well as major energy using equipment such as heating and cooling systems, water heating and lighting.</w:t>
      </w:r>
    </w:p>
    <w:p w14:paraId="7D853B9F" w14:textId="77777777" w:rsidR="00913817" w:rsidRDefault="0045262E" w:rsidP="00913817">
      <w:pPr>
        <w:pStyle w:val="BodyText"/>
      </w:pPr>
      <w:r w:rsidRPr="007444A0">
        <w:rPr>
          <w:b/>
        </w:rPr>
        <w:t xml:space="preserve">Minimum Energy Performance Standards (MEPS) </w:t>
      </w:r>
      <w:r>
        <w:t>are mandatory minimum standards that a range of appliances must meet in order to be sold in Australia</w:t>
      </w:r>
      <w:r w:rsidR="00CB3EC7">
        <w:t xml:space="preserve">. </w:t>
      </w:r>
      <w:r>
        <w:t>Appliances that are currently covered by MEPS include refrigerators, motors, water heaters, air-conditioners and a range of lighting products.</w:t>
      </w:r>
    </w:p>
    <w:p w14:paraId="7B4D3D57" w14:textId="77777777" w:rsidR="00913817" w:rsidRDefault="00794AAA" w:rsidP="007444A0">
      <w:pPr>
        <w:pStyle w:val="Heading4"/>
      </w:pPr>
      <w:r>
        <w:t>Commonwealth Government programs</w:t>
      </w:r>
    </w:p>
    <w:p w14:paraId="5D37391A" w14:textId="77777777" w:rsidR="00794AAA" w:rsidRDefault="00794AAA" w:rsidP="00913817">
      <w:pPr>
        <w:pStyle w:val="BodyText"/>
      </w:pPr>
      <w:r w:rsidRPr="00794AAA">
        <w:t xml:space="preserve">The </w:t>
      </w:r>
      <w:r w:rsidRPr="007444A0">
        <w:rPr>
          <w:b/>
        </w:rPr>
        <w:t>Energy Efficiency Opportunities (EEO)</w:t>
      </w:r>
      <w:r>
        <w:t xml:space="preserve"> </w:t>
      </w:r>
      <w:r w:rsidR="006D2A12">
        <w:t>p</w:t>
      </w:r>
      <w:r>
        <w:t xml:space="preserve">rogram, which was </w:t>
      </w:r>
      <w:r w:rsidR="00F32740">
        <w:t xml:space="preserve">ceased </w:t>
      </w:r>
      <w:r>
        <w:t>on 29 June 2014, was designed to encourage</w:t>
      </w:r>
      <w:r w:rsidRPr="00794AAA">
        <w:t xml:space="preserve"> large energy-using businesses to improve their energy efficiency by improving the identification, evaluation and implementation of cost effective energy savings opportunities.</w:t>
      </w:r>
    </w:p>
    <w:p w14:paraId="2A967616" w14:textId="77777777" w:rsidR="00913817" w:rsidRDefault="00794AAA" w:rsidP="00913817">
      <w:pPr>
        <w:pStyle w:val="BodyText"/>
      </w:pPr>
      <w:r w:rsidRPr="00794AAA">
        <w:t xml:space="preserve">Participation in the program </w:t>
      </w:r>
      <w:r>
        <w:t>wa</w:t>
      </w:r>
      <w:r w:rsidRPr="00794AAA">
        <w:t>s mandatory for corporations that, individually or as part of a corporate group, use</w:t>
      </w:r>
      <w:r w:rsidR="00FC774F">
        <w:t>d</w:t>
      </w:r>
      <w:r w:rsidRPr="00794AAA">
        <w:t xml:space="preserve"> more than 0.5 PJ of energy per year</w:t>
      </w:r>
      <w:r>
        <w:t xml:space="preserve"> (equivalent to 139,000 megawatt hours of electricity, 9,000 tonnes of LNG, 10,000 tonnes of LPG or 13 </w:t>
      </w:r>
      <w:proofErr w:type="spellStart"/>
      <w:r>
        <w:t>megalitres</w:t>
      </w:r>
      <w:proofErr w:type="spellEnd"/>
      <w:r>
        <w:t xml:space="preserve"> of diesel)</w:t>
      </w:r>
      <w:r w:rsidR="00CB3EC7" w:rsidRPr="00794AAA">
        <w:t>.</w:t>
      </w:r>
      <w:r w:rsidR="00CB3EC7">
        <w:t xml:space="preserve"> </w:t>
      </w:r>
      <w:r w:rsidRPr="00794AAA">
        <w:t>Medium energy users participate</w:t>
      </w:r>
      <w:r w:rsidR="006A506E">
        <w:t>d</w:t>
      </w:r>
      <w:r w:rsidRPr="00794AAA">
        <w:t xml:space="preserve"> voluntarily.</w:t>
      </w:r>
    </w:p>
    <w:p w14:paraId="693CE316" w14:textId="77777777" w:rsidR="00794AAA" w:rsidRDefault="00794AAA" w:rsidP="00794AAA">
      <w:pPr>
        <w:pStyle w:val="BodyText"/>
      </w:pPr>
      <w:r>
        <w:t>The program applied to over 300 corporations from the manufacturing, mining, resource processing, electricity generation, transport and commercial sectors</w:t>
      </w:r>
      <w:r w:rsidR="006A506E">
        <w:t>, which collectively</w:t>
      </w:r>
      <w:r>
        <w:t xml:space="preserve"> </w:t>
      </w:r>
      <w:r w:rsidR="006A506E">
        <w:t>accounted for</w:t>
      </w:r>
      <w:r>
        <w:t xml:space="preserve"> approximately 65 per cent of Australia’s total energy use.</w:t>
      </w:r>
    </w:p>
    <w:p w14:paraId="5FE0AC91" w14:textId="77777777" w:rsidR="00913817" w:rsidRDefault="00794AAA" w:rsidP="00794AAA">
      <w:pPr>
        <w:pStyle w:val="BodyText"/>
      </w:pPr>
      <w:r>
        <w:t>Participants in the program were required to assess their energy use and report both publicly and to government on the results of the assessment and the corporation’s business response</w:t>
      </w:r>
      <w:r w:rsidR="00CB3EC7">
        <w:t xml:space="preserve">. </w:t>
      </w:r>
      <w:r>
        <w:t>Decisions on the implementation of energy efficiency opportunities remain</w:t>
      </w:r>
      <w:r w:rsidR="00D4035C">
        <w:t>ed</w:t>
      </w:r>
      <w:r>
        <w:t xml:space="preserve"> at the discretion of the business.</w:t>
      </w:r>
    </w:p>
    <w:p w14:paraId="49490DE4" w14:textId="77777777" w:rsidR="00794AAA" w:rsidRDefault="00672252" w:rsidP="00794AAA">
      <w:pPr>
        <w:pStyle w:val="BodyText"/>
      </w:pPr>
      <w:r>
        <w:t xml:space="preserve">The </w:t>
      </w:r>
      <w:r w:rsidR="002139B0" w:rsidRPr="007444A0">
        <w:rPr>
          <w:b/>
        </w:rPr>
        <w:t>Energy Efficiency Exchange (EEX)</w:t>
      </w:r>
      <w:r>
        <w:t xml:space="preserve"> website (eex.gov.au) supports the implementation of energy efficiency practices within medium and high energy-using companies</w:t>
      </w:r>
      <w:r w:rsidR="00CB3EC7">
        <w:t xml:space="preserve">. </w:t>
      </w:r>
      <w:r>
        <w:t>It shares best-practice information on energy efficiency, case studies and resource materials from Australia and overseas.</w:t>
      </w:r>
    </w:p>
    <w:p w14:paraId="12A6CE28" w14:textId="77777777" w:rsidR="006D2A12" w:rsidRDefault="00492194" w:rsidP="00794AAA">
      <w:pPr>
        <w:pStyle w:val="BodyText"/>
      </w:pPr>
      <w:r w:rsidRPr="00104113">
        <w:lastRenderedPageBreak/>
        <w:t>The</w:t>
      </w:r>
      <w:r w:rsidR="00C97A9A">
        <w:rPr>
          <w:b/>
        </w:rPr>
        <w:t xml:space="preserve"> </w:t>
      </w:r>
      <w:r w:rsidR="006D2A12" w:rsidRPr="007444A0">
        <w:rPr>
          <w:b/>
        </w:rPr>
        <w:t>Energy Efficiency in Government Operations (EEGO)</w:t>
      </w:r>
      <w:r w:rsidR="006D2A12">
        <w:t xml:space="preserve"> </w:t>
      </w:r>
      <w:r w:rsidR="005A20C2">
        <w:t xml:space="preserve">policy </w:t>
      </w:r>
      <w:r w:rsidR="006D2A12" w:rsidRPr="006D2A12">
        <w:t>aims to reduce the energy consumption of Australian Government operations with particular emphasis on building energy efficiency</w:t>
      </w:r>
      <w:r w:rsidR="00CB3EC7" w:rsidRPr="006D2A12">
        <w:t>.</w:t>
      </w:r>
      <w:r w:rsidR="00CB3EC7">
        <w:t xml:space="preserve"> </w:t>
      </w:r>
      <w:r w:rsidR="006D2A12" w:rsidRPr="006D2A12">
        <w:t>The program is mandatory for Australian Government agencies and incorporates energy intensity targets, annual reporting and green lease requirements into new office lease arrangements</w:t>
      </w:r>
      <w:r w:rsidR="00CB3EC7" w:rsidRPr="006D2A12">
        <w:t>.</w:t>
      </w:r>
      <w:r w:rsidR="00CB3EC7">
        <w:t xml:space="preserve"> </w:t>
      </w:r>
      <w:r w:rsidR="005A20C2">
        <w:t xml:space="preserve">The </w:t>
      </w:r>
      <w:r w:rsidR="005A20C2" w:rsidRPr="005A20C2">
        <w:t xml:space="preserve">EEGO </w:t>
      </w:r>
      <w:r w:rsidR="005A20C2">
        <w:t>p</w:t>
      </w:r>
      <w:r w:rsidR="005A20C2" w:rsidRPr="005A20C2">
        <w:t xml:space="preserve">olicy requires each agency to report its energy consumption against core performance indicators to their portfolio </w:t>
      </w:r>
      <w:r w:rsidR="005A20C2">
        <w:t>m</w:t>
      </w:r>
      <w:r w:rsidR="005A20C2" w:rsidRPr="005A20C2">
        <w:t>inister.</w:t>
      </w:r>
    </w:p>
    <w:p w14:paraId="243F7E58" w14:textId="77777777" w:rsidR="006D2A12" w:rsidRDefault="006D2A12" w:rsidP="006D2A12">
      <w:pPr>
        <w:pStyle w:val="BodyText"/>
      </w:pPr>
      <w:r>
        <w:t xml:space="preserve">A key objective of the EEGO </w:t>
      </w:r>
      <w:r w:rsidR="005A20C2">
        <w:t>p</w:t>
      </w:r>
      <w:r>
        <w:t xml:space="preserve">olicy for </w:t>
      </w:r>
      <w:r w:rsidR="005A20C2">
        <w:t>Australian G</w:t>
      </w:r>
      <w:r>
        <w:t>overnment office buildings in each portfolio was to achieve the following energy intensity targets from June 2011:</w:t>
      </w:r>
    </w:p>
    <w:p w14:paraId="32DEB715" w14:textId="77777777" w:rsidR="006D2A12" w:rsidRDefault="006D2A12" w:rsidP="007444A0">
      <w:pPr>
        <w:pStyle w:val="ListDash"/>
      </w:pPr>
      <w:r>
        <w:t xml:space="preserve">7500 </w:t>
      </w:r>
      <w:proofErr w:type="spellStart"/>
      <w:r>
        <w:t>megajoules</w:t>
      </w:r>
      <w:proofErr w:type="spellEnd"/>
      <w:r>
        <w:t xml:space="preserve"> per person per annum for tenant light and power</w:t>
      </w:r>
    </w:p>
    <w:p w14:paraId="2522748D" w14:textId="77777777" w:rsidR="006D2A12" w:rsidRDefault="006D2A12" w:rsidP="007444A0">
      <w:pPr>
        <w:pStyle w:val="ListDash"/>
      </w:pPr>
      <w:r>
        <w:t xml:space="preserve">400 </w:t>
      </w:r>
      <w:proofErr w:type="spellStart"/>
      <w:r>
        <w:t>megajoules</w:t>
      </w:r>
      <w:proofErr w:type="spellEnd"/>
      <w:r>
        <w:t xml:space="preserve"> per square metre per annum for central services.</w:t>
      </w:r>
    </w:p>
    <w:p w14:paraId="35DE097C" w14:textId="77777777" w:rsidR="006D2A12" w:rsidRDefault="00D4035C" w:rsidP="006A506E">
      <w:pPr>
        <w:pStyle w:val="BodyText"/>
      </w:pPr>
      <w:r>
        <w:t>T</w:t>
      </w:r>
      <w:r w:rsidR="005A20C2">
        <w:t xml:space="preserve">he EEGO policy </w:t>
      </w:r>
      <w:r>
        <w:t xml:space="preserve">sets </w:t>
      </w:r>
      <w:r w:rsidR="005A20C2">
        <w:t xml:space="preserve">minimum energy performance standards for Australian Government office buildings, </w:t>
      </w:r>
      <w:r w:rsidR="006A506E">
        <w:t>which</w:t>
      </w:r>
      <w:r w:rsidR="005A20C2">
        <w:t xml:space="preserve"> vary depending upon the tenanted area and are summarised in</w:t>
      </w:r>
      <w:r w:rsidR="003B38C0">
        <w:t xml:space="preserve"> </w:t>
      </w:r>
      <w:r w:rsidR="00492194">
        <w:fldChar w:fldCharType="begin"/>
      </w:r>
      <w:r w:rsidR="003B38C0">
        <w:instrText xml:space="preserve"> REF _Ref408597727 \h </w:instrText>
      </w:r>
      <w:r w:rsidR="00492194">
        <w:fldChar w:fldCharType="separate"/>
      </w:r>
      <w:r w:rsidR="006A273E">
        <w:t xml:space="preserve">Table </w:t>
      </w:r>
      <w:r w:rsidR="006A273E">
        <w:rPr>
          <w:noProof/>
        </w:rPr>
        <w:t>2</w:t>
      </w:r>
      <w:r w:rsidR="00492194">
        <w:fldChar w:fldCharType="end"/>
      </w:r>
      <w:r w:rsidR="005A20C2">
        <w:t>.</w:t>
      </w:r>
    </w:p>
    <w:p w14:paraId="221E9FBB" w14:textId="77777777" w:rsidR="003B38C0" w:rsidRDefault="003B38C0" w:rsidP="007444A0">
      <w:pPr>
        <w:pStyle w:val="Caption"/>
        <w:ind w:left="-1701"/>
        <w:rPr>
          <w:rStyle w:val="CaptionLabel"/>
          <w:rFonts w:asciiTheme="minorHAnsi" w:hAnsiTheme="minorHAnsi" w:cs="Times New Roman"/>
          <w:sz w:val="22"/>
          <w:szCs w:val="22"/>
          <w:lang w:eastAsia="en-AU"/>
        </w:rPr>
      </w:pPr>
      <w:bookmarkStart w:id="74" w:name="_Ref408597727"/>
      <w:bookmarkStart w:id="75" w:name="_Toc415661009"/>
      <w:r>
        <w:t xml:space="preserve">Table </w:t>
      </w:r>
      <w:r w:rsidR="00492194">
        <w:fldChar w:fldCharType="begin"/>
      </w:r>
      <w:r w:rsidR="0044208C">
        <w:instrText xml:space="preserve"> SEQ Table \* ARABIC </w:instrText>
      </w:r>
      <w:r w:rsidR="00492194">
        <w:fldChar w:fldCharType="separate"/>
      </w:r>
      <w:r w:rsidR="006A273E">
        <w:rPr>
          <w:noProof/>
        </w:rPr>
        <w:t>2</w:t>
      </w:r>
      <w:r w:rsidR="00492194">
        <w:rPr>
          <w:noProof/>
        </w:rPr>
        <w:fldChar w:fldCharType="end"/>
      </w:r>
      <w:bookmarkEnd w:id="74"/>
      <w:r w:rsidRPr="008357FB">
        <w:rPr>
          <w:rStyle w:val="CaptionLabel"/>
        </w:rPr>
        <w:tab/>
      </w:r>
      <w:r w:rsidR="00E07A2F">
        <w:rPr>
          <w:rStyle w:val="CaptionLabel"/>
        </w:rPr>
        <w:t>Minimum energy performance standards for Australian Government office buildings</w:t>
      </w:r>
      <w:bookmarkEnd w:id="75"/>
    </w:p>
    <w:tbl>
      <w:tblPr>
        <w:tblStyle w:val="ACILAllenTable"/>
        <w:tblW w:w="10204" w:type="dxa"/>
        <w:tblInd w:w="-2551" w:type="dxa"/>
        <w:tblLook w:val="04A0" w:firstRow="1" w:lastRow="0" w:firstColumn="1" w:lastColumn="0" w:noHBand="0" w:noVBand="1"/>
        <w:tblCaption w:val="Minimum energy performance standards for Australian Government office buildings"/>
        <w:tblDescription w:val="Minimum energy performance standards for Australian Government office buildings"/>
      </w:tblPr>
      <w:tblGrid>
        <w:gridCol w:w="2040"/>
        <w:gridCol w:w="2040"/>
        <w:gridCol w:w="2040"/>
        <w:gridCol w:w="2042"/>
        <w:gridCol w:w="2042"/>
      </w:tblGrid>
      <w:tr w:rsidR="00855424" w14:paraId="14A331C4" w14:textId="77777777" w:rsidTr="00CF4527">
        <w:trPr>
          <w:cnfStyle w:val="100000000000" w:firstRow="1" w:lastRow="0" w:firstColumn="0" w:lastColumn="0" w:oddVBand="0" w:evenVBand="0" w:oddHBand="0" w:evenHBand="0" w:firstRowFirstColumn="0" w:firstRowLastColumn="0" w:lastRowFirstColumn="0" w:lastRowLastColumn="0"/>
          <w:tblHeader/>
        </w:trPr>
        <w:tc>
          <w:tcPr>
            <w:tcW w:w="2040" w:type="dxa"/>
          </w:tcPr>
          <w:p w14:paraId="0BE29FEE" w14:textId="77777777" w:rsidR="00855424" w:rsidRPr="007444A0" w:rsidRDefault="00855424" w:rsidP="005609B3">
            <w:pPr>
              <w:pStyle w:val="Tabletext"/>
              <w:rPr>
                <w:color w:val="FFFFFF" w:themeColor="background1"/>
              </w:rPr>
            </w:pPr>
            <w:r w:rsidRPr="007444A0">
              <w:rPr>
                <w:color w:val="FFFFFF" w:themeColor="background1"/>
              </w:rPr>
              <w:t>Element</w:t>
            </w:r>
          </w:p>
        </w:tc>
        <w:tc>
          <w:tcPr>
            <w:tcW w:w="6122" w:type="dxa"/>
            <w:gridSpan w:val="3"/>
          </w:tcPr>
          <w:p w14:paraId="101E1C85" w14:textId="77777777" w:rsidR="00855424" w:rsidRPr="007444A0" w:rsidRDefault="00855424" w:rsidP="007444A0">
            <w:pPr>
              <w:pStyle w:val="Tabletext"/>
              <w:jc w:val="center"/>
              <w:rPr>
                <w:color w:val="FFFFFF" w:themeColor="background1"/>
              </w:rPr>
            </w:pPr>
            <w:r>
              <w:rPr>
                <w:rFonts w:cs="Arial"/>
                <w:color w:val="FFFFFF" w:themeColor="background1"/>
              </w:rPr>
              <w:t>≥ 2</w:t>
            </w:r>
            <w:r w:rsidRPr="007444A0">
              <w:rPr>
                <w:color w:val="FFFFFF" w:themeColor="background1"/>
              </w:rPr>
              <w:t>,000 m</w:t>
            </w:r>
            <w:r w:rsidRPr="00C406B8">
              <w:rPr>
                <w:color w:val="FFFFFF" w:themeColor="background1"/>
                <w:vertAlign w:val="superscript"/>
              </w:rPr>
              <w:t>2</w:t>
            </w:r>
            <w:r w:rsidRPr="007444A0">
              <w:rPr>
                <w:color w:val="FFFFFF" w:themeColor="background1"/>
              </w:rPr>
              <w:t xml:space="preserve"> net lettable area</w:t>
            </w:r>
          </w:p>
        </w:tc>
        <w:tc>
          <w:tcPr>
            <w:tcW w:w="2042" w:type="dxa"/>
          </w:tcPr>
          <w:p w14:paraId="6E38D07D" w14:textId="77777777" w:rsidR="00855424" w:rsidRPr="007444A0" w:rsidRDefault="00855424" w:rsidP="005609B3">
            <w:pPr>
              <w:pStyle w:val="Tabletext"/>
              <w:rPr>
                <w:color w:val="FFFFFF" w:themeColor="background1"/>
              </w:rPr>
            </w:pPr>
            <w:r w:rsidRPr="007444A0">
              <w:rPr>
                <w:color w:val="FFFFFF" w:themeColor="background1"/>
              </w:rPr>
              <w:t>&lt; 2,000 m</w:t>
            </w:r>
            <w:r w:rsidRPr="00C406B8">
              <w:rPr>
                <w:color w:val="FFFFFF" w:themeColor="background1"/>
                <w:vertAlign w:val="superscript"/>
              </w:rPr>
              <w:t>2</w:t>
            </w:r>
            <w:r w:rsidRPr="007444A0">
              <w:rPr>
                <w:color w:val="FFFFFF" w:themeColor="background1"/>
              </w:rPr>
              <w:t xml:space="preserve"> net lettable area</w:t>
            </w:r>
          </w:p>
        </w:tc>
      </w:tr>
      <w:tr w:rsidR="003B38C0" w14:paraId="61E1F4FE" w14:textId="77777777">
        <w:tc>
          <w:tcPr>
            <w:tcW w:w="2040" w:type="dxa"/>
            <w:shd w:val="clear" w:color="auto" w:fill="C9C9C9" w:themeFill="accent3" w:themeFillTint="99"/>
          </w:tcPr>
          <w:p w14:paraId="53B8E479" w14:textId="77777777" w:rsidR="003B38C0" w:rsidRDefault="003B38C0" w:rsidP="005609B3">
            <w:pPr>
              <w:pStyle w:val="Tabletext"/>
            </w:pPr>
          </w:p>
        </w:tc>
        <w:tc>
          <w:tcPr>
            <w:tcW w:w="2040" w:type="dxa"/>
            <w:shd w:val="clear" w:color="auto" w:fill="C9C9C9" w:themeFill="accent3" w:themeFillTint="99"/>
          </w:tcPr>
          <w:p w14:paraId="7721DF9A" w14:textId="77777777" w:rsidR="003B38C0" w:rsidRPr="007444A0" w:rsidRDefault="003B38C0" w:rsidP="005609B3">
            <w:pPr>
              <w:pStyle w:val="Tabletext"/>
              <w:rPr>
                <w:b/>
              </w:rPr>
            </w:pPr>
            <w:r w:rsidRPr="007444A0">
              <w:rPr>
                <w:b/>
              </w:rPr>
              <w:t>100% of total building area</w:t>
            </w:r>
          </w:p>
        </w:tc>
        <w:tc>
          <w:tcPr>
            <w:tcW w:w="2040" w:type="dxa"/>
            <w:shd w:val="clear" w:color="auto" w:fill="C9C9C9" w:themeFill="accent3" w:themeFillTint="99"/>
          </w:tcPr>
          <w:p w14:paraId="698C1B7E" w14:textId="77777777" w:rsidR="003B38C0" w:rsidRPr="007444A0" w:rsidRDefault="003B38C0" w:rsidP="005609B3">
            <w:pPr>
              <w:pStyle w:val="Tabletext"/>
              <w:rPr>
                <w:b/>
              </w:rPr>
            </w:pPr>
            <w:r w:rsidRPr="007444A0">
              <w:rPr>
                <w:b/>
              </w:rPr>
              <w:t>50% to 99% of total building area</w:t>
            </w:r>
          </w:p>
        </w:tc>
        <w:tc>
          <w:tcPr>
            <w:tcW w:w="2042" w:type="dxa"/>
            <w:shd w:val="clear" w:color="auto" w:fill="C9C9C9" w:themeFill="accent3" w:themeFillTint="99"/>
          </w:tcPr>
          <w:p w14:paraId="3F07970D" w14:textId="77777777" w:rsidR="003B38C0" w:rsidRPr="007444A0" w:rsidRDefault="003B38C0" w:rsidP="005609B3">
            <w:pPr>
              <w:pStyle w:val="Tabletext"/>
              <w:rPr>
                <w:b/>
              </w:rPr>
            </w:pPr>
            <w:r w:rsidRPr="007444A0">
              <w:rPr>
                <w:b/>
              </w:rPr>
              <w:t>&lt; 50% of total building area</w:t>
            </w:r>
          </w:p>
        </w:tc>
        <w:tc>
          <w:tcPr>
            <w:tcW w:w="2042" w:type="dxa"/>
            <w:shd w:val="clear" w:color="auto" w:fill="C9C9C9" w:themeFill="accent3" w:themeFillTint="99"/>
          </w:tcPr>
          <w:p w14:paraId="213AA53E" w14:textId="77777777" w:rsidR="003B38C0" w:rsidRDefault="003B38C0" w:rsidP="005609B3">
            <w:pPr>
              <w:pStyle w:val="Tabletext"/>
            </w:pPr>
          </w:p>
        </w:tc>
      </w:tr>
      <w:tr w:rsidR="003B38C0" w14:paraId="6E8F6B9A" w14:textId="77777777">
        <w:tc>
          <w:tcPr>
            <w:tcW w:w="2040" w:type="dxa"/>
          </w:tcPr>
          <w:p w14:paraId="34809A54" w14:textId="77777777" w:rsidR="003B38C0" w:rsidRDefault="003B38C0" w:rsidP="005609B3">
            <w:pPr>
              <w:pStyle w:val="Tabletext"/>
            </w:pPr>
            <w:r>
              <w:t>Base building</w:t>
            </w:r>
          </w:p>
        </w:tc>
        <w:tc>
          <w:tcPr>
            <w:tcW w:w="2040" w:type="dxa"/>
          </w:tcPr>
          <w:p w14:paraId="44AD4B20" w14:textId="77777777" w:rsidR="003B38C0" w:rsidRPr="007444A0" w:rsidRDefault="00E07A2F" w:rsidP="005609B3">
            <w:pPr>
              <w:pStyle w:val="Tabletext"/>
              <w:rPr>
                <w:color w:val="auto"/>
              </w:rPr>
            </w:pPr>
            <w:r w:rsidRPr="007444A0">
              <w:rPr>
                <w:rFonts w:cs="Arial"/>
                <w:color w:val="auto"/>
              </w:rPr>
              <w:t xml:space="preserve">≥ </w:t>
            </w:r>
            <w:r>
              <w:rPr>
                <w:rFonts w:cs="Arial"/>
                <w:color w:val="auto"/>
              </w:rPr>
              <w:t>4.5 stars NABERS Energy, or equivalent, level of energy efficiency for whole building</w:t>
            </w:r>
          </w:p>
        </w:tc>
        <w:tc>
          <w:tcPr>
            <w:tcW w:w="2040" w:type="dxa"/>
          </w:tcPr>
          <w:p w14:paraId="4727F6D2" w14:textId="77777777" w:rsidR="003B38C0" w:rsidRDefault="00E07A2F" w:rsidP="005609B3">
            <w:pPr>
              <w:pStyle w:val="Tabletext"/>
            </w:pPr>
            <w:r w:rsidRPr="00A83614">
              <w:rPr>
                <w:rFonts w:cs="Arial"/>
                <w:color w:val="auto"/>
              </w:rPr>
              <w:t xml:space="preserve">≥ </w:t>
            </w:r>
            <w:r>
              <w:rPr>
                <w:rFonts w:cs="Arial"/>
                <w:color w:val="auto"/>
              </w:rPr>
              <w:t>4.5 stars NABERS Energy, or equivalent, level of energy efficiency</w:t>
            </w:r>
          </w:p>
        </w:tc>
        <w:tc>
          <w:tcPr>
            <w:tcW w:w="2042" w:type="dxa"/>
          </w:tcPr>
          <w:p w14:paraId="6334BB37" w14:textId="77777777" w:rsidR="003B38C0" w:rsidRDefault="00E07A2F" w:rsidP="005609B3">
            <w:pPr>
              <w:pStyle w:val="Tabletext"/>
            </w:pPr>
            <w:r>
              <w:t>No requirement</w:t>
            </w:r>
          </w:p>
        </w:tc>
        <w:tc>
          <w:tcPr>
            <w:tcW w:w="2042" w:type="dxa"/>
          </w:tcPr>
          <w:p w14:paraId="78FF2084" w14:textId="77777777" w:rsidR="003B38C0" w:rsidRDefault="00E07A2F" w:rsidP="005609B3">
            <w:pPr>
              <w:pStyle w:val="Tabletext"/>
            </w:pPr>
            <w:r>
              <w:t>No requirement</w:t>
            </w:r>
          </w:p>
        </w:tc>
      </w:tr>
      <w:tr w:rsidR="003B38C0" w14:paraId="65FE5588" w14:textId="77777777">
        <w:tc>
          <w:tcPr>
            <w:tcW w:w="2040" w:type="dxa"/>
          </w:tcPr>
          <w:p w14:paraId="0F1FD255" w14:textId="77777777" w:rsidR="003B38C0" w:rsidRDefault="003B38C0" w:rsidP="005609B3">
            <w:pPr>
              <w:pStyle w:val="Tabletext"/>
            </w:pPr>
            <w:r>
              <w:t>Tenanted area</w:t>
            </w:r>
          </w:p>
        </w:tc>
        <w:tc>
          <w:tcPr>
            <w:tcW w:w="2040" w:type="dxa"/>
          </w:tcPr>
          <w:p w14:paraId="52D4C332" w14:textId="77777777" w:rsidR="003B38C0" w:rsidRDefault="00E07A2F" w:rsidP="005609B3">
            <w:pPr>
              <w:pStyle w:val="Tabletext"/>
            </w:pPr>
            <w:r w:rsidRPr="00A83614">
              <w:rPr>
                <w:rFonts w:cs="Arial"/>
                <w:color w:val="auto"/>
              </w:rPr>
              <w:t xml:space="preserve">≥ </w:t>
            </w:r>
            <w:r>
              <w:rPr>
                <w:rFonts w:cs="Arial"/>
                <w:color w:val="auto"/>
              </w:rPr>
              <w:t>4.5 stars NABERS Energy, or equivalent, level of energy efficiency for whole building</w:t>
            </w:r>
          </w:p>
        </w:tc>
        <w:tc>
          <w:tcPr>
            <w:tcW w:w="2040" w:type="dxa"/>
          </w:tcPr>
          <w:p w14:paraId="47513778" w14:textId="77777777" w:rsidR="003B38C0" w:rsidRDefault="00E07A2F" w:rsidP="005609B3">
            <w:pPr>
              <w:pStyle w:val="Tabletext"/>
            </w:pPr>
            <w:r w:rsidRPr="00A83614">
              <w:rPr>
                <w:rFonts w:cs="Arial"/>
                <w:color w:val="auto"/>
              </w:rPr>
              <w:t xml:space="preserve">≥ </w:t>
            </w:r>
            <w:r>
              <w:rPr>
                <w:rFonts w:cs="Arial"/>
                <w:color w:val="auto"/>
              </w:rPr>
              <w:t>4.5 stars NABERS Energy, or equivalent, level of energy efficiency</w:t>
            </w:r>
          </w:p>
        </w:tc>
        <w:tc>
          <w:tcPr>
            <w:tcW w:w="2042" w:type="dxa"/>
          </w:tcPr>
          <w:p w14:paraId="11C9DC6D" w14:textId="77777777" w:rsidR="003B38C0" w:rsidRDefault="00E07A2F" w:rsidP="005609B3">
            <w:pPr>
              <w:pStyle w:val="Tabletext"/>
            </w:pPr>
            <w:r w:rsidRPr="00A83614">
              <w:rPr>
                <w:rFonts w:cs="Arial"/>
                <w:color w:val="auto"/>
              </w:rPr>
              <w:t xml:space="preserve">≥ </w:t>
            </w:r>
            <w:r>
              <w:rPr>
                <w:rFonts w:cs="Arial"/>
                <w:color w:val="auto"/>
              </w:rPr>
              <w:t>4.5 stars NABERS Energy, or equivalent, level of energy efficiency</w:t>
            </w:r>
          </w:p>
        </w:tc>
        <w:tc>
          <w:tcPr>
            <w:tcW w:w="2042" w:type="dxa"/>
          </w:tcPr>
          <w:p w14:paraId="0819EF4F" w14:textId="77777777" w:rsidR="003B38C0" w:rsidRDefault="00E07A2F" w:rsidP="005609B3">
            <w:pPr>
              <w:pStyle w:val="Tabletext"/>
            </w:pPr>
            <w:r>
              <w:t>Separate digital metering and max 8 W/m2 for lighting</w:t>
            </w:r>
          </w:p>
        </w:tc>
      </w:tr>
      <w:tr w:rsidR="003B38C0" w14:paraId="077B21E4" w14:textId="77777777">
        <w:tc>
          <w:tcPr>
            <w:tcW w:w="2040" w:type="dxa"/>
          </w:tcPr>
          <w:p w14:paraId="69242635" w14:textId="77777777" w:rsidR="003B38C0" w:rsidRDefault="003B38C0" w:rsidP="005609B3">
            <w:pPr>
              <w:pStyle w:val="Tabletext"/>
            </w:pPr>
            <w:r>
              <w:t>Lease</w:t>
            </w:r>
          </w:p>
        </w:tc>
        <w:tc>
          <w:tcPr>
            <w:tcW w:w="2040" w:type="dxa"/>
          </w:tcPr>
          <w:p w14:paraId="2ADABD5C" w14:textId="77777777" w:rsidR="003B38C0" w:rsidRDefault="003B38C0" w:rsidP="006A506E">
            <w:pPr>
              <w:pStyle w:val="Tabletext"/>
            </w:pPr>
            <w:r>
              <w:t>To include a Green Lease Schedule</w:t>
            </w:r>
          </w:p>
        </w:tc>
        <w:tc>
          <w:tcPr>
            <w:tcW w:w="2040" w:type="dxa"/>
          </w:tcPr>
          <w:p w14:paraId="249F40CD" w14:textId="77777777" w:rsidR="003B38C0" w:rsidRDefault="003B38C0" w:rsidP="005609B3">
            <w:pPr>
              <w:pStyle w:val="Tabletext"/>
            </w:pPr>
            <w:r>
              <w:t>To include a Green Lease Schedule</w:t>
            </w:r>
          </w:p>
        </w:tc>
        <w:tc>
          <w:tcPr>
            <w:tcW w:w="2042" w:type="dxa"/>
          </w:tcPr>
          <w:p w14:paraId="0C85ABCD" w14:textId="77777777" w:rsidR="003B38C0" w:rsidRDefault="003B38C0" w:rsidP="005609B3">
            <w:pPr>
              <w:pStyle w:val="Tabletext"/>
            </w:pPr>
            <w:r>
              <w:t>To include a Green Lease Schedule</w:t>
            </w:r>
          </w:p>
        </w:tc>
        <w:tc>
          <w:tcPr>
            <w:tcW w:w="2042" w:type="dxa"/>
          </w:tcPr>
          <w:p w14:paraId="7F1C9B34" w14:textId="77777777" w:rsidR="003B38C0" w:rsidRDefault="003B38C0" w:rsidP="005609B3">
            <w:pPr>
              <w:pStyle w:val="Tabletext"/>
            </w:pPr>
            <w:r>
              <w:t>No requirement</w:t>
            </w:r>
          </w:p>
        </w:tc>
      </w:tr>
      <w:tr w:rsidR="00855424" w14:paraId="0F067D0D" w14:textId="77777777">
        <w:tc>
          <w:tcPr>
            <w:tcW w:w="2040" w:type="dxa"/>
          </w:tcPr>
          <w:p w14:paraId="19CFCF05" w14:textId="77777777" w:rsidR="00855424" w:rsidRDefault="00855424" w:rsidP="005609B3">
            <w:pPr>
              <w:pStyle w:val="Tabletext"/>
            </w:pPr>
            <w:r>
              <w:t>Appliances</w:t>
            </w:r>
          </w:p>
        </w:tc>
        <w:tc>
          <w:tcPr>
            <w:tcW w:w="8164" w:type="dxa"/>
            <w:gridSpan w:val="4"/>
          </w:tcPr>
          <w:p w14:paraId="5445A637" w14:textId="77777777" w:rsidR="00855424" w:rsidRDefault="00855424" w:rsidP="005609B3">
            <w:pPr>
              <w:pStyle w:val="Tabletext"/>
            </w:pPr>
            <w:r>
              <w:t>US EPA ‘Energy Star’ compliant with power management features enabled at the time of supply</w:t>
            </w:r>
            <w:r w:rsidR="00C277CE">
              <w:t xml:space="preserve"> (where available, fit for purpose and cost-effective)</w:t>
            </w:r>
          </w:p>
        </w:tc>
      </w:tr>
    </w:tbl>
    <w:p w14:paraId="06F812E0" w14:textId="5EE2744C" w:rsidR="003B38C0" w:rsidRPr="00B347D7" w:rsidRDefault="006A506E" w:rsidP="006A506E">
      <w:pPr>
        <w:pStyle w:val="Source"/>
        <w:ind w:left="-2551"/>
      </w:pPr>
      <w:r w:rsidRPr="00104113">
        <w:rPr>
          <w:i/>
        </w:rPr>
        <w:t>Note:</w:t>
      </w:r>
      <w:r>
        <w:t xml:space="preserve"> Green Lease Schedules (GLS) are intended to form part of lease documentation (or MOUs where the Government owns the building)</w:t>
      </w:r>
      <w:r w:rsidR="00CB3EC7">
        <w:t xml:space="preserve">. </w:t>
      </w:r>
      <w:r>
        <w:t>They are designed to ensure that buildings are operated at the required level of energy efficiency and cover five essential elements:</w:t>
      </w:r>
      <w:r w:rsidR="006527DB">
        <w:t xml:space="preserve"> </w:t>
      </w:r>
      <w:r>
        <w:t>4.5 stars NABERS Energy for Base Building (where applicable) and Tenancy</w:t>
      </w:r>
      <w:r w:rsidR="006527DB">
        <w:t xml:space="preserve">; </w:t>
      </w:r>
      <w:r>
        <w:t>separate metering</w:t>
      </w:r>
      <w:r w:rsidR="006527DB">
        <w:t xml:space="preserve">; </w:t>
      </w:r>
      <w:r>
        <w:t>a building management committee</w:t>
      </w:r>
      <w:r w:rsidR="006527DB">
        <w:t xml:space="preserve">; </w:t>
      </w:r>
      <w:r>
        <w:t>an energy management plan</w:t>
      </w:r>
      <w:r w:rsidR="006527DB">
        <w:t xml:space="preserve">; and </w:t>
      </w:r>
      <w:r>
        <w:t>disputes and remedies clauses.</w:t>
      </w:r>
      <w:r>
        <w:br/>
      </w:r>
      <w:r w:rsidR="003B38C0" w:rsidRPr="00B347D7">
        <w:t xml:space="preserve">Source: </w:t>
      </w:r>
      <w:r w:rsidR="00E07A2F">
        <w:t xml:space="preserve">Department of </w:t>
      </w:r>
      <w:r w:rsidR="005A7ABB">
        <w:t>I</w:t>
      </w:r>
      <w:r w:rsidR="00E07A2F">
        <w:t>ndustry</w:t>
      </w:r>
      <w:r w:rsidR="00780F54">
        <w:t xml:space="preserve"> and Science</w:t>
      </w:r>
    </w:p>
    <w:p w14:paraId="75F8C2DC" w14:textId="77777777" w:rsidR="006D2A12" w:rsidRDefault="00C277CE" w:rsidP="006D2A12">
      <w:pPr>
        <w:pStyle w:val="BodyText"/>
      </w:pPr>
      <w:r>
        <w:t xml:space="preserve">The minimum energy performance standards apply to Australian Government office buildings that are new, or have undergone major refurbishment affecting </w:t>
      </w:r>
      <w:r w:rsidRPr="00C277CE">
        <w:t>≥</w:t>
      </w:r>
      <w:r>
        <w:t xml:space="preserve"> 2,000 metres squared, or are subject to a new lease (or MOU where the building is Government owned) of greater than two years duration, including options</w:t>
      </w:r>
      <w:r w:rsidR="00D4035C">
        <w:t xml:space="preserve"> for lease extension</w:t>
      </w:r>
      <w:r>
        <w:t>.</w:t>
      </w:r>
    </w:p>
    <w:p w14:paraId="6358678F" w14:textId="77777777" w:rsidR="002139B0" w:rsidRDefault="002139B0" w:rsidP="007444A0">
      <w:pPr>
        <w:pStyle w:val="Heading4"/>
      </w:pPr>
      <w:r>
        <w:t>State government programs</w:t>
      </w:r>
    </w:p>
    <w:p w14:paraId="5189B9AE" w14:textId="77777777" w:rsidR="002139B0" w:rsidRDefault="00D972B4" w:rsidP="00D972B4">
      <w:pPr>
        <w:pStyle w:val="BodyText"/>
      </w:pPr>
      <w:r>
        <w:t xml:space="preserve">The </w:t>
      </w:r>
      <w:r w:rsidRPr="007444A0">
        <w:rPr>
          <w:b/>
        </w:rPr>
        <w:t>Energy Saver</w:t>
      </w:r>
      <w:r>
        <w:t xml:space="preserve"> program is a NSW Government initiative to provide support for businesses in reducing their energy consumption and costs</w:t>
      </w:r>
      <w:r w:rsidR="00CB3EC7">
        <w:t xml:space="preserve">. </w:t>
      </w:r>
      <w:r>
        <w:t>Operated by a dedicated team within the Office of Environment and Heritage, the program provides practical guidance on energy efficiency.</w:t>
      </w:r>
    </w:p>
    <w:p w14:paraId="2BA53529" w14:textId="77777777" w:rsidR="00D972B4" w:rsidRDefault="00D972B4" w:rsidP="00D972B4">
      <w:pPr>
        <w:pStyle w:val="BodyText"/>
      </w:pPr>
      <w:r>
        <w:t>The Energy Saver program assists New South Wales businesses reduce their energy use through:</w:t>
      </w:r>
    </w:p>
    <w:p w14:paraId="7BF51D6A" w14:textId="77777777" w:rsidR="00D972B4" w:rsidRDefault="00D972B4" w:rsidP="007444A0">
      <w:pPr>
        <w:pStyle w:val="ListDash"/>
      </w:pPr>
      <w:r>
        <w:t xml:space="preserve">subsidised technical investigations to identify </w:t>
      </w:r>
      <w:r w:rsidR="003C69D9">
        <w:t>energy efficiency opportunities</w:t>
      </w:r>
    </w:p>
    <w:p w14:paraId="05765C34" w14:textId="77777777" w:rsidR="00D972B4" w:rsidRDefault="00D972B4" w:rsidP="007444A0">
      <w:pPr>
        <w:pStyle w:val="ListDash"/>
      </w:pPr>
      <w:r>
        <w:t>tailored financial business cases to support energy efficiency projects</w:t>
      </w:r>
    </w:p>
    <w:p w14:paraId="28BBF190" w14:textId="77777777" w:rsidR="00D972B4" w:rsidRDefault="00D972B4" w:rsidP="007444A0">
      <w:pPr>
        <w:pStyle w:val="ListDash"/>
      </w:pPr>
      <w:r>
        <w:lastRenderedPageBreak/>
        <w:t>the provision of measurement and verification for implemented projects</w:t>
      </w:r>
    </w:p>
    <w:p w14:paraId="4D2EDD68" w14:textId="77777777" w:rsidR="00D972B4" w:rsidRDefault="00D972B4" w:rsidP="007444A0">
      <w:pPr>
        <w:pStyle w:val="ListDash"/>
      </w:pPr>
      <w:r>
        <w:t>assistance with accessing Energy Savings Scheme incentives</w:t>
      </w:r>
      <w:r w:rsidR="00D4035C">
        <w:t xml:space="preserve"> (see discussion below)</w:t>
      </w:r>
    </w:p>
    <w:p w14:paraId="19F0AC2F" w14:textId="77777777" w:rsidR="00D972B4" w:rsidRDefault="00D972B4" w:rsidP="007444A0">
      <w:pPr>
        <w:pStyle w:val="ListDash"/>
      </w:pPr>
      <w:r>
        <w:t>technical support for projects.</w:t>
      </w:r>
    </w:p>
    <w:p w14:paraId="410A52E7" w14:textId="77777777" w:rsidR="00D972B4" w:rsidRDefault="00D972B4" w:rsidP="00D972B4">
      <w:pPr>
        <w:pStyle w:val="BodyText"/>
      </w:pPr>
      <w:r>
        <w:t xml:space="preserve">The </w:t>
      </w:r>
      <w:r w:rsidRPr="007444A0">
        <w:rPr>
          <w:b/>
        </w:rPr>
        <w:t>Energy Savings Scheme (ESS)</w:t>
      </w:r>
      <w:r>
        <w:t xml:space="preserve"> reduces electricity consumption in NSW by creating financial incentives for organisations to invest in energy savings projects</w:t>
      </w:r>
      <w:r w:rsidR="00CB3EC7">
        <w:t xml:space="preserve">. </w:t>
      </w:r>
      <w:r>
        <w:t>Energy savings are achieved by installing, improving or replacing energy savings equipment</w:t>
      </w:r>
      <w:r w:rsidR="00CB3EC7">
        <w:t xml:space="preserve">. </w:t>
      </w:r>
    </w:p>
    <w:p w14:paraId="441B3ADD" w14:textId="77777777" w:rsidR="00D972B4" w:rsidRDefault="00D972B4" w:rsidP="00D972B4">
      <w:pPr>
        <w:pStyle w:val="BodyText"/>
      </w:pPr>
      <w:r>
        <w:t>The ESS is governed by NSW legislation and places a mandatory obligation on liable entities to obtain and surrender energy savings certificates, which represent energy savings</w:t>
      </w:r>
      <w:r w:rsidR="00CB3EC7">
        <w:t xml:space="preserve">. </w:t>
      </w:r>
      <w:r w:rsidR="005C2EB4" w:rsidRPr="005C2EB4">
        <w:t>When businesses invest in reducing their energy use, energy savings certificates are created by the voluntary scheme participants that have helped to implement those energy savings activities</w:t>
      </w:r>
      <w:r w:rsidR="00CB3EC7" w:rsidRPr="005C2EB4">
        <w:t>.</w:t>
      </w:r>
      <w:r w:rsidR="00CB3EC7">
        <w:t xml:space="preserve"> </w:t>
      </w:r>
      <w:r w:rsidR="005C2EB4" w:rsidRPr="005C2EB4">
        <w:t>Electricity retailers, who are mandatory scheme participants, then buy the energy savings certificates to meet their own legislated targets, as required by law</w:t>
      </w:r>
      <w:r w:rsidR="00CB3EC7" w:rsidRPr="005C2EB4">
        <w:t>.</w:t>
      </w:r>
      <w:r w:rsidR="00CB3EC7">
        <w:t xml:space="preserve"> </w:t>
      </w:r>
      <w:r w:rsidR="00E15A24">
        <w:t>The operation of the ESS is similar to the Victorian scheme described below.</w:t>
      </w:r>
    </w:p>
    <w:p w14:paraId="63AE0D0B" w14:textId="68C38FD1" w:rsidR="00E15A24" w:rsidRDefault="00E15A24">
      <w:pPr>
        <w:pStyle w:val="BodyText"/>
      </w:pPr>
      <w:r>
        <w:t xml:space="preserve">The </w:t>
      </w:r>
      <w:r w:rsidRPr="007444A0">
        <w:rPr>
          <w:b/>
        </w:rPr>
        <w:t xml:space="preserve">Victorian Energy Efficiency Target (VEET) </w:t>
      </w:r>
      <w:r>
        <w:t>scheme is a Victorian Government initiative promoted as the Energy Saver Incentive</w:t>
      </w:r>
      <w:r w:rsidR="00CB3EC7">
        <w:t xml:space="preserve">. </w:t>
      </w:r>
      <w:r>
        <w:t>The scheme is designed to make energy efficiency improvements more affordable, contribute to the reduction of greenhouse gases, and encourage investment, employment and innovation in industries that supply energy efficiency</w:t>
      </w:r>
      <w:r w:rsidR="00EA74D7">
        <w:t>-related</w:t>
      </w:r>
      <w:r>
        <w:t xml:space="preserve"> goods and services.</w:t>
      </w:r>
    </w:p>
    <w:p w14:paraId="27375A41" w14:textId="77777777" w:rsidR="002139B0" w:rsidRDefault="00E15A24" w:rsidP="00E15A24">
      <w:pPr>
        <w:pStyle w:val="BodyText"/>
      </w:pPr>
      <w:r>
        <w:t>Under the scheme, accredited businesses can offer discounts and special offers on selected energy saving products and appliances installed at homes, businesses or other non-residential premises</w:t>
      </w:r>
      <w:r w:rsidR="003C69D9">
        <w:t>.</w:t>
      </w:r>
    </w:p>
    <w:p w14:paraId="118E41BD" w14:textId="77777777" w:rsidR="002139B0" w:rsidRDefault="00E15A24" w:rsidP="00E15A24">
      <w:pPr>
        <w:pStyle w:val="BodyText"/>
      </w:pPr>
      <w:r>
        <w:t>The scheme operates by placing a liability on large energy retailers in Victoria to surrender a specified number of energy efficiency certificates every year</w:t>
      </w:r>
      <w:r w:rsidR="00CB3EC7">
        <w:t xml:space="preserve">. </w:t>
      </w:r>
      <w:r w:rsidR="003C69D9">
        <w:t>These energy retailers</w:t>
      </w:r>
      <w:r>
        <w:t xml:space="preserve"> are able to create certificates directly, or purchase certificates in a competitive market, or both</w:t>
      </w:r>
      <w:r w:rsidR="00CB3EC7">
        <w:t xml:space="preserve">. </w:t>
      </w:r>
    </w:p>
    <w:p w14:paraId="197CA623" w14:textId="77777777" w:rsidR="00E15A24" w:rsidRDefault="00E15A24" w:rsidP="00794AAA">
      <w:pPr>
        <w:pStyle w:val="BodyText"/>
      </w:pPr>
      <w:r w:rsidRPr="00E15A24">
        <w:t xml:space="preserve">The </w:t>
      </w:r>
      <w:r>
        <w:t>scheme</w:t>
      </w:r>
      <w:r w:rsidRPr="00E15A24">
        <w:t xml:space="preserve"> </w:t>
      </w:r>
      <w:r w:rsidR="00D4035C">
        <w:t xml:space="preserve">also </w:t>
      </w:r>
      <w:r w:rsidRPr="00E15A24">
        <w:t>allow</w:t>
      </w:r>
      <w:r>
        <w:t>s</w:t>
      </w:r>
      <w:r w:rsidRPr="00E15A24">
        <w:t xml:space="preserve"> for accredited entities, known as Accredited Persons, to create VEECs when they help energy consumers make selected energy efficiency improvements to their homes, business premises or</w:t>
      </w:r>
      <w:r w:rsidR="003C69D9">
        <w:t xml:space="preserve"> other non-residential premises</w:t>
      </w:r>
      <w:r w:rsidR="00CB3EC7">
        <w:t xml:space="preserve">. </w:t>
      </w:r>
      <w:r w:rsidRPr="00E15A24">
        <w:t>Activities specifically designed for the commercial sector include high efficiency motors, refrigerated display cabinets, refrigeration fan replacement, commercial lighting upgrades, efficient low flow trigger nozzles and water efficient pre</w:t>
      </w:r>
      <w:r>
        <w:t>-</w:t>
      </w:r>
      <w:r w:rsidRPr="00E15A24">
        <w:t>rinse spray valves.</w:t>
      </w:r>
    </w:p>
    <w:p w14:paraId="5DFE4236" w14:textId="5F0F3F78" w:rsidR="00352C12" w:rsidRDefault="00BF393B" w:rsidP="00BF393B">
      <w:pPr>
        <w:pStyle w:val="BodyText"/>
      </w:pPr>
      <w:r>
        <w:t xml:space="preserve">The </w:t>
      </w:r>
      <w:r w:rsidR="002139B0" w:rsidRPr="007444A0">
        <w:rPr>
          <w:b/>
        </w:rPr>
        <w:t>Efficient Government Buildings</w:t>
      </w:r>
      <w:r w:rsidR="002139B0">
        <w:t xml:space="preserve"> </w:t>
      </w:r>
      <w:r>
        <w:t xml:space="preserve">program, developed and managed by the Victorian Department of Treasury and Finance (DTF), </w:t>
      </w:r>
      <w:r w:rsidR="00352C12">
        <w:t>involves energy service providers identifying and installing cost-effective energy and water efficiency solutions and providing a guarantee on project savings</w:t>
      </w:r>
      <w:r w:rsidR="00CB3EC7">
        <w:t xml:space="preserve">. </w:t>
      </w:r>
      <w:r w:rsidR="00352C12" w:rsidRPr="00352C12">
        <w:t>Solutions commonly include lighting upgrades and controls, heating and cooling efficiency improvements, building automation, water conservation measures and on-site electricity generation e.g</w:t>
      </w:r>
      <w:r w:rsidR="00CB3EC7" w:rsidRPr="00352C12">
        <w:t>.</w:t>
      </w:r>
      <w:r w:rsidR="00CB3EC7">
        <w:t xml:space="preserve"> </w:t>
      </w:r>
      <w:r w:rsidR="00352C12" w:rsidRPr="00352C12">
        <w:t>co-generation and tri-generation.</w:t>
      </w:r>
    </w:p>
    <w:p w14:paraId="7E3F05FA" w14:textId="77777777" w:rsidR="00352C12" w:rsidRDefault="003C69D9" w:rsidP="00352C12">
      <w:pPr>
        <w:pStyle w:val="BodyText"/>
      </w:pPr>
      <w:r>
        <w:t>S</w:t>
      </w:r>
      <w:r w:rsidR="00352C12">
        <w:t xml:space="preserve">ervice providers not only design and install energy and water saving solutions, but </w:t>
      </w:r>
      <w:r>
        <w:t>must</w:t>
      </w:r>
      <w:r w:rsidR="00352C12">
        <w:t xml:space="preserve"> guarantee annual cost savings</w:t>
      </w:r>
      <w:r w:rsidR="00CB3EC7">
        <w:t xml:space="preserve">. </w:t>
      </w:r>
      <w:r w:rsidR="00352C12">
        <w:t>The presence of this guarantee not only provides greater certainty that energy and water savings will be achieved, but enables the project costs to be financed, with annual cost savings used to repay the loan over the life of the investment.</w:t>
      </w:r>
    </w:p>
    <w:p w14:paraId="52D54B65" w14:textId="77777777" w:rsidR="00BF393B" w:rsidRDefault="00352C12" w:rsidP="00352C12">
      <w:pPr>
        <w:pStyle w:val="BodyText"/>
      </w:pPr>
      <w:r>
        <w:lastRenderedPageBreak/>
        <w:t>Under the program’s competitive tender process, contracts are awarded to the provider that identifies the greatest savings over a seven year payback period.</w:t>
      </w:r>
    </w:p>
    <w:p w14:paraId="5BBA3A08" w14:textId="77777777" w:rsidR="006B13AD" w:rsidRDefault="006B13AD" w:rsidP="007444A0">
      <w:pPr>
        <w:pStyle w:val="Heading4"/>
      </w:pPr>
      <w:r>
        <w:t>Local government programs</w:t>
      </w:r>
    </w:p>
    <w:p w14:paraId="125124AB" w14:textId="77777777" w:rsidR="008B5527" w:rsidRDefault="008B5527" w:rsidP="008B5527">
      <w:pPr>
        <w:pStyle w:val="BodyText"/>
      </w:pPr>
      <w:r>
        <w:t xml:space="preserve">In several local government areas in New South Wales and in the City of Melbourne, </w:t>
      </w:r>
      <w:r w:rsidRPr="00A83614">
        <w:rPr>
          <w:b/>
        </w:rPr>
        <w:t>Environmental Upgrade Agreements (EUAs)</w:t>
      </w:r>
      <w:r>
        <w:t xml:space="preserve"> make it easier to access finance for environmental improvements to existing commercial, industrial, strata scheme and large multi-unit residential buildings</w:t>
      </w:r>
      <w:r w:rsidR="00CB3EC7">
        <w:t xml:space="preserve">. </w:t>
      </w:r>
      <w:r>
        <w:t>Under an EUA, a finance provider lends funds to a building owner for water, energy and other environmental upgrades and this low-risk loan is repaid through a local council charge on the land</w:t>
      </w:r>
      <w:r w:rsidR="00CB3EC7">
        <w:t xml:space="preserve">. </w:t>
      </w:r>
      <w:r>
        <w:t>Tenants of commercial buildings can be asked to contribute to the costs</w:t>
      </w:r>
      <w:r w:rsidR="00CB3EC7">
        <w:t xml:space="preserve">. </w:t>
      </w:r>
      <w:r>
        <w:t>However, these additional costs must be offset by their reduced energy and water bills.</w:t>
      </w:r>
    </w:p>
    <w:p w14:paraId="4DF86CD7" w14:textId="77777777" w:rsidR="008B5527" w:rsidRDefault="008B5527" w:rsidP="008B5527">
      <w:pPr>
        <w:pStyle w:val="BodyText"/>
      </w:pPr>
      <w:r>
        <w:t>EUA loans are secured, making it possible to access capital for retrofits at a competitive rate, over a longe</w:t>
      </w:r>
      <w:r w:rsidR="00E55DEF">
        <w:t>r term and for larger projects.</w:t>
      </w:r>
    </w:p>
    <w:p w14:paraId="4E746133" w14:textId="77777777" w:rsidR="008B5527" w:rsidRDefault="008B5527" w:rsidP="008B5527">
      <w:pPr>
        <w:pStyle w:val="BodyText"/>
      </w:pPr>
      <w:r>
        <w:t>The loan is tied to the property and does not increase the personal debt of building owners</w:t>
      </w:r>
      <w:r w:rsidR="00CB3EC7">
        <w:t xml:space="preserve">. </w:t>
      </w:r>
      <w:r>
        <w:t>If the property is sold, the environmental upgrade charge may be transferred to the new owner.</w:t>
      </w:r>
    </w:p>
    <w:p w14:paraId="61C1CD59" w14:textId="77777777" w:rsidR="008B5527" w:rsidRDefault="008B5527" w:rsidP="008B5527">
      <w:pPr>
        <w:pStyle w:val="BodyText"/>
      </w:pPr>
      <w:r>
        <w:t xml:space="preserve">The operation of </w:t>
      </w:r>
      <w:proofErr w:type="gramStart"/>
      <w:r>
        <w:t>an</w:t>
      </w:r>
      <w:proofErr w:type="gramEnd"/>
      <w:r>
        <w:t xml:space="preserve"> EUA is illustrated in </w:t>
      </w:r>
      <w:r w:rsidR="00492194">
        <w:fldChar w:fldCharType="begin"/>
      </w:r>
      <w:r>
        <w:instrText xml:space="preserve"> REF _Ref409014727 \h </w:instrText>
      </w:r>
      <w:r w:rsidR="00492194">
        <w:fldChar w:fldCharType="separate"/>
      </w:r>
      <w:r w:rsidR="006A273E">
        <w:t xml:space="preserve">Figure </w:t>
      </w:r>
      <w:r w:rsidR="006A273E">
        <w:rPr>
          <w:noProof/>
        </w:rPr>
        <w:t>8</w:t>
      </w:r>
      <w:r w:rsidR="00492194">
        <w:fldChar w:fldCharType="end"/>
      </w:r>
    </w:p>
    <w:p w14:paraId="62EFB7C8" w14:textId="77777777" w:rsidR="008B5527" w:rsidRDefault="008B5527" w:rsidP="008B5527">
      <w:pPr>
        <w:pStyle w:val="Caption"/>
      </w:pPr>
      <w:bookmarkStart w:id="76" w:name="_Ref409014727"/>
      <w:bookmarkStart w:id="77" w:name="_Toc415660953"/>
      <w:r>
        <w:t xml:space="preserve">Figure </w:t>
      </w:r>
      <w:r w:rsidR="00492194">
        <w:fldChar w:fldCharType="begin"/>
      </w:r>
      <w:r w:rsidR="0044208C">
        <w:instrText xml:space="preserve"> SEQ Figure \* ARABIC </w:instrText>
      </w:r>
      <w:r w:rsidR="00492194">
        <w:fldChar w:fldCharType="separate"/>
      </w:r>
      <w:r w:rsidR="006A273E">
        <w:rPr>
          <w:noProof/>
        </w:rPr>
        <w:t>8</w:t>
      </w:r>
      <w:r w:rsidR="00492194">
        <w:rPr>
          <w:noProof/>
        </w:rPr>
        <w:fldChar w:fldCharType="end"/>
      </w:r>
      <w:bookmarkEnd w:id="76"/>
      <w:r w:rsidRPr="004E0C91">
        <w:rPr>
          <w:b/>
          <w:color w:val="000080"/>
        </w:rPr>
        <w:tab/>
      </w:r>
      <w:r>
        <w:rPr>
          <w:rStyle w:val="CaptionLabel"/>
        </w:rPr>
        <w:t>Operation of Environmental Upgrade Agreements</w:t>
      </w:r>
      <w:bookmarkEnd w:id="77"/>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8B5527" w14:paraId="075C851B" w14:textId="77777777">
        <w:trPr>
          <w:cantSplit/>
        </w:trPr>
        <w:tc>
          <w:tcPr>
            <w:tcW w:w="5000" w:type="pct"/>
          </w:tcPr>
          <w:p w14:paraId="216A5571" w14:textId="77777777" w:rsidR="008B5527" w:rsidRDefault="008B5527" w:rsidP="0067461E">
            <w:pPr>
              <w:pStyle w:val="SmallDeltasRightAligned"/>
              <w:keepNext/>
            </w:pPr>
            <w:r>
              <w:rPr>
                <w:noProof/>
                <w:lang w:eastAsia="en-AU"/>
              </w:rPr>
              <w:drawing>
                <wp:inline distT="0" distB="0" distL="0" distR="0" wp14:anchorId="2DD920AE" wp14:editId="3135D70A">
                  <wp:extent cx="481585" cy="234696"/>
                  <wp:effectExtent l="0" t="0" r="0" b="0"/>
                  <wp:docPr id="54" name="Picture 54"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8B5527" w14:paraId="3B122C93" w14:textId="77777777">
        <w:trPr>
          <w:cantSplit/>
        </w:trPr>
        <w:tc>
          <w:tcPr>
            <w:tcW w:w="5000" w:type="pct"/>
          </w:tcPr>
          <w:p w14:paraId="036B0101" w14:textId="77777777" w:rsidR="008B5527" w:rsidRDefault="008B5527" w:rsidP="0067461E">
            <w:pPr>
              <w:pStyle w:val="Figure"/>
            </w:pPr>
            <w:r>
              <w:rPr>
                <w:noProof/>
                <w:lang w:eastAsia="en-AU"/>
              </w:rPr>
              <w:drawing>
                <wp:inline distT="0" distB="0" distL="0" distR="0" wp14:anchorId="676A6C35" wp14:editId="5DB3E111">
                  <wp:extent cx="4680585" cy="2763520"/>
                  <wp:effectExtent l="0" t="0" r="5715" b="0"/>
                  <wp:docPr id="55" name="Picture 55" descr="Operation of Environmental Upgrade Agreements" title="Operation of Environmental Upgrade Agre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80585" cy="2763520"/>
                          </a:xfrm>
                          <a:prstGeom prst="rect">
                            <a:avLst/>
                          </a:prstGeom>
                        </pic:spPr>
                      </pic:pic>
                    </a:graphicData>
                  </a:graphic>
                </wp:inline>
              </w:drawing>
            </w:r>
          </w:p>
        </w:tc>
      </w:tr>
    </w:tbl>
    <w:p w14:paraId="4344D97F" w14:textId="77777777" w:rsidR="008B5527" w:rsidRPr="00B50A1B" w:rsidRDefault="008B5527" w:rsidP="008B5527">
      <w:pPr>
        <w:pStyle w:val="Source"/>
        <w:rPr>
          <w:i/>
        </w:rPr>
      </w:pPr>
      <w:r>
        <w:t>S</w:t>
      </w:r>
      <w:r w:rsidRPr="00B50A1B">
        <w:t>ource:</w:t>
      </w:r>
      <w:r w:rsidRPr="00954EED">
        <w:t xml:space="preserve"> </w:t>
      </w:r>
      <w:r>
        <w:t>NSW Office of Environment and Heritage</w:t>
      </w:r>
    </w:p>
    <w:p w14:paraId="4358ABA9" w14:textId="77777777" w:rsidR="008B5527" w:rsidRDefault="008B5527" w:rsidP="008B5527">
      <w:pPr>
        <w:pStyle w:val="BodyText"/>
      </w:pPr>
      <w:proofErr w:type="spellStart"/>
      <w:r w:rsidRPr="005F0932">
        <w:rPr>
          <w:b/>
        </w:rPr>
        <w:t>CitySwitch</w:t>
      </w:r>
      <w:proofErr w:type="spellEnd"/>
      <w:r>
        <w:t xml:space="preserve"> is a no-cost service offered by selected governments in the capital cities of New South Wales, Victoria, Queensland, South Australia and Western Australia</w:t>
      </w:r>
      <w:r w:rsidR="00663716">
        <w:t>,</w:t>
      </w:r>
      <w:r>
        <w:t xml:space="preserve"> which supports commercial office tenants to improve office energy efficiency through the provision of a range of services, with the ultimate aim of achieving a 4 star or higher NABERS Energy rating.</w:t>
      </w:r>
    </w:p>
    <w:p w14:paraId="3BBE5A05" w14:textId="77777777" w:rsidR="008B5527" w:rsidRDefault="008B5527" w:rsidP="008B5527">
      <w:pPr>
        <w:pStyle w:val="BodyText"/>
      </w:pPr>
      <w:r>
        <w:t>The program aims to:</w:t>
      </w:r>
    </w:p>
    <w:p w14:paraId="109053AD" w14:textId="77777777" w:rsidR="008B5527" w:rsidRDefault="008B5527" w:rsidP="008B5527">
      <w:pPr>
        <w:pStyle w:val="ListDash"/>
      </w:pPr>
      <w:r>
        <w:t>educate and inspire with an event series and through the provision of toolkits, workbooks, case studies and site tours</w:t>
      </w:r>
    </w:p>
    <w:p w14:paraId="0BE6CFDE" w14:textId="77777777" w:rsidR="008B5527" w:rsidRDefault="008B5527" w:rsidP="008B5527">
      <w:pPr>
        <w:pStyle w:val="ListDash"/>
      </w:pPr>
      <w:r>
        <w:lastRenderedPageBreak/>
        <w:t>facilitate links to other programs, information sources, industry bod</w:t>
      </w:r>
      <w:r w:rsidR="0032077F">
        <w:t>ies and communities of interest</w:t>
      </w:r>
    </w:p>
    <w:p w14:paraId="30C13E15" w14:textId="77777777" w:rsidR="008B5527" w:rsidRDefault="008B5527" w:rsidP="008B5527">
      <w:pPr>
        <w:pStyle w:val="ListDash"/>
      </w:pPr>
      <w:r>
        <w:t>signpost to incentives and financial vehicles that are available to expedite the uptake of energy efficiency investments</w:t>
      </w:r>
    </w:p>
    <w:p w14:paraId="00777B95" w14:textId="1922BCC4" w:rsidR="008B5527" w:rsidRDefault="008B5527" w:rsidP="008B5527">
      <w:pPr>
        <w:pStyle w:val="ListDash"/>
      </w:pPr>
      <w:r>
        <w:t>celebrate and reward leadership and achievement in energy efficiency though its annual awards and ongoing member</w:t>
      </w:r>
      <w:r w:rsidR="00344587">
        <w:t xml:space="preserve"> promotions</w:t>
      </w:r>
      <w:r>
        <w:t>.</w:t>
      </w:r>
    </w:p>
    <w:p w14:paraId="02CCAF57" w14:textId="6702BA74" w:rsidR="008B5527" w:rsidRDefault="008B5527" w:rsidP="008B5527">
      <w:pPr>
        <w:pStyle w:val="BodyText"/>
      </w:pPr>
      <w:r>
        <w:t>This structured approach to planning and implementing energy efficiency projects saves signatories time and money and helps build their internal capacity to embed sustainability within their corporate structure.</w:t>
      </w:r>
    </w:p>
    <w:p w14:paraId="016F5688" w14:textId="77777777" w:rsidR="002139B0" w:rsidRDefault="006B13AD" w:rsidP="00794AAA">
      <w:pPr>
        <w:pStyle w:val="BodyText"/>
      </w:pPr>
      <w:r>
        <w:t>Developed and run by the City of Melbourne (which aims to be carbon neutral by 2020), t</w:t>
      </w:r>
      <w:r w:rsidRPr="006B13AD">
        <w:t xml:space="preserve">he </w:t>
      </w:r>
      <w:r w:rsidRPr="007444A0">
        <w:rPr>
          <w:b/>
        </w:rPr>
        <w:t>1200 Buildings</w:t>
      </w:r>
      <w:r w:rsidRPr="006B13AD">
        <w:t xml:space="preserve"> program aims to encourage and support </w:t>
      </w:r>
      <w:r w:rsidR="003348DF" w:rsidRPr="006B13AD">
        <w:t xml:space="preserve">commercial </w:t>
      </w:r>
      <w:r w:rsidRPr="006B13AD">
        <w:t xml:space="preserve">building owners </w:t>
      </w:r>
      <w:r w:rsidR="003348DF" w:rsidRPr="006B13AD">
        <w:t xml:space="preserve">and </w:t>
      </w:r>
      <w:r w:rsidRPr="006B13AD">
        <w:t>managers to improve the</w:t>
      </w:r>
      <w:r w:rsidR="003348DF">
        <w:t>ir</w:t>
      </w:r>
      <w:r w:rsidRPr="006B13AD">
        <w:t xml:space="preserve"> energy</w:t>
      </w:r>
      <w:r w:rsidR="003348DF">
        <w:t xml:space="preserve"> and </w:t>
      </w:r>
      <w:r w:rsidRPr="006B13AD">
        <w:t xml:space="preserve">water efficiency and reduce </w:t>
      </w:r>
      <w:r w:rsidR="003348DF">
        <w:t xml:space="preserve">the amount of </w:t>
      </w:r>
      <w:r w:rsidRPr="006B13AD">
        <w:t>waste</w:t>
      </w:r>
      <w:r w:rsidR="003348DF">
        <w:t xml:space="preserve"> they send</w:t>
      </w:r>
      <w:r w:rsidRPr="006B13AD">
        <w:t xml:space="preserve"> to landfill in the municipality of Melbourne.</w:t>
      </w:r>
    </w:p>
    <w:p w14:paraId="275747AE" w14:textId="77777777" w:rsidR="009134F0" w:rsidRDefault="009134F0" w:rsidP="009134F0">
      <w:pPr>
        <w:pStyle w:val="BodyText"/>
      </w:pPr>
      <w:r>
        <w:t>Signatories to the program have exclusive use of the 1200 Buildings logo to promote their retrofit projects to prospective tenants, shareholders and the community</w:t>
      </w:r>
      <w:r w:rsidR="00CB3EC7">
        <w:t xml:space="preserve">. </w:t>
      </w:r>
      <w:r>
        <w:t>They are also eligible for Environmental Upgrade Finance (EUF),</w:t>
      </w:r>
      <w:r w:rsidR="000D0A78">
        <w:t xml:space="preserve"> </w:t>
      </w:r>
      <w:r>
        <w:t>a financial assistance mechanism that increases access to competitive finance</w:t>
      </w:r>
      <w:r w:rsidR="00CB3EC7">
        <w:t xml:space="preserve">. </w:t>
      </w:r>
      <w:r w:rsidR="003348DF">
        <w:t xml:space="preserve">They also </w:t>
      </w:r>
      <w:r>
        <w:t>receive updates on industry approaches, funding initiatives and case studies</w:t>
      </w:r>
      <w:r w:rsidR="00CB3EC7">
        <w:t xml:space="preserve">. </w:t>
      </w:r>
      <w:r>
        <w:t xml:space="preserve">Skills building events that encourage training and engagement </w:t>
      </w:r>
      <w:r w:rsidR="003348DF">
        <w:t xml:space="preserve">are also </w:t>
      </w:r>
      <w:r>
        <w:t>delivered through the program in partnership with industry associations.</w:t>
      </w:r>
    </w:p>
    <w:p w14:paraId="5A65A61D" w14:textId="77777777" w:rsidR="009134F0" w:rsidRDefault="00DA1648" w:rsidP="007444A0">
      <w:pPr>
        <w:pStyle w:val="Heading4"/>
      </w:pPr>
      <w:r>
        <w:t>Private industry programs</w:t>
      </w:r>
    </w:p>
    <w:p w14:paraId="08A27BD8" w14:textId="77777777" w:rsidR="00794AAA" w:rsidRDefault="00DA1648" w:rsidP="00794AAA">
      <w:pPr>
        <w:pStyle w:val="BodyText"/>
      </w:pPr>
      <w:r>
        <w:t xml:space="preserve">Developed and administered by the Green Building Council of Australia (GBCA), </w:t>
      </w:r>
      <w:r w:rsidRPr="007444A0">
        <w:rPr>
          <w:b/>
        </w:rPr>
        <w:t>Green Star</w:t>
      </w:r>
      <w:r w:rsidRPr="00DA1648">
        <w:t xml:space="preserve"> is a national voluntary environmental rating system that evaluates the environmental design and construction of buildings and communities.</w:t>
      </w:r>
    </w:p>
    <w:p w14:paraId="5C75CC68" w14:textId="77777777" w:rsidR="0029057D" w:rsidRDefault="00DA1648" w:rsidP="00DA1648">
      <w:pPr>
        <w:pStyle w:val="BodyText"/>
      </w:pPr>
      <w:r w:rsidRPr="00DA1648">
        <w:t>Green Star has built on existing systems and tools in overseas markets including the British BREEAM (Building Research Establishment Environmental Assessment Method) system and the North American LEED (Leadership in Energy and Environmental Design) system</w:t>
      </w:r>
      <w:r w:rsidR="000A50BF" w:rsidRPr="00DA1648">
        <w:t>.</w:t>
      </w:r>
    </w:p>
    <w:p w14:paraId="2E2FA1CD" w14:textId="77777777" w:rsidR="00DA1648" w:rsidRDefault="00DA1648" w:rsidP="00DA1648">
      <w:pPr>
        <w:pStyle w:val="BodyText"/>
      </w:pPr>
      <w:r>
        <w:t>The Green Star rating tools assess building or community projects against a number of categories</w:t>
      </w:r>
      <w:r w:rsidR="00CB3EC7">
        <w:t xml:space="preserve">. </w:t>
      </w:r>
      <w:r>
        <w:t xml:space="preserve">These categories allow for a determination to </w:t>
      </w:r>
      <w:r w:rsidR="003348DF">
        <w:t xml:space="preserve">be </w:t>
      </w:r>
      <w:r>
        <w:t>made on the environmental impact of a project's site selection, design, construction, maintenance etc</w:t>
      </w:r>
      <w:r w:rsidR="00CB3EC7">
        <w:t xml:space="preserve">. </w:t>
      </w:r>
      <w:r>
        <w:t>The nine</w:t>
      </w:r>
      <w:r w:rsidR="0029057D">
        <w:t xml:space="preserve"> categories included within the </w:t>
      </w:r>
      <w:r>
        <w:t>rating tools are: Management, Indoor Environment Quality, Energy, Transport, Water, Materials, Land Use &amp; Ecology, Emissions and Innovation.</w:t>
      </w:r>
    </w:p>
    <w:p w14:paraId="745EFE26" w14:textId="77777777" w:rsidR="00F31F8C" w:rsidRDefault="00F31F8C" w:rsidP="00DA1648">
      <w:pPr>
        <w:pStyle w:val="BodyText"/>
      </w:pPr>
      <w:r>
        <w:t>Green Star is complementary to the NABERS rating system that is an integral part of the CBD program</w:t>
      </w:r>
      <w:r w:rsidR="00CB3EC7">
        <w:t xml:space="preserve">. </w:t>
      </w:r>
      <w:r>
        <w:t>While Green Star assesses the design of office buildings from an environmental perspective, the NABERS measures their ongoing operational energy efficiency</w:t>
      </w:r>
      <w:r w:rsidR="00CB3EC7">
        <w:t xml:space="preserve">. </w:t>
      </w:r>
      <w:r>
        <w:t xml:space="preserve">NABERS is discussed in </w:t>
      </w:r>
      <w:r w:rsidR="003348DF">
        <w:t xml:space="preserve">more </w:t>
      </w:r>
      <w:r>
        <w:t>detail in the next chapter of this report.</w:t>
      </w:r>
    </w:p>
    <w:p w14:paraId="7B48FF59" w14:textId="77777777" w:rsidR="007C12E4" w:rsidRDefault="007C12E4" w:rsidP="007C12E4">
      <w:pPr>
        <w:pStyle w:val="Heading3"/>
      </w:pPr>
      <w:bookmarkStart w:id="78" w:name="_Toc415660841"/>
      <w:r>
        <w:t>Other factors affecting building energy efficiency</w:t>
      </w:r>
      <w:bookmarkEnd w:id="78"/>
    </w:p>
    <w:p w14:paraId="3A78E9CD" w14:textId="77777777" w:rsidR="004306F0" w:rsidRDefault="004306F0" w:rsidP="004306F0">
      <w:pPr>
        <w:pStyle w:val="BodyText"/>
      </w:pPr>
      <w:bookmarkStart w:id="79" w:name="_Ref409622655"/>
      <w:r>
        <w:t>There are also strong commercial drivers for improving energy efficiency in commercial buildings</w:t>
      </w:r>
      <w:r w:rsidR="00CB3EC7">
        <w:t xml:space="preserve">. </w:t>
      </w:r>
      <w:r>
        <w:t>These natural incentives drive ‘autonomous’ energy efficiency improvement</w:t>
      </w:r>
      <w:r w:rsidR="00CB3EC7">
        <w:t xml:space="preserve">. </w:t>
      </w:r>
      <w:r>
        <w:t>Some of the commercial drivers for energy efficiency include:</w:t>
      </w:r>
    </w:p>
    <w:p w14:paraId="4BAE29AD" w14:textId="77777777" w:rsidR="004306F0" w:rsidRDefault="004306F0" w:rsidP="004306F0">
      <w:pPr>
        <w:pStyle w:val="ListDash"/>
      </w:pPr>
      <w:r>
        <w:t>Rising energy costs: Retail electricity and gas cost</w:t>
      </w:r>
      <w:r w:rsidR="001959BF">
        <w:t>s</w:t>
      </w:r>
      <w:r>
        <w:t xml:space="preserve"> have increased significantly in real terms over the last decade</w:t>
      </w:r>
      <w:r w:rsidR="00CB3EC7">
        <w:t xml:space="preserve">. </w:t>
      </w:r>
      <w:r>
        <w:t>This has encouraged the adoption of more efficient building design, operation and equipment to save energy costs.</w:t>
      </w:r>
    </w:p>
    <w:p w14:paraId="7381A145" w14:textId="77777777" w:rsidR="004306F0" w:rsidRDefault="004306F0" w:rsidP="004306F0">
      <w:pPr>
        <w:pStyle w:val="ListDash"/>
      </w:pPr>
      <w:r>
        <w:lastRenderedPageBreak/>
        <w:t>P</w:t>
      </w:r>
      <w:r w:rsidRPr="007C12E4">
        <w:t xml:space="preserve">erceived </w:t>
      </w:r>
      <w:r>
        <w:t>benefits of green buildings: Our assessment of the ‘green premium’ and the productivity benefits from improving energy efficiency showed that although the extent of benefit is uncertain, there appears to be a willingness to pay for greener office space.</w:t>
      </w:r>
    </w:p>
    <w:p w14:paraId="4F14C296" w14:textId="77777777" w:rsidR="004306F0" w:rsidRDefault="004306F0" w:rsidP="004306F0">
      <w:pPr>
        <w:pStyle w:val="ListDash"/>
      </w:pPr>
      <w:r>
        <w:t>Improved investment marketability: Energy efficiency performance provides a point of distinction during the sale of commercial buildings</w:t>
      </w:r>
      <w:r w:rsidR="00CB3EC7">
        <w:t xml:space="preserve">. </w:t>
      </w:r>
      <w:r>
        <w:t>Stakeholder consultations indicated that NABERS ratings are valued by Australian as well as international investors.</w:t>
      </w:r>
    </w:p>
    <w:p w14:paraId="6A79CB55" w14:textId="77777777" w:rsidR="007C12E4" w:rsidRDefault="00516CE3" w:rsidP="00AE5E08">
      <w:pPr>
        <w:pStyle w:val="Heading1"/>
      </w:pPr>
      <w:bookmarkStart w:id="80" w:name="_Toc415660842"/>
      <w:r>
        <w:lastRenderedPageBreak/>
        <w:t xml:space="preserve">Commercial </w:t>
      </w:r>
      <w:r w:rsidR="00932504">
        <w:t>building energy efficiency disclosure</w:t>
      </w:r>
      <w:bookmarkEnd w:id="79"/>
      <w:bookmarkEnd w:id="80"/>
    </w:p>
    <w:p w14:paraId="5D7A69B9" w14:textId="77777777" w:rsidR="00AE5E08" w:rsidRDefault="00932504" w:rsidP="00AE5E08">
      <w:pPr>
        <w:pStyle w:val="Heading2"/>
      </w:pPr>
      <w:bookmarkStart w:id="81" w:name="_Toc415660843"/>
      <w:r>
        <w:t xml:space="preserve">Overview of the </w:t>
      </w:r>
      <w:r w:rsidR="00AE5E08">
        <w:t>CBD</w:t>
      </w:r>
      <w:r>
        <w:t xml:space="preserve"> program</w:t>
      </w:r>
      <w:bookmarkEnd w:id="81"/>
    </w:p>
    <w:p w14:paraId="3C36C2FC" w14:textId="6596717B" w:rsidR="0062409E" w:rsidRDefault="0062409E" w:rsidP="0062409E">
      <w:pPr>
        <w:pStyle w:val="BodyText"/>
      </w:pPr>
      <w:r>
        <w:t xml:space="preserve">The CBD program was introduced in 2010 and fully implemented in 2011 as part of a combination of measures </w:t>
      </w:r>
      <w:r w:rsidR="00612815">
        <w:t xml:space="preserve">employed </w:t>
      </w:r>
      <w:r>
        <w:t>to drive energy efficiency improvements in commercial buildings.</w:t>
      </w:r>
    </w:p>
    <w:p w14:paraId="1BE32327" w14:textId="578C730B" w:rsidR="0062409E" w:rsidRPr="0062409E" w:rsidRDefault="0062409E" w:rsidP="0062409E">
      <w:pPr>
        <w:pStyle w:val="BodyText"/>
      </w:pPr>
      <w:r>
        <w:t>The CBD program requires building owners to disclose information about the energy efficiency of large commercial office buildings (2,000 square met</w:t>
      </w:r>
      <w:r w:rsidR="00612815">
        <w:t>re</w:t>
      </w:r>
      <w:r>
        <w:t>s or more) at the time of sale, lease or sublease</w:t>
      </w:r>
      <w:r w:rsidR="00CB3EC7">
        <w:t xml:space="preserve">. </w:t>
      </w:r>
      <w:r>
        <w:t xml:space="preserve">To meet the program requirements building owners need to obtain a </w:t>
      </w:r>
      <w:r w:rsidR="00E423F8">
        <w:t>B</w:t>
      </w:r>
      <w:r>
        <w:t xml:space="preserve">uilding </w:t>
      </w:r>
      <w:r w:rsidR="00E423F8">
        <w:t>E</w:t>
      </w:r>
      <w:r>
        <w:t xml:space="preserve">nergy </w:t>
      </w:r>
      <w:r w:rsidR="00E423F8">
        <w:t>E</w:t>
      </w:r>
      <w:r>
        <w:t xml:space="preserve">fficiency </w:t>
      </w:r>
      <w:r w:rsidR="00E423F8">
        <w:t>C</w:t>
      </w:r>
      <w:r>
        <w:t>ertificate (BEEC).</w:t>
      </w:r>
    </w:p>
    <w:p w14:paraId="73C84E54" w14:textId="77777777" w:rsidR="00AE5E08" w:rsidRDefault="00AE5E08" w:rsidP="00AE5E08">
      <w:pPr>
        <w:pStyle w:val="Heading3"/>
      </w:pPr>
      <w:bookmarkStart w:id="82" w:name="_Toc415660844"/>
      <w:r>
        <w:t>BEEC</w:t>
      </w:r>
      <w:bookmarkEnd w:id="82"/>
    </w:p>
    <w:p w14:paraId="6671F170" w14:textId="77777777" w:rsidR="0062409E" w:rsidRDefault="0062409E" w:rsidP="0062409E">
      <w:pPr>
        <w:pStyle w:val="BodyText"/>
      </w:pPr>
      <w:r>
        <w:t xml:space="preserve">A BEEC has three components: </w:t>
      </w:r>
    </w:p>
    <w:p w14:paraId="3C483885" w14:textId="77777777" w:rsidR="0062409E" w:rsidRDefault="0062409E" w:rsidP="0062409E">
      <w:pPr>
        <w:pStyle w:val="ListDash"/>
      </w:pPr>
      <w:r>
        <w:t xml:space="preserve">an energy efficiency star rating for the office building </w:t>
      </w:r>
      <w:r w:rsidR="00E423F8">
        <w:t>using the</w:t>
      </w:r>
      <w:r>
        <w:t xml:space="preserve"> National Australian Building Environment Rating System (NABERS)</w:t>
      </w:r>
    </w:p>
    <w:p w14:paraId="39AD1032" w14:textId="77777777" w:rsidR="0062409E" w:rsidRDefault="0062409E" w:rsidP="0062409E">
      <w:pPr>
        <w:pStyle w:val="ListDash"/>
      </w:pPr>
      <w:r>
        <w:t>information about the energy efficiency of the office lighting</w:t>
      </w:r>
      <w:r w:rsidR="00E423F8">
        <w:t>, contained in the</w:t>
      </w:r>
      <w:r>
        <w:t xml:space="preserve"> Tenant Lighting Assessment (TLA)</w:t>
      </w:r>
    </w:p>
    <w:p w14:paraId="3F532BC0" w14:textId="77777777" w:rsidR="0062409E" w:rsidRDefault="0062409E" w:rsidP="0062409E">
      <w:pPr>
        <w:pStyle w:val="ListDash"/>
      </w:pPr>
      <w:r>
        <w:t>generic guidance on how the energy efficiency of the office could be improved</w:t>
      </w:r>
      <w:r w:rsidR="00CB3EC7">
        <w:t xml:space="preserve">. </w:t>
      </w:r>
    </w:p>
    <w:p w14:paraId="74C23991" w14:textId="42265466" w:rsidR="0062409E" w:rsidRDefault="0062409E" w:rsidP="0062409E">
      <w:pPr>
        <w:pStyle w:val="BodyText"/>
      </w:pPr>
      <w:r>
        <w:t>The BEEC enables potential purchasers or lessees to include consideration of a building’s energy efficiency as part of their decision-making processes</w:t>
      </w:r>
      <w:r w:rsidR="00CB3EC7">
        <w:t xml:space="preserve">. </w:t>
      </w:r>
      <w:r>
        <w:t>In so doing, the CBD program provides the market with information that raises the profile of the building’s energy efficiency in the decision</w:t>
      </w:r>
      <w:r w:rsidR="00612815">
        <w:t>-</w:t>
      </w:r>
      <w:r>
        <w:t>making process and therefore</w:t>
      </w:r>
      <w:r w:rsidR="00612815">
        <w:t>,</w:t>
      </w:r>
      <w:r>
        <w:t xml:space="preserve"> should over time encourage energy efficiency improvements to be made</w:t>
      </w:r>
      <w:r w:rsidR="00CB3EC7">
        <w:t xml:space="preserve">. </w:t>
      </w:r>
      <w:r>
        <w:t>BEECs</w:t>
      </w:r>
      <w:r w:rsidR="00E423F8">
        <w:t xml:space="preserve"> are valid for up to 12 months.</w:t>
      </w:r>
    </w:p>
    <w:p w14:paraId="5A276131" w14:textId="77777777" w:rsidR="00E423F8" w:rsidRDefault="00E423F8" w:rsidP="00E423F8">
      <w:pPr>
        <w:pStyle w:val="BodyText"/>
      </w:pPr>
      <w:r>
        <w:t xml:space="preserve">There are nine steps involved in complying with the CBD program and associated legal obligations under the </w:t>
      </w:r>
      <w:r w:rsidR="00492194" w:rsidRPr="00104113">
        <w:rPr>
          <w:i/>
        </w:rPr>
        <w:t>Building Energy Efficiency Disclosure Act 2010</w:t>
      </w:r>
      <w:r>
        <w:t>:</w:t>
      </w:r>
    </w:p>
    <w:p w14:paraId="33C875D6" w14:textId="77777777" w:rsidR="00E423F8" w:rsidRDefault="00E423F8" w:rsidP="00575CB9">
      <w:pPr>
        <w:pStyle w:val="ListNumber"/>
        <w:numPr>
          <w:ilvl w:val="0"/>
          <w:numId w:val="39"/>
        </w:numPr>
      </w:pPr>
      <w:r>
        <w:t>Confirmation that a building is likely to be affected.</w:t>
      </w:r>
    </w:p>
    <w:p w14:paraId="2C5D4ED6" w14:textId="77777777" w:rsidR="00E423F8" w:rsidRDefault="00E423F8" w:rsidP="00E423F8">
      <w:pPr>
        <w:pStyle w:val="ListNumber"/>
        <w:numPr>
          <w:ilvl w:val="0"/>
          <w:numId w:val="30"/>
        </w:numPr>
      </w:pPr>
      <w:r>
        <w:t>Determination if the building, or area of the building, is disclosure affected.</w:t>
      </w:r>
    </w:p>
    <w:p w14:paraId="12A63525" w14:textId="77777777" w:rsidR="00E423F8" w:rsidRDefault="00E423F8" w:rsidP="00E423F8">
      <w:pPr>
        <w:pStyle w:val="ListNumber"/>
        <w:numPr>
          <w:ilvl w:val="0"/>
          <w:numId w:val="30"/>
        </w:numPr>
      </w:pPr>
      <w:r>
        <w:t>Check if the building already has a current Building Energy Efficiency Certificate (BEEC) that covers the area available for sale, lease or sublease</w:t>
      </w:r>
      <w:r w:rsidR="00CB3EC7">
        <w:t xml:space="preserve">. </w:t>
      </w:r>
      <w:r>
        <w:t>Search the Building Energy Efficiency Register</w:t>
      </w:r>
      <w:r w:rsidR="00CB3EC7">
        <w:t xml:space="preserve">. </w:t>
      </w:r>
    </w:p>
    <w:p w14:paraId="0D519846" w14:textId="77777777" w:rsidR="00E423F8" w:rsidRDefault="00E423F8" w:rsidP="00E423F8">
      <w:pPr>
        <w:pStyle w:val="ListNumber"/>
        <w:numPr>
          <w:ilvl w:val="0"/>
          <w:numId w:val="30"/>
        </w:numPr>
      </w:pPr>
      <w:r>
        <w:t>If the building does not have a current BEEC, a CBD accredited assessor must be engaged to undertake the necessary assessment and to apply for a BEEC.</w:t>
      </w:r>
    </w:p>
    <w:p w14:paraId="0E4B6204" w14:textId="77777777" w:rsidR="00E423F8" w:rsidRDefault="00E423F8" w:rsidP="00E423F8">
      <w:pPr>
        <w:pStyle w:val="ListNumber"/>
        <w:numPr>
          <w:ilvl w:val="0"/>
          <w:numId w:val="30"/>
        </w:numPr>
      </w:pPr>
      <w:r>
        <w:t>The building owner or operator must provide the CBD accredited assessor with the required access to, and information about, the building or area of the building.</w:t>
      </w:r>
    </w:p>
    <w:p w14:paraId="7CFBE9D9" w14:textId="77777777" w:rsidR="00E423F8" w:rsidRDefault="00E423F8" w:rsidP="00E423F8">
      <w:pPr>
        <w:pStyle w:val="ListNumber"/>
        <w:numPr>
          <w:ilvl w:val="0"/>
          <w:numId w:val="30"/>
        </w:numPr>
      </w:pPr>
      <w:r>
        <w:t xml:space="preserve">The building owner or operator must ensure the CBD assessor submits the BEEC application to the Australian Government Department of Industry </w:t>
      </w:r>
      <w:r w:rsidR="00780F54">
        <w:t xml:space="preserve">and Science </w:t>
      </w:r>
      <w:r>
        <w:t>online via the CBD assessor portal.</w:t>
      </w:r>
    </w:p>
    <w:p w14:paraId="67472516" w14:textId="77777777" w:rsidR="00E423F8" w:rsidRDefault="00E423F8" w:rsidP="00E423F8">
      <w:pPr>
        <w:pStyle w:val="ListNumber"/>
        <w:numPr>
          <w:ilvl w:val="0"/>
          <w:numId w:val="30"/>
        </w:numPr>
      </w:pPr>
      <w:r>
        <w:lastRenderedPageBreak/>
        <w:t>When the Department approves the application, an electronic version of the BEEC is emailed to the CBD assessor, for printing and display</w:t>
      </w:r>
      <w:r w:rsidR="00CB3EC7">
        <w:t xml:space="preserve">. </w:t>
      </w:r>
      <w:r>
        <w:t>A summary and full version of the BEEC are also added to the Building Energy Efficiency Register</w:t>
      </w:r>
      <w:r w:rsidR="00612815">
        <w:t>.</w:t>
      </w:r>
    </w:p>
    <w:p w14:paraId="2F66B58E" w14:textId="77777777" w:rsidR="00E423F8" w:rsidRDefault="00E423F8" w:rsidP="00E423F8">
      <w:pPr>
        <w:pStyle w:val="ListNumber"/>
        <w:numPr>
          <w:ilvl w:val="0"/>
          <w:numId w:val="30"/>
        </w:numPr>
      </w:pPr>
      <w:r>
        <w:t>The building owner must ensure that the building’s National Australian Built Environment Rating System (NABERS) Energy star rating is included in any advertising</w:t>
      </w:r>
      <w:r w:rsidR="00CB3EC7">
        <w:t xml:space="preserve">. </w:t>
      </w:r>
    </w:p>
    <w:p w14:paraId="124FC608" w14:textId="77777777" w:rsidR="00E423F8" w:rsidRDefault="00E423F8" w:rsidP="00E423F8">
      <w:pPr>
        <w:pStyle w:val="ListNumber"/>
        <w:numPr>
          <w:ilvl w:val="0"/>
          <w:numId w:val="30"/>
        </w:numPr>
      </w:pPr>
      <w:r>
        <w:t xml:space="preserve">A </w:t>
      </w:r>
      <w:r w:rsidR="00F32740">
        <w:t xml:space="preserve">copy of the </w:t>
      </w:r>
      <w:r>
        <w:t>BEEC must be provided to prospective buyers or tenants free of charge, if requested.</w:t>
      </w:r>
    </w:p>
    <w:p w14:paraId="196CD249" w14:textId="77777777" w:rsidR="00DC500C" w:rsidRDefault="00DC500C" w:rsidP="00DC500C">
      <w:pPr>
        <w:pStyle w:val="BodyText"/>
      </w:pPr>
      <w:r>
        <w:t>In lodging a BEEC application, CBD accredited assessors can draw on the assessment results prepared by other accredited assessors (that are displayed on the Building Energy Efficiency Register) so long as the ratings are still valid and current.</w:t>
      </w:r>
    </w:p>
    <w:p w14:paraId="7ECC08E4" w14:textId="77777777" w:rsidR="00DC500C" w:rsidRDefault="00DC500C" w:rsidP="00DC500C">
      <w:pPr>
        <w:pStyle w:val="BodyText"/>
      </w:pPr>
      <w:r>
        <w:t>For example, if a building has an existing NABERS Energy rating, the CBD assessor only needs to complete a new lighting assessment and will be able to apply for a BEEC using this and the existing NABERS Energy rating</w:t>
      </w:r>
      <w:r w:rsidR="00CB3EC7">
        <w:t xml:space="preserve">. </w:t>
      </w:r>
      <w:r>
        <w:t>Similarly, if the relevant area within the building has an existing lighting assessment, then the CBD assessor only needs to complete a new NABERS Energy rating assessment and will be able to apply for a BEEC using this and the existing lighting assessment.</w:t>
      </w:r>
    </w:p>
    <w:p w14:paraId="747E12E1" w14:textId="77777777" w:rsidR="00B83AF1" w:rsidRDefault="00B83AF1" w:rsidP="00DC500C">
      <w:pPr>
        <w:pStyle w:val="BodyText"/>
      </w:pPr>
      <w:r>
        <w:t>There are exceptions to requiring a BEEC (cases where a BEEC is not required) and exemptions (cases where building owners can apply to be exempted from requiring a BEEC).</w:t>
      </w:r>
    </w:p>
    <w:p w14:paraId="23A72BEA" w14:textId="77777777" w:rsidR="00B83AF1" w:rsidRDefault="00B83AF1" w:rsidP="00DC500C">
      <w:pPr>
        <w:pStyle w:val="BodyText"/>
      </w:pPr>
      <w:r>
        <w:t>Exceptions include:</w:t>
      </w:r>
    </w:p>
    <w:p w14:paraId="5F4C7251" w14:textId="77777777" w:rsidR="00B83AF1" w:rsidRDefault="00B83AF1" w:rsidP="00B83AF1">
      <w:pPr>
        <w:pStyle w:val="ListDash"/>
      </w:pPr>
      <w:r>
        <w:t>new buildings where a certificate of occupancy (or equivalent) has either not yet been issued or was issued less than two years earlier</w:t>
      </w:r>
    </w:p>
    <w:p w14:paraId="12CA841E" w14:textId="77777777" w:rsidR="00B83AF1" w:rsidRDefault="00B83AF1" w:rsidP="00B83AF1">
      <w:pPr>
        <w:pStyle w:val="ListDash"/>
      </w:pPr>
      <w:r>
        <w:t>buildings which have completed a major refurbishment for which a certificate of occupancy (or equivalent) was issued less than two years earlier</w:t>
      </w:r>
      <w:r w:rsidR="00CB3EC7">
        <w:t xml:space="preserve">. </w:t>
      </w:r>
    </w:p>
    <w:p w14:paraId="7E3B1B95" w14:textId="77777777" w:rsidR="00B83AF1" w:rsidRDefault="00B83AF1" w:rsidP="00B83AF1">
      <w:pPr>
        <w:pStyle w:val="ListDash"/>
      </w:pPr>
      <w:r>
        <w:t>strata-titled buildings</w:t>
      </w:r>
    </w:p>
    <w:p w14:paraId="3C9E152C" w14:textId="77777777" w:rsidR="00B83AF1" w:rsidRDefault="00B83AF1" w:rsidP="003F5F13">
      <w:pPr>
        <w:pStyle w:val="ListDash"/>
      </w:pPr>
      <w:r>
        <w:t xml:space="preserve">mixed use buildings where total office space comprises less than 75 per cent of the building by </w:t>
      </w:r>
      <w:r w:rsidR="009941FC">
        <w:t>NLA</w:t>
      </w:r>
      <w:r>
        <w:t xml:space="preserve"> (or </w:t>
      </w:r>
      <w:r w:rsidR="009941FC">
        <w:t>G</w:t>
      </w:r>
      <w:r>
        <w:t xml:space="preserve">ross </w:t>
      </w:r>
      <w:r w:rsidR="009941FC">
        <w:t>L</w:t>
      </w:r>
      <w:r>
        <w:t xml:space="preserve">ettable </w:t>
      </w:r>
      <w:r w:rsidR="009941FC">
        <w:t>A</w:t>
      </w:r>
      <w:r>
        <w:t xml:space="preserve">rea if </w:t>
      </w:r>
      <w:r w:rsidR="009941FC">
        <w:t>NLA</w:t>
      </w:r>
      <w:r>
        <w:t xml:space="preserve"> is unavailable)</w:t>
      </w:r>
    </w:p>
    <w:p w14:paraId="179EFE25" w14:textId="77777777" w:rsidR="00B83AF1" w:rsidRDefault="00B83AF1" w:rsidP="00B83AF1">
      <w:pPr>
        <w:pStyle w:val="ListDash"/>
      </w:pPr>
      <w:r>
        <w:t>where the sale of a building is through the sale of shares or units or the sale of a partial interest in a building</w:t>
      </w:r>
    </w:p>
    <w:p w14:paraId="49889E05" w14:textId="77777777" w:rsidR="00B83AF1" w:rsidRDefault="00B83AF1" w:rsidP="003F5F13">
      <w:pPr>
        <w:pStyle w:val="ListDash"/>
      </w:pPr>
      <w:r>
        <w:t xml:space="preserve">leases and subleases of 12 months or less (including any option to extend), in accordance with </w:t>
      </w:r>
      <w:r w:rsidR="009941FC">
        <w:t>S</w:t>
      </w:r>
      <w:r>
        <w:t>ection 11 of the Act</w:t>
      </w:r>
      <w:r w:rsidR="00CB3EC7">
        <w:t xml:space="preserve">. </w:t>
      </w:r>
      <w:r>
        <w:t>For example, a six</w:t>
      </w:r>
      <w:r w:rsidR="009941FC">
        <w:t>-</w:t>
      </w:r>
      <w:r>
        <w:t>month lease with an option to extend for another six months would not trigger a disclosure requirement</w:t>
      </w:r>
      <w:r w:rsidR="00CB3EC7">
        <w:t xml:space="preserve">. </w:t>
      </w:r>
      <w:r>
        <w:t>However, a six</w:t>
      </w:r>
      <w:r w:rsidR="009941FC">
        <w:t>-</w:t>
      </w:r>
      <w:r>
        <w:t>month lease with an option to extend for 12 months would trigger a disclosure requirement.</w:t>
      </w:r>
    </w:p>
    <w:p w14:paraId="1922F1B9" w14:textId="77777777" w:rsidR="00BF6744" w:rsidRDefault="007D229F" w:rsidP="003F5F13">
      <w:pPr>
        <w:pStyle w:val="ListDash"/>
        <w:numPr>
          <w:ilvl w:val="0"/>
          <w:numId w:val="0"/>
        </w:numPr>
        <w:ind w:left="284" w:hanging="284"/>
      </w:pPr>
      <w:r>
        <w:t>Exemptions include:</w:t>
      </w:r>
    </w:p>
    <w:p w14:paraId="6C9FF9C1" w14:textId="77777777" w:rsidR="007D229F" w:rsidRDefault="007D229F" w:rsidP="007D229F">
      <w:pPr>
        <w:pStyle w:val="ListDash"/>
      </w:pPr>
      <w:r>
        <w:t>where the building or an area of your building is used for police or security operations</w:t>
      </w:r>
    </w:p>
    <w:p w14:paraId="503D601E" w14:textId="77777777" w:rsidR="007D229F" w:rsidRDefault="007D229F" w:rsidP="003F5F13">
      <w:pPr>
        <w:pStyle w:val="ListDash"/>
      </w:pPr>
      <w:r>
        <w:t>in cases where an energy efficiency rating cannot be assigned because of the current characteristics of the building or an area of the building.</w:t>
      </w:r>
    </w:p>
    <w:p w14:paraId="5D9D343E" w14:textId="77777777" w:rsidR="00AE5E08" w:rsidRDefault="00AE5E08" w:rsidP="00AE5E08">
      <w:pPr>
        <w:pStyle w:val="Heading3"/>
      </w:pPr>
      <w:bookmarkStart w:id="83" w:name="_Toc414439500"/>
      <w:bookmarkStart w:id="84" w:name="_Toc414443005"/>
      <w:bookmarkStart w:id="85" w:name="_Toc415660845"/>
      <w:bookmarkEnd w:id="83"/>
      <w:bookmarkEnd w:id="84"/>
      <w:r>
        <w:t>NABERS</w:t>
      </w:r>
      <w:bookmarkEnd w:id="85"/>
    </w:p>
    <w:p w14:paraId="72EA0417" w14:textId="77777777" w:rsidR="0062409E" w:rsidRDefault="0062409E" w:rsidP="0062409E">
      <w:pPr>
        <w:pStyle w:val="BodyText"/>
      </w:pPr>
      <w:r w:rsidRPr="0062409E">
        <w:t>NABERS is a national rating system that measures the environmental performance of Australian buildings, tenancies and homes</w:t>
      </w:r>
      <w:r w:rsidR="00CB3EC7" w:rsidRPr="0062409E">
        <w:t>.</w:t>
      </w:r>
      <w:r w:rsidR="00CB3EC7">
        <w:t xml:space="preserve"> </w:t>
      </w:r>
      <w:r w:rsidR="003A222C">
        <w:t xml:space="preserve">Administered by the New South Wales Government’s Office of Environment and Heritage, </w:t>
      </w:r>
      <w:r w:rsidRPr="0062409E">
        <w:t xml:space="preserve">NABERS measures the </w:t>
      </w:r>
      <w:r w:rsidRPr="0062409E">
        <w:lastRenderedPageBreak/>
        <w:t>energy efficiency, water usage, waste management and indoor environment quality of a building or tenancy and its impact on the environment</w:t>
      </w:r>
      <w:r w:rsidR="00CB3EC7" w:rsidRPr="0062409E">
        <w:t>.</w:t>
      </w:r>
      <w:r w:rsidR="00CB3EC7">
        <w:t xml:space="preserve"> </w:t>
      </w:r>
      <w:r w:rsidR="0061485B">
        <w:t>Only the energy efficiency component of NABERS is included in the BEEC.</w:t>
      </w:r>
    </w:p>
    <w:p w14:paraId="16ABD0D5" w14:textId="77777777" w:rsidR="009B3E31" w:rsidRDefault="009B3E31" w:rsidP="009B3E31">
      <w:pPr>
        <w:pStyle w:val="BodyText"/>
      </w:pPr>
      <w:r>
        <w:t xml:space="preserve">The NABERS Energy for offices rating on a BEEC should be a </w:t>
      </w:r>
      <w:r w:rsidRPr="009B3E31">
        <w:rPr>
          <w:i/>
        </w:rPr>
        <w:t xml:space="preserve">base building </w:t>
      </w:r>
      <w:r>
        <w:t>rating</w:t>
      </w:r>
      <w:r w:rsidR="00CB3EC7">
        <w:t xml:space="preserve">. </w:t>
      </w:r>
      <w:r>
        <w:t>This covers performance of the building’s central services and common areas, which are usually managed by the building owner.</w:t>
      </w:r>
    </w:p>
    <w:p w14:paraId="58773333" w14:textId="53809A01" w:rsidR="009B3E31" w:rsidRPr="0062409E" w:rsidRDefault="009B3E31" w:rsidP="009B3E31">
      <w:pPr>
        <w:pStyle w:val="BodyText"/>
      </w:pPr>
      <w:r>
        <w:t>However, if a base building rating cannot be calculated because utility mete</w:t>
      </w:r>
      <w:r w:rsidR="00CE0B8D">
        <w:t>r</w:t>
      </w:r>
      <w:r>
        <w:t xml:space="preserve">s are not sufficient to distinguish between base building energy use and tenancy energy use, then a </w:t>
      </w:r>
      <w:r w:rsidRPr="009B3E31">
        <w:rPr>
          <w:i/>
        </w:rPr>
        <w:t>whole building</w:t>
      </w:r>
      <w:r>
        <w:t xml:space="preserve"> rating that includes the tenanted spaces may be used instead</w:t>
      </w:r>
      <w:r w:rsidR="00CE0B8D">
        <w:t>.</w:t>
      </w:r>
    </w:p>
    <w:p w14:paraId="6FF411BA" w14:textId="07A1071C" w:rsidR="0062409E" w:rsidRDefault="0061485B" w:rsidP="0062409E">
      <w:pPr>
        <w:pStyle w:val="BodyText"/>
      </w:pPr>
      <w:r>
        <w:t>NABERS uses</w:t>
      </w:r>
      <w:r w:rsidR="0062409E" w:rsidRPr="0062409E">
        <w:t xml:space="preserve"> measured and verified performance information, such as utility bills, and </w:t>
      </w:r>
      <w:r w:rsidR="0028353E" w:rsidRPr="0062409E">
        <w:t>convert</w:t>
      </w:r>
      <w:r w:rsidR="0028353E">
        <w:t>s</w:t>
      </w:r>
      <w:r w:rsidR="0028353E" w:rsidRPr="0062409E">
        <w:t xml:space="preserve"> </w:t>
      </w:r>
      <w:r w:rsidR="0062409E" w:rsidRPr="0062409E">
        <w:t>them into an easy to understand star</w:t>
      </w:r>
      <w:r w:rsidR="00C12597">
        <w:t>-</w:t>
      </w:r>
      <w:r w:rsidR="0062409E" w:rsidRPr="0062409E">
        <w:t>rating scale from one to six stars</w:t>
      </w:r>
      <w:r w:rsidR="00CB3EC7" w:rsidRPr="0062409E">
        <w:t>.</w:t>
      </w:r>
      <w:r w:rsidR="00CB3EC7">
        <w:t xml:space="preserve"> </w:t>
      </w:r>
      <w:r w:rsidR="0062409E" w:rsidRPr="0062409E">
        <w:t xml:space="preserve">For example, a </w:t>
      </w:r>
      <w:r w:rsidR="0028353E">
        <w:t>six</w:t>
      </w:r>
      <w:r w:rsidR="0028353E" w:rsidRPr="0062409E">
        <w:t xml:space="preserve"> </w:t>
      </w:r>
      <w:r w:rsidR="0062409E" w:rsidRPr="0062409E">
        <w:t xml:space="preserve">star rating demonstrates market-leading performance, while a </w:t>
      </w:r>
      <w:r w:rsidR="0028353E">
        <w:t>one</w:t>
      </w:r>
      <w:r w:rsidR="0028353E" w:rsidRPr="0062409E">
        <w:t xml:space="preserve"> </w:t>
      </w:r>
      <w:r w:rsidR="0062409E" w:rsidRPr="0062409E">
        <w:t>star rating means the building or tenancy has considerable scope for improvement.</w:t>
      </w:r>
    </w:p>
    <w:p w14:paraId="0159037C" w14:textId="77777777" w:rsidR="0062409E" w:rsidRDefault="0062409E" w:rsidP="0062409E">
      <w:pPr>
        <w:pStyle w:val="BodyText"/>
      </w:pPr>
      <w:r>
        <w:t xml:space="preserve">NABERS ratings </w:t>
      </w:r>
      <w:r w:rsidR="0028353E">
        <w:t xml:space="preserve">enable the </w:t>
      </w:r>
      <w:r>
        <w:t>compar</w:t>
      </w:r>
      <w:r w:rsidR="0028353E">
        <w:t>ison of</w:t>
      </w:r>
      <w:r>
        <w:t xml:space="preserve"> the environmental performance of </w:t>
      </w:r>
      <w:r w:rsidR="0028353E">
        <w:t xml:space="preserve">an </w:t>
      </w:r>
      <w:r>
        <w:t>office building and tenanc</w:t>
      </w:r>
      <w:r w:rsidR="0028353E">
        <w:t>y</w:t>
      </w:r>
      <w:r>
        <w:t xml:space="preserve"> to </w:t>
      </w:r>
      <w:r w:rsidR="0028353E">
        <w:t xml:space="preserve">that of </w:t>
      </w:r>
      <w:r>
        <w:t>other similar premises in the same location</w:t>
      </w:r>
      <w:r w:rsidR="00CB3EC7">
        <w:t xml:space="preserve">. </w:t>
      </w:r>
      <w:r>
        <w:t xml:space="preserve">The </w:t>
      </w:r>
      <w:r w:rsidR="0028353E">
        <w:t xml:space="preserve">NABERS </w:t>
      </w:r>
      <w:r>
        <w:t xml:space="preserve">rating for </w:t>
      </w:r>
      <w:r w:rsidR="0028353E">
        <w:t xml:space="preserve">an </w:t>
      </w:r>
      <w:r>
        <w:t>office building and tenanc</w:t>
      </w:r>
      <w:r w:rsidR="0028353E">
        <w:t>y</w:t>
      </w:r>
      <w:r>
        <w:t xml:space="preserve"> </w:t>
      </w:r>
      <w:r w:rsidR="0028353E">
        <w:t xml:space="preserve">is </w:t>
      </w:r>
      <w:r>
        <w:t xml:space="preserve">based on data related to the performance of the office building or the tenancy over the </w:t>
      </w:r>
      <w:r w:rsidR="0028353E">
        <w:t xml:space="preserve">previous </w:t>
      </w:r>
      <w:r>
        <w:t>12 months.</w:t>
      </w:r>
    </w:p>
    <w:p w14:paraId="4EE769B6" w14:textId="77777777" w:rsidR="0062409E" w:rsidRDefault="0062409E" w:rsidP="0062409E">
      <w:pPr>
        <w:pStyle w:val="BodyText"/>
      </w:pPr>
      <w:r>
        <w:t>To make this real-life performance data comparable with other similar office buildings and tenancies, certain adjustments are made that take into account the specific use of an office building or tenancy</w:t>
      </w:r>
      <w:r w:rsidR="00CB3EC7">
        <w:t xml:space="preserve">. </w:t>
      </w:r>
      <w:r>
        <w:t>This ensures the comparisons are relevant and realistic.</w:t>
      </w:r>
    </w:p>
    <w:p w14:paraId="1ECF57C4" w14:textId="77777777" w:rsidR="0062409E" w:rsidRDefault="0062409E" w:rsidP="0062409E">
      <w:pPr>
        <w:pStyle w:val="BodyText"/>
      </w:pPr>
      <w:r>
        <w:t>The adjusted data is then compared to benchmark data, and a rating score reflecting a building’s performance relative to its peers is calculated</w:t>
      </w:r>
      <w:r w:rsidR="00CB3EC7">
        <w:t xml:space="preserve">. </w:t>
      </w:r>
      <w:r w:rsidR="009B3E31">
        <w:t xml:space="preserve">More details on how a NABERS Energy rating is calculated is provided </w:t>
      </w:r>
      <w:r w:rsidR="009B3E31" w:rsidRPr="000D0A78">
        <w:t>in Box 1.</w:t>
      </w:r>
    </w:p>
    <w:p w14:paraId="1366C7AF" w14:textId="77777777" w:rsidR="0062409E" w:rsidRDefault="0062409E" w:rsidP="0062409E">
      <w:pPr>
        <w:pStyle w:val="BodyText"/>
      </w:pPr>
      <w:r>
        <w:t xml:space="preserve">The benefits of </w:t>
      </w:r>
      <w:r w:rsidR="0028353E">
        <w:t xml:space="preserve">obtaining a NABERS </w:t>
      </w:r>
      <w:r>
        <w:t xml:space="preserve">rating </w:t>
      </w:r>
      <w:r w:rsidR="0028353E">
        <w:t xml:space="preserve">for an </w:t>
      </w:r>
      <w:r>
        <w:t xml:space="preserve">office building </w:t>
      </w:r>
      <w:r w:rsidR="0028353E">
        <w:t xml:space="preserve">or </w:t>
      </w:r>
      <w:r>
        <w:t>tenanc</w:t>
      </w:r>
      <w:r w:rsidR="0028353E">
        <w:t>y</w:t>
      </w:r>
      <w:r>
        <w:t xml:space="preserve"> to building owners, operators and tenants include:</w:t>
      </w:r>
    </w:p>
    <w:p w14:paraId="69073101" w14:textId="479A827B" w:rsidR="0062409E" w:rsidRDefault="0062409E" w:rsidP="0062409E">
      <w:pPr>
        <w:pStyle w:val="ListDash"/>
      </w:pPr>
      <w:r>
        <w:t>Meeting Commercial Building Disclosure requirements</w:t>
      </w:r>
    </w:p>
    <w:p w14:paraId="53EFE88D" w14:textId="0D8C8333" w:rsidR="0062409E" w:rsidRDefault="0062409E" w:rsidP="0062409E">
      <w:pPr>
        <w:pStyle w:val="ListDash"/>
      </w:pPr>
      <w:r>
        <w:t>Identifying ways to lower yearly operating costs</w:t>
      </w:r>
    </w:p>
    <w:p w14:paraId="35B9465C" w14:textId="6291FF30" w:rsidR="0062409E" w:rsidRDefault="0062409E" w:rsidP="0062409E">
      <w:pPr>
        <w:pStyle w:val="ListDash"/>
      </w:pPr>
      <w:r>
        <w:t>Identifying cost savings across a property portfolio</w:t>
      </w:r>
    </w:p>
    <w:p w14:paraId="1FCD08CC" w14:textId="15F7AF1B" w:rsidR="0062409E" w:rsidRDefault="0062409E" w:rsidP="0062409E">
      <w:pPr>
        <w:pStyle w:val="ListDash"/>
      </w:pPr>
      <w:r>
        <w:t>Measuring the impact of sustainability initiatives</w:t>
      </w:r>
    </w:p>
    <w:p w14:paraId="17D737A1" w14:textId="5A054A0A" w:rsidR="0062409E" w:rsidRDefault="0062409E" w:rsidP="0062409E">
      <w:pPr>
        <w:pStyle w:val="ListDash"/>
      </w:pPr>
      <w:r>
        <w:t>Making the office building more desirable to tenants</w:t>
      </w:r>
    </w:p>
    <w:p w14:paraId="367DD3D6" w14:textId="17F65A6C" w:rsidR="0062409E" w:rsidRDefault="0062409E" w:rsidP="0062409E">
      <w:pPr>
        <w:pStyle w:val="ListDash"/>
      </w:pPr>
      <w:r>
        <w:t>Achieving higher rents and increasing asset value</w:t>
      </w:r>
    </w:p>
    <w:p w14:paraId="14348300" w14:textId="60F78D37" w:rsidR="0062409E" w:rsidRDefault="0062409E" w:rsidP="0062409E">
      <w:pPr>
        <w:pStyle w:val="ListDash"/>
      </w:pPr>
      <w:r>
        <w:t>Improving corporate reputation</w:t>
      </w:r>
    </w:p>
    <w:p w14:paraId="3D924AB3" w14:textId="13F168BA" w:rsidR="0062409E" w:rsidRDefault="0062409E" w:rsidP="0062409E">
      <w:pPr>
        <w:pStyle w:val="ListDash"/>
      </w:pPr>
      <w:r>
        <w:t>Meeting environmentally responsible reporting criteria</w:t>
      </w:r>
    </w:p>
    <w:p w14:paraId="30489B9B" w14:textId="2F4B50B5" w:rsidR="0062409E" w:rsidRDefault="0062409E" w:rsidP="0062409E">
      <w:pPr>
        <w:pStyle w:val="ListDash"/>
      </w:pPr>
      <w:r>
        <w:t>Creating a better work environment for employees</w:t>
      </w:r>
    </w:p>
    <w:p w14:paraId="6C865655" w14:textId="7763FEE0" w:rsidR="0062409E" w:rsidRDefault="0062409E" w:rsidP="0062409E">
      <w:pPr>
        <w:pStyle w:val="ListDash"/>
      </w:pPr>
      <w:r>
        <w:t>Increasing shareholder value</w:t>
      </w:r>
    </w:p>
    <w:p w14:paraId="78AAF097" w14:textId="77777777" w:rsidR="0062409E" w:rsidRDefault="0062409E" w:rsidP="0062409E">
      <w:pPr>
        <w:pStyle w:val="ListDash"/>
      </w:pPr>
      <w:r>
        <w:t>Meeting tenant and community expectations.</w:t>
      </w:r>
    </w:p>
    <w:p w14:paraId="50DCB87B" w14:textId="77777777" w:rsidR="0061485B" w:rsidRPr="00D26202" w:rsidRDefault="0061485B" w:rsidP="005609B3">
      <w:pPr>
        <w:pStyle w:val="Caption"/>
        <w:keepLines/>
      </w:pPr>
      <w:bookmarkStart w:id="86" w:name="_Toc415660943"/>
      <w:r w:rsidRPr="00D26202">
        <w:lastRenderedPageBreak/>
        <w:t>Box</w:t>
      </w:r>
      <w:r>
        <w:t xml:space="preserve"> </w:t>
      </w:r>
      <w:r w:rsidR="00492194">
        <w:fldChar w:fldCharType="begin"/>
      </w:r>
      <w:r w:rsidR="0044208C">
        <w:instrText xml:space="preserve"> SEQ Box \* ARABIC  </w:instrText>
      </w:r>
      <w:r w:rsidR="00492194">
        <w:fldChar w:fldCharType="separate"/>
      </w:r>
      <w:r w:rsidR="006A273E">
        <w:rPr>
          <w:noProof/>
        </w:rPr>
        <w:t>1</w:t>
      </w:r>
      <w:r w:rsidR="00492194">
        <w:rPr>
          <w:noProof/>
        </w:rPr>
        <w:fldChar w:fldCharType="end"/>
      </w:r>
      <w:r w:rsidRPr="00FB2565">
        <w:tab/>
      </w:r>
      <w:r>
        <w:rPr>
          <w:rStyle w:val="CaptionLabel"/>
        </w:rPr>
        <w:t>NABERS Energy calculations</w:t>
      </w:r>
      <w:bookmarkEnd w:id="86"/>
    </w:p>
    <w:tbl>
      <w:tblPr>
        <w:tblW w:w="5000" w:type="pct"/>
        <w:tblInd w:w="57" w:type="dxa"/>
        <w:tblLayout w:type="fixed"/>
        <w:tblCellMar>
          <w:left w:w="142" w:type="dxa"/>
          <w:right w:w="142" w:type="dxa"/>
        </w:tblCellMar>
        <w:tblLook w:val="0000" w:firstRow="0" w:lastRow="0" w:firstColumn="0" w:lastColumn="0" w:noHBand="0" w:noVBand="0"/>
        <w:tblCaption w:val="NABERS Energy calculations"/>
        <w:tblDescription w:val="NABERS Energy calculations"/>
      </w:tblPr>
      <w:tblGrid>
        <w:gridCol w:w="7656"/>
      </w:tblGrid>
      <w:tr w:rsidR="0061485B" w:rsidRPr="00D26202" w14:paraId="5488F862" w14:textId="77777777">
        <w:tc>
          <w:tcPr>
            <w:tcW w:w="5000" w:type="pct"/>
            <w:shd w:val="pct12" w:color="auto" w:fill="auto"/>
          </w:tcPr>
          <w:p w14:paraId="3E9E289E" w14:textId="77777777" w:rsidR="0061485B" w:rsidRPr="00D26202" w:rsidRDefault="0061485B" w:rsidP="005609B3">
            <w:pPr>
              <w:pStyle w:val="SmallDeltasRightAligned"/>
              <w:keepNext/>
              <w:keepLines/>
            </w:pPr>
            <w:r w:rsidRPr="00D26202">
              <w:rPr>
                <w:noProof/>
                <w:lang w:eastAsia="en-AU"/>
              </w:rPr>
              <w:drawing>
                <wp:inline distT="0" distB="0" distL="0" distR="0" wp14:anchorId="6512BB73" wp14:editId="5AF3E9FE">
                  <wp:extent cx="481330" cy="234315"/>
                  <wp:effectExtent l="0" t="0" r="0" b="0"/>
                  <wp:docPr id="21" name="Picture 21"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330" cy="234315"/>
                          </a:xfrm>
                          <a:prstGeom prst="rect">
                            <a:avLst/>
                          </a:prstGeom>
                        </pic:spPr>
                      </pic:pic>
                    </a:graphicData>
                  </a:graphic>
                </wp:inline>
              </w:drawing>
            </w:r>
          </w:p>
        </w:tc>
      </w:tr>
      <w:tr w:rsidR="0061485B" w14:paraId="0AB53ADE" w14:textId="77777777">
        <w:tc>
          <w:tcPr>
            <w:tcW w:w="5000" w:type="pct"/>
            <w:shd w:val="pct12" w:color="auto" w:fill="auto"/>
          </w:tcPr>
          <w:p w14:paraId="25ADB047" w14:textId="77777777" w:rsidR="0061485B" w:rsidRDefault="0061485B" w:rsidP="0061485B">
            <w:pPr>
              <w:pStyle w:val="BoxText"/>
            </w:pPr>
            <w:r>
              <w:t>NABERS Energy rates the energy efficiency of an office base building, whole building or tenancy by comparing its measured energy consumption against a set of benchmarks developed using actual building performance data.</w:t>
            </w:r>
          </w:p>
          <w:p w14:paraId="1350641F" w14:textId="77777777" w:rsidR="0061485B" w:rsidRDefault="0061485B" w:rsidP="0061485B">
            <w:pPr>
              <w:pStyle w:val="BoxText"/>
            </w:pPr>
            <w:r>
              <w:t>The building or tenancy’s total energy use over a 12-month period is collected from billing data and meter readings</w:t>
            </w:r>
            <w:r w:rsidR="00CB3EC7">
              <w:t xml:space="preserve">. </w:t>
            </w:r>
            <w:r>
              <w:t>The energy use is multiplied by a constant NABERS greenhouse gas (GHG) factor</w:t>
            </w:r>
            <w:r w:rsidR="00CB3EC7">
              <w:t xml:space="preserve">. </w:t>
            </w:r>
            <w:r>
              <w:t>The energy use is also adjusted to account for area, climate, hours of occupancy and equipment density</w:t>
            </w:r>
            <w:r w:rsidR="00CB3EC7">
              <w:t xml:space="preserve">. </w:t>
            </w:r>
            <w:r>
              <w:t>This enables buildings with different attributes to be compared against the same performance targets.</w:t>
            </w:r>
          </w:p>
          <w:p w14:paraId="0E1DA1F3" w14:textId="77777777" w:rsidR="0061485B" w:rsidRDefault="0061485B" w:rsidP="0061485B">
            <w:pPr>
              <w:pStyle w:val="BoxText"/>
            </w:pPr>
            <w:r>
              <w:t>The corrected figure, called the benchmark factor, puts the building on a level playing field with other buildings in the same property market</w:t>
            </w:r>
            <w:r w:rsidR="00CB3EC7">
              <w:t xml:space="preserve">. </w:t>
            </w:r>
            <w:r>
              <w:t>The benchmark factor is not a kgCO</w:t>
            </w:r>
            <w:r w:rsidRPr="0024777E">
              <w:rPr>
                <w:vertAlign w:val="subscript"/>
              </w:rPr>
              <w:t>2</w:t>
            </w:r>
            <w:r>
              <w:t>/m</w:t>
            </w:r>
            <w:r w:rsidRPr="0061485B">
              <w:rPr>
                <w:vertAlign w:val="superscript"/>
              </w:rPr>
              <w:t>2</w:t>
            </w:r>
            <w:r>
              <w:t xml:space="preserve"> figure, but rather a value that enables a building to be located on the benchmark rating scale.</w:t>
            </w:r>
          </w:p>
          <w:p w14:paraId="21DAB2F5" w14:textId="77777777" w:rsidR="0061485B" w:rsidRDefault="0061485B" w:rsidP="0061485B">
            <w:pPr>
              <w:pStyle w:val="BoxText"/>
            </w:pPr>
            <w:r>
              <w:t>NABERS Energy also calculates the greenhouse gas emission intensity of the building in kgCO</w:t>
            </w:r>
            <w:r w:rsidRPr="0024777E">
              <w:rPr>
                <w:vertAlign w:val="subscript"/>
              </w:rPr>
              <w:t>2</w:t>
            </w:r>
            <w:r>
              <w:t>/m</w:t>
            </w:r>
            <w:r w:rsidRPr="0061485B">
              <w:rPr>
                <w:vertAlign w:val="superscript"/>
              </w:rPr>
              <w:t>2</w:t>
            </w:r>
            <w:r>
              <w:t xml:space="preserve"> using current National Greenhouse Accounting factors for greenhouse reporting purposes</w:t>
            </w:r>
            <w:r w:rsidR="00CB3EC7">
              <w:t xml:space="preserve">. </w:t>
            </w:r>
            <w:r>
              <w:t>This information is provided in the NABERS Energy rating report, which accompanies the rating.</w:t>
            </w:r>
          </w:p>
          <w:p w14:paraId="5E102603" w14:textId="77777777" w:rsidR="0061485B" w:rsidRDefault="0061485B" w:rsidP="0061485B">
            <w:pPr>
              <w:pStyle w:val="BoxText"/>
            </w:pPr>
            <w:r>
              <w:t>The benchmark factor is compared against the star rating benchmarks, or performance targets, for the property market in the building’s own state to determine the star rating.</w:t>
            </w:r>
          </w:p>
          <w:p w14:paraId="2C8F2618" w14:textId="77777777" w:rsidR="0061485B" w:rsidRPr="00F3152C" w:rsidRDefault="0061485B" w:rsidP="0061485B">
            <w:pPr>
              <w:pStyle w:val="BoxText"/>
            </w:pPr>
            <w:r>
              <w:t>A NABERS Energy rating is awarded based on the performance level the office has achieved.</w:t>
            </w:r>
          </w:p>
        </w:tc>
      </w:tr>
    </w:tbl>
    <w:p w14:paraId="65A00973" w14:textId="77777777" w:rsidR="0061485B" w:rsidRDefault="0061485B" w:rsidP="005609B3">
      <w:pPr>
        <w:pStyle w:val="Source"/>
        <w:keepLines/>
      </w:pPr>
      <w:r w:rsidRPr="00071B29">
        <w:t>Source:</w:t>
      </w:r>
      <w:r w:rsidRPr="00FB2565">
        <w:t xml:space="preserve">  </w:t>
      </w:r>
      <w:r>
        <w:t>NSW Office of Environment &amp; Heritage</w:t>
      </w:r>
    </w:p>
    <w:p w14:paraId="47976076" w14:textId="77777777" w:rsidR="00AE5E08" w:rsidRDefault="00AE5E08" w:rsidP="0062409E">
      <w:pPr>
        <w:pStyle w:val="Heading3"/>
      </w:pPr>
      <w:bookmarkStart w:id="87" w:name="_Toc408824539"/>
      <w:bookmarkStart w:id="88" w:name="_Toc408824645"/>
      <w:bookmarkStart w:id="89" w:name="_Toc408824810"/>
      <w:bookmarkStart w:id="90" w:name="_Toc408826996"/>
      <w:bookmarkStart w:id="91" w:name="_Toc408828969"/>
      <w:bookmarkStart w:id="92" w:name="_Toc408831995"/>
      <w:bookmarkStart w:id="93" w:name="_Toc408832098"/>
      <w:bookmarkStart w:id="94" w:name="_Toc408833572"/>
      <w:bookmarkStart w:id="95" w:name="_Toc408834872"/>
      <w:bookmarkStart w:id="96" w:name="_Toc415660846"/>
      <w:bookmarkEnd w:id="87"/>
      <w:bookmarkEnd w:id="88"/>
      <w:bookmarkEnd w:id="89"/>
      <w:bookmarkEnd w:id="90"/>
      <w:bookmarkEnd w:id="91"/>
      <w:bookmarkEnd w:id="92"/>
      <w:bookmarkEnd w:id="93"/>
      <w:bookmarkEnd w:id="94"/>
      <w:bookmarkEnd w:id="95"/>
      <w:r>
        <w:t>TLA</w:t>
      </w:r>
      <w:bookmarkEnd w:id="96"/>
    </w:p>
    <w:p w14:paraId="155C66FC" w14:textId="77777777" w:rsidR="00EF2644" w:rsidRDefault="00F527AA" w:rsidP="00AE5E08">
      <w:pPr>
        <w:pStyle w:val="BodyText"/>
      </w:pPr>
      <w:r w:rsidRPr="00F527AA">
        <w:t xml:space="preserve">The </w:t>
      </w:r>
      <w:r>
        <w:t xml:space="preserve">TLA </w:t>
      </w:r>
      <w:r w:rsidRPr="00F527AA">
        <w:t xml:space="preserve">measures the </w:t>
      </w:r>
      <w:r w:rsidR="00EF2644">
        <w:t xml:space="preserve">energy performance </w:t>
      </w:r>
      <w:r w:rsidRPr="00F527AA">
        <w:t xml:space="preserve">of the installed general lighting system of </w:t>
      </w:r>
      <w:r w:rsidR="00DC500C">
        <w:t>office</w:t>
      </w:r>
      <w:r w:rsidRPr="00F527AA">
        <w:t xml:space="preserve"> buildings</w:t>
      </w:r>
      <w:r w:rsidR="00DC500C">
        <w:t xml:space="preserve"> covered by the CBD program</w:t>
      </w:r>
      <w:r w:rsidR="00CB3EC7" w:rsidRPr="00F527AA">
        <w:t>.</w:t>
      </w:r>
      <w:r w:rsidR="00CB3EC7">
        <w:t xml:space="preserve"> </w:t>
      </w:r>
      <w:r w:rsidRPr="00F527AA">
        <w:t xml:space="preserve">It does </w:t>
      </w:r>
      <w:r w:rsidR="00EF2644">
        <w:t>this through two separate indicators:</w:t>
      </w:r>
    </w:p>
    <w:p w14:paraId="14E79C67" w14:textId="77777777" w:rsidR="00EF2644" w:rsidRDefault="00EF2644" w:rsidP="003F5F13">
      <w:pPr>
        <w:pStyle w:val="BodyText"/>
        <w:numPr>
          <w:ilvl w:val="0"/>
          <w:numId w:val="43"/>
        </w:numPr>
      </w:pPr>
      <w:r>
        <w:t>T</w:t>
      </w:r>
      <w:r w:rsidR="00F527AA" w:rsidRPr="00F527AA">
        <w:t>he Nominal Lighting Power Density (NLPD) of the relevant functional space in the building</w:t>
      </w:r>
      <w:r w:rsidR="004A1A42">
        <w:t>,</w:t>
      </w:r>
      <w:r>
        <w:t xml:space="preserve"> measure</w:t>
      </w:r>
      <w:r w:rsidR="00551A58">
        <w:t>d</w:t>
      </w:r>
      <w:r>
        <w:t xml:space="preserve"> as Watts per square metre (W/m</w:t>
      </w:r>
      <w:r w:rsidRPr="003F5F13">
        <w:rPr>
          <w:vertAlign w:val="superscript"/>
        </w:rPr>
        <w:t>2</w:t>
      </w:r>
      <w:r>
        <w:t>)</w:t>
      </w:r>
      <w:r w:rsidR="004A1A42">
        <w:t>.</w:t>
      </w:r>
    </w:p>
    <w:p w14:paraId="1467E081" w14:textId="77777777" w:rsidR="00EF2644" w:rsidRDefault="00EF2644" w:rsidP="003F5F13">
      <w:pPr>
        <w:pStyle w:val="BodyText"/>
        <w:numPr>
          <w:ilvl w:val="0"/>
          <w:numId w:val="43"/>
        </w:numPr>
      </w:pPr>
      <w:r>
        <w:t>T</w:t>
      </w:r>
      <w:r w:rsidR="00F527AA" w:rsidRPr="00F527AA">
        <w:t>he capacity of installed lighting control systems</w:t>
      </w:r>
      <w:r w:rsidR="004A1A42">
        <w:t>,</w:t>
      </w:r>
      <w:r w:rsidR="00702FAE">
        <w:t xml:space="preserve"> rated as good, moderate or poor</w:t>
      </w:r>
      <w:r w:rsidR="000A50BF" w:rsidRPr="00F527AA">
        <w:t>.</w:t>
      </w:r>
    </w:p>
    <w:p w14:paraId="701C7A78" w14:textId="77777777" w:rsidR="0062409E" w:rsidRDefault="00F527AA" w:rsidP="00EF2644">
      <w:pPr>
        <w:pStyle w:val="BodyText"/>
      </w:pPr>
      <w:r w:rsidRPr="00F527AA">
        <w:t>It may also include a performance comment if appropriate</w:t>
      </w:r>
      <w:r w:rsidR="00CB3EC7" w:rsidRPr="00F527AA">
        <w:t>.</w:t>
      </w:r>
      <w:r w:rsidR="00CB3EC7">
        <w:t xml:space="preserve"> </w:t>
      </w:r>
      <w:r w:rsidRPr="00F527AA">
        <w:t>The assessment covers installed lighting and, where relevant, also proposed lighting systems</w:t>
      </w:r>
      <w:r w:rsidR="00CB3EC7" w:rsidRPr="00F527AA">
        <w:t>.</w:t>
      </w:r>
      <w:r w:rsidR="00CB3EC7">
        <w:t xml:space="preserve"> </w:t>
      </w:r>
      <w:r w:rsidRPr="00F527AA">
        <w:t>It is based on a methodical survey of the general lighting system reasonably expected to be left in place after the tenant leaves and the tenancy fit</w:t>
      </w:r>
      <w:r>
        <w:t>-</w:t>
      </w:r>
      <w:r w:rsidRPr="00F527AA">
        <w:t>out is removed.</w:t>
      </w:r>
    </w:p>
    <w:p w14:paraId="0F9343FC" w14:textId="5235D062" w:rsidR="008D1C29" w:rsidRDefault="008D1C29" w:rsidP="008D1C29">
      <w:pPr>
        <w:pStyle w:val="BodyText"/>
      </w:pPr>
      <w:r>
        <w:t>The NLPD assessment methodology depends on the space being assessed</w:t>
      </w:r>
      <w:r w:rsidR="00CB3EC7">
        <w:t xml:space="preserve">. </w:t>
      </w:r>
      <w:r>
        <w:t>In lighting systems in which luminaires of a single type are arranged in a regular array, the grid method is applied whereby the luminaire power is divided by the area that the luminaire covers</w:t>
      </w:r>
      <w:r w:rsidR="00CB3EC7">
        <w:t xml:space="preserve">. </w:t>
      </w:r>
      <w:r>
        <w:t xml:space="preserve">In lighting systems in which there is an irregular layout of luminaires or where </w:t>
      </w:r>
      <w:r w:rsidR="00486567">
        <w:t xml:space="preserve">a </w:t>
      </w:r>
      <w:r>
        <w:t xml:space="preserve">number of different luminaire types </w:t>
      </w:r>
      <w:r w:rsidR="00486567">
        <w:t>are</w:t>
      </w:r>
      <w:r>
        <w:t xml:space="preserve"> installed, an aggregate method sample space is </w:t>
      </w:r>
      <w:r w:rsidR="0091213E">
        <w:t>used</w:t>
      </w:r>
      <w:r>
        <w:t xml:space="preserve"> by the assessor</w:t>
      </w:r>
      <w:r w:rsidR="00CB3EC7">
        <w:t xml:space="preserve">. </w:t>
      </w:r>
      <w:r>
        <w:t xml:space="preserve">The total luminaire power </w:t>
      </w:r>
      <w:r w:rsidR="00507CC8">
        <w:t xml:space="preserve">calculated by </w:t>
      </w:r>
      <w:r>
        <w:t xml:space="preserve">this aggregate method is </w:t>
      </w:r>
      <w:r w:rsidR="003E1607">
        <w:t xml:space="preserve">divided </w:t>
      </w:r>
      <w:r>
        <w:t>by the floor area</w:t>
      </w:r>
      <w:r w:rsidR="00CB3EC7">
        <w:t xml:space="preserve">. </w:t>
      </w:r>
      <w:r w:rsidR="00D623B0">
        <w:t>There are three alternative aggregate methods.</w:t>
      </w:r>
    </w:p>
    <w:p w14:paraId="1FA3CDBA" w14:textId="77777777" w:rsidR="00251F69" w:rsidRDefault="00CD420B" w:rsidP="00CD420B">
      <w:pPr>
        <w:pStyle w:val="BodyText"/>
      </w:pPr>
      <w:r>
        <w:t xml:space="preserve">The NLPD assessment focuses on the general lighting system, which is the lighting system </w:t>
      </w:r>
      <w:r w:rsidR="00507CC8">
        <w:t xml:space="preserve">used </w:t>
      </w:r>
      <w:r>
        <w:t>to illuminate the workstation areas of the tenancy</w:t>
      </w:r>
      <w:r w:rsidR="00CB3EC7">
        <w:t xml:space="preserve">. </w:t>
      </w:r>
      <w:r>
        <w:t>For most offices, the general lighting system is best represented by the lighting in the open plan space</w:t>
      </w:r>
      <w:r w:rsidR="00CB3EC7">
        <w:t xml:space="preserve">. </w:t>
      </w:r>
      <w:r>
        <w:t>However, for spaces that have been extensively fitted out with small cellular offices, the lighting system i</w:t>
      </w:r>
      <w:r w:rsidR="00251F69">
        <w:t>n these areas can also be used.</w:t>
      </w:r>
    </w:p>
    <w:p w14:paraId="6A180E5E" w14:textId="77777777" w:rsidR="00CD420B" w:rsidRDefault="00CD420B" w:rsidP="00CD420B">
      <w:pPr>
        <w:pStyle w:val="BodyText"/>
      </w:pPr>
      <w:r>
        <w:t>Specialist spaces such as meeting rooms, reception areas or conference rooms are less likely to have an installed lighting system that represents the general lighting system due to the installation of architectural or feature lighting</w:t>
      </w:r>
      <w:r w:rsidR="00CB3EC7">
        <w:t xml:space="preserve">. </w:t>
      </w:r>
      <w:r>
        <w:t xml:space="preserve">These are not used in the assessment of the general lighting system except under </w:t>
      </w:r>
      <w:r w:rsidR="00251F69">
        <w:t>A</w:t>
      </w:r>
      <w:r>
        <w:t xml:space="preserve">ggregate method 3, </w:t>
      </w:r>
      <w:r>
        <w:lastRenderedPageBreak/>
        <w:t>which is only used if there is no alternative</w:t>
      </w:r>
      <w:r w:rsidR="00CB3EC7">
        <w:t xml:space="preserve">. </w:t>
      </w:r>
      <w:r>
        <w:t>Desk-mounted task lighting and display lighting do not form part of the general lighting system.</w:t>
      </w:r>
    </w:p>
    <w:p w14:paraId="37EC1606" w14:textId="77777777" w:rsidR="00F527AA" w:rsidRDefault="00E67BCF" w:rsidP="00AE5E08">
      <w:pPr>
        <w:pStyle w:val="BodyText"/>
      </w:pPr>
      <w:r>
        <w:t>In late 2013, the TLA rules were revised to:</w:t>
      </w:r>
    </w:p>
    <w:p w14:paraId="7715B0E7" w14:textId="77777777" w:rsidR="00E67BCF" w:rsidRDefault="00E67BCF" w:rsidP="00E67BCF">
      <w:pPr>
        <w:pStyle w:val="ListDash"/>
      </w:pPr>
      <w:r>
        <w:t>provide additional guidance to CBD Assessors on how to conduct assessments, including more examples and illustrations</w:t>
      </w:r>
    </w:p>
    <w:p w14:paraId="16308E20" w14:textId="77777777" w:rsidR="00E67BCF" w:rsidRDefault="00E67BCF" w:rsidP="00E67BCF">
      <w:pPr>
        <w:pStyle w:val="ListDash"/>
      </w:pPr>
      <w:r>
        <w:t>accommodate new lighting technologies such as LED lights</w:t>
      </w:r>
    </w:p>
    <w:p w14:paraId="5FC90D02" w14:textId="77777777" w:rsidR="00E67BCF" w:rsidRDefault="00E67BCF" w:rsidP="00E67BCF">
      <w:pPr>
        <w:pStyle w:val="ListDash"/>
      </w:pPr>
      <w:r>
        <w:t>improve the clarity of directions for record-keeping requirements</w:t>
      </w:r>
    </w:p>
    <w:p w14:paraId="3F04E616" w14:textId="77777777" w:rsidR="00E67BCF" w:rsidRDefault="00E67BCF" w:rsidP="00E67BCF">
      <w:pPr>
        <w:pStyle w:val="ListDash"/>
      </w:pPr>
      <w:r>
        <w:t>make changes to the assessment methodologies to increase the consistency and reliability of assessments.</w:t>
      </w:r>
    </w:p>
    <w:p w14:paraId="39FBA419" w14:textId="77777777" w:rsidR="00AE5E08" w:rsidRDefault="00EB1402" w:rsidP="00AE5E08">
      <w:pPr>
        <w:pStyle w:val="Heading2"/>
      </w:pPr>
      <w:bookmarkStart w:id="97" w:name="_Toc415660847"/>
      <w:r>
        <w:t>Program ob</w:t>
      </w:r>
      <w:r w:rsidR="00AE5E08">
        <w:t>jectives and economic rationale</w:t>
      </w:r>
      <w:bookmarkEnd w:id="97"/>
    </w:p>
    <w:p w14:paraId="05D31F37" w14:textId="77777777" w:rsidR="0062409E" w:rsidRDefault="0062409E" w:rsidP="0062409E">
      <w:pPr>
        <w:pStyle w:val="BodyText"/>
      </w:pPr>
      <w:r>
        <w:t>The economic rationale for the CBD program is to address market failures in the commercial building sector, namely:</w:t>
      </w:r>
    </w:p>
    <w:p w14:paraId="0F612313" w14:textId="77777777" w:rsidR="0062409E" w:rsidRDefault="0062409E" w:rsidP="0062409E">
      <w:pPr>
        <w:pStyle w:val="ListDash"/>
      </w:pPr>
      <w:r>
        <w:t>a failure in provision of information on the energy efficiency level of the office space being leased or sold, resulting in information asymmetry (with the seller/lessor having much greater information about the efficiency level than the buyer/lessee)</w:t>
      </w:r>
      <w:r w:rsidR="00EE418D">
        <w:t>.</w:t>
      </w:r>
    </w:p>
    <w:p w14:paraId="1C8B5C2F" w14:textId="034A3E73" w:rsidR="0062409E" w:rsidRDefault="0062409E" w:rsidP="0062409E">
      <w:pPr>
        <w:pStyle w:val="ListDash"/>
      </w:pPr>
      <w:r>
        <w:t>the different incentives facing those who take the decision on adopting energy efficient practice (e.g. building renovations) and those who might benefit from using them (known as split incentives).</w:t>
      </w:r>
    </w:p>
    <w:p w14:paraId="295C271B" w14:textId="77777777" w:rsidR="0062409E" w:rsidRDefault="0062409E" w:rsidP="0062409E">
      <w:pPr>
        <w:pStyle w:val="BodyText"/>
      </w:pPr>
      <w:r>
        <w:t>Split incentives often arise in the presence of information asymmetries</w:t>
      </w:r>
      <w:r w:rsidR="00CB3EC7">
        <w:t xml:space="preserve">. </w:t>
      </w:r>
      <w:r>
        <w:t>Hence the second point cannot be addressed without also addressing the information asymmetry problem</w:t>
      </w:r>
      <w:r w:rsidR="00CB3EC7">
        <w:t xml:space="preserve">. </w:t>
      </w:r>
    </w:p>
    <w:p w14:paraId="4F54FAD8" w14:textId="77777777" w:rsidR="0062409E" w:rsidRDefault="0062409E" w:rsidP="0062409E">
      <w:pPr>
        <w:pStyle w:val="BodyText"/>
      </w:pPr>
      <w:r>
        <w:t xml:space="preserve">Information asymmetry occurs when one party in a market, usually the buyer (or leaser) </w:t>
      </w:r>
      <w:r w:rsidR="00507CC8">
        <w:t xml:space="preserve">has </w:t>
      </w:r>
      <w:r>
        <w:t>insufficient information about the good they are considering purchasing, or the actions of the seller, to make a decision in their best interest</w:t>
      </w:r>
      <w:r w:rsidR="00CB3EC7">
        <w:t xml:space="preserve">. </w:t>
      </w:r>
      <w:r>
        <w:t>The information asymmetry can create a situation of ‘adverse selection’, in which a buyer is not able to differentiate between high quality and low quality goods in the market at the time of purchase</w:t>
      </w:r>
      <w:r w:rsidR="00CB3EC7">
        <w:t xml:space="preserve">. </w:t>
      </w:r>
    </w:p>
    <w:p w14:paraId="0A28079D" w14:textId="0B87270D" w:rsidR="0062409E" w:rsidRDefault="0062409E" w:rsidP="0062409E">
      <w:pPr>
        <w:pStyle w:val="BodyText"/>
      </w:pPr>
      <w:r>
        <w:t xml:space="preserve">Commercial buildings are one such good, </w:t>
      </w:r>
      <w:r w:rsidR="00486567">
        <w:t xml:space="preserve">specifically, </w:t>
      </w:r>
      <w:r>
        <w:t xml:space="preserve">it can be </w:t>
      </w:r>
      <w:r w:rsidR="002E37FB">
        <w:t xml:space="preserve">difficult </w:t>
      </w:r>
      <w:r>
        <w:t>to differentiate between different options at the time of purchasing (or leasing) as it is a low frequency investment where the purchaser usually cannot rely on significant previous experience</w:t>
      </w:r>
      <w:r w:rsidR="00CB3EC7">
        <w:t xml:space="preserve">. </w:t>
      </w:r>
      <w:r>
        <w:t>In particular, the energy efficiency attributes of a commercial building, which are relevant to its value, are hard to observe without professional advice</w:t>
      </w:r>
      <w:r w:rsidR="00CB3EC7">
        <w:t xml:space="preserve">. </w:t>
      </w:r>
    </w:p>
    <w:p w14:paraId="3CB8CF07" w14:textId="77777777" w:rsidR="0062409E" w:rsidRDefault="0062409E" w:rsidP="0062409E">
      <w:pPr>
        <w:pStyle w:val="BodyText"/>
      </w:pPr>
      <w:r>
        <w:t>In a market where there are information asymmetries, adverse selection can drive down the amount of any ‘green premium’ that can be obtained – essentially making it more difficult for the building owner to achieve the higher rents or higher sale prices that would more accurately reflect any investments they have made in energy efficiency improvements</w:t>
      </w:r>
      <w:r w:rsidR="00CB3EC7">
        <w:t xml:space="preserve">. </w:t>
      </w:r>
    </w:p>
    <w:p w14:paraId="18EB13D7" w14:textId="77777777" w:rsidR="0062409E" w:rsidRDefault="0062409E" w:rsidP="0062409E">
      <w:pPr>
        <w:pStyle w:val="BodyText"/>
      </w:pPr>
      <w:r>
        <w:t>The CBD program addresses information asymmetry, and enables purchasers (or leasers) to better understand, and take into account, relevant financial and environmental information about a building’s energy efficiency performance</w:t>
      </w:r>
      <w:r w:rsidR="00CB3EC7">
        <w:t xml:space="preserve">. </w:t>
      </w:r>
      <w:r>
        <w:t>As a consequence of this, the prices and rents of commercial buildings will, over time, begin to reflect a ‘green premium’, which in turn will:</w:t>
      </w:r>
    </w:p>
    <w:p w14:paraId="0D64DFD9" w14:textId="77777777" w:rsidR="0062409E" w:rsidRDefault="0062409E" w:rsidP="0062409E">
      <w:pPr>
        <w:pStyle w:val="ListDash2"/>
      </w:pPr>
      <w:r>
        <w:t>encourage investment in energy efficiency</w:t>
      </w:r>
    </w:p>
    <w:p w14:paraId="71EC38E8" w14:textId="77777777" w:rsidR="0062409E" w:rsidRDefault="0062409E" w:rsidP="0062409E">
      <w:pPr>
        <w:pStyle w:val="ListDash2"/>
      </w:pPr>
      <w:r>
        <w:lastRenderedPageBreak/>
        <w:t>reduce energy bills for tenants</w:t>
      </w:r>
    </w:p>
    <w:p w14:paraId="0E501B83" w14:textId="77777777" w:rsidR="0062409E" w:rsidRDefault="0062409E" w:rsidP="0062409E">
      <w:pPr>
        <w:pStyle w:val="ListDash2"/>
      </w:pPr>
      <w:r>
        <w:t>help reduce energy consumption and emissions, and therefore deliver benefits for society and the environment.</w:t>
      </w:r>
    </w:p>
    <w:p w14:paraId="323C348D" w14:textId="77777777" w:rsidR="00AE5E08" w:rsidRDefault="00AE5E08" w:rsidP="00AE5E08">
      <w:pPr>
        <w:pStyle w:val="Heading2"/>
      </w:pPr>
      <w:bookmarkStart w:id="98" w:name="_Toc415660848"/>
      <w:r>
        <w:t>Interactions with other programs</w:t>
      </w:r>
      <w:r w:rsidR="007B6CC5">
        <w:t xml:space="preserve"> and policies</w:t>
      </w:r>
      <w:bookmarkEnd w:id="98"/>
    </w:p>
    <w:p w14:paraId="4AB8D565" w14:textId="77777777" w:rsidR="007B6CC5" w:rsidRDefault="007B6CC5" w:rsidP="007B6CC5">
      <w:pPr>
        <w:pStyle w:val="Heading3"/>
      </w:pPr>
      <w:bookmarkStart w:id="99" w:name="_Ref409463427"/>
      <w:bookmarkStart w:id="100" w:name="_Toc415660849"/>
      <w:r>
        <w:t>Interactions with other programs targeting energy efficiency</w:t>
      </w:r>
      <w:bookmarkEnd w:id="99"/>
      <w:bookmarkEnd w:id="100"/>
    </w:p>
    <w:p w14:paraId="2FDF6B2B" w14:textId="77777777" w:rsidR="00BB1489" w:rsidRDefault="00BB1489" w:rsidP="00BB1489">
      <w:pPr>
        <w:pStyle w:val="BodyText"/>
      </w:pPr>
      <w:r>
        <w:t xml:space="preserve">The energy efficiency programs discussed in </w:t>
      </w:r>
      <w:r w:rsidRPr="000D0A78">
        <w:t xml:space="preserve">Section </w:t>
      </w:r>
      <w:r w:rsidR="003346C7">
        <w:fldChar w:fldCharType="begin"/>
      </w:r>
      <w:r w:rsidR="003346C7">
        <w:instrText xml:space="preserve"> REF _Ref409106763 \r \h  \* MERGEFORMAT </w:instrText>
      </w:r>
      <w:r w:rsidR="003346C7">
        <w:fldChar w:fldCharType="separate"/>
      </w:r>
      <w:r w:rsidR="006A273E">
        <w:t>2.3.3</w:t>
      </w:r>
      <w:r w:rsidR="003346C7">
        <w:fldChar w:fldCharType="end"/>
      </w:r>
      <w:r>
        <w:t xml:space="preserve"> also encourage increased adoption of energy efficiency in commercial buildings</w:t>
      </w:r>
      <w:r w:rsidR="00CB3EC7">
        <w:t xml:space="preserve">. </w:t>
      </w:r>
      <w:r>
        <w:t xml:space="preserve">The degree to which the programs address the same market failures or have the same scope and coverage is summarised in </w:t>
      </w:r>
      <w:r w:rsidR="003346C7">
        <w:fldChar w:fldCharType="begin"/>
      </w:r>
      <w:r w:rsidR="003346C7">
        <w:instrText xml:space="preserve"> REF _Ref409089748 \h  \* MERGEFORMAT </w:instrText>
      </w:r>
      <w:r w:rsidR="003346C7">
        <w:fldChar w:fldCharType="separate"/>
      </w:r>
      <w:r w:rsidR="006A273E">
        <w:t>Table 3</w:t>
      </w:r>
      <w:r w:rsidR="003346C7">
        <w:fldChar w:fldCharType="end"/>
      </w:r>
      <w:r>
        <w:t xml:space="preserve"> below.</w:t>
      </w:r>
    </w:p>
    <w:p w14:paraId="291F248B" w14:textId="77777777" w:rsidR="00BB1489" w:rsidRDefault="00BB1489" w:rsidP="00BB1489">
      <w:pPr>
        <w:pStyle w:val="Caption"/>
        <w:ind w:left="-1701"/>
        <w:rPr>
          <w:rStyle w:val="CaptionLabel"/>
          <w:rFonts w:asciiTheme="minorHAnsi" w:hAnsiTheme="minorHAnsi" w:cs="Times New Roman"/>
          <w:sz w:val="22"/>
          <w:szCs w:val="22"/>
          <w:lang w:eastAsia="en-AU"/>
        </w:rPr>
      </w:pPr>
      <w:bookmarkStart w:id="101" w:name="_Ref409089748"/>
      <w:bookmarkStart w:id="102" w:name="_Toc415661010"/>
      <w:r>
        <w:lastRenderedPageBreak/>
        <w:t xml:space="preserve">Table </w:t>
      </w:r>
      <w:r w:rsidR="00492194">
        <w:fldChar w:fldCharType="begin"/>
      </w:r>
      <w:r w:rsidR="0044208C">
        <w:instrText xml:space="preserve"> SEQ Table \* ARABIC </w:instrText>
      </w:r>
      <w:r w:rsidR="00492194">
        <w:fldChar w:fldCharType="separate"/>
      </w:r>
      <w:r w:rsidR="006A273E">
        <w:rPr>
          <w:noProof/>
        </w:rPr>
        <w:t>3</w:t>
      </w:r>
      <w:r w:rsidR="00492194">
        <w:rPr>
          <w:noProof/>
        </w:rPr>
        <w:fldChar w:fldCharType="end"/>
      </w:r>
      <w:bookmarkEnd w:id="101"/>
      <w:r w:rsidRPr="008357FB">
        <w:rPr>
          <w:rStyle w:val="CaptionLabel"/>
        </w:rPr>
        <w:tab/>
      </w:r>
      <w:r>
        <w:rPr>
          <w:rStyle w:val="CaptionLabel"/>
        </w:rPr>
        <w:t>Related program interactions with CBD</w:t>
      </w:r>
      <w:bookmarkEnd w:id="102"/>
    </w:p>
    <w:tbl>
      <w:tblPr>
        <w:tblStyle w:val="ACILAllenTable"/>
        <w:tblW w:w="10025" w:type="dxa"/>
        <w:tblInd w:w="-2551" w:type="dxa"/>
        <w:tblLook w:val="04A0" w:firstRow="1" w:lastRow="0" w:firstColumn="1" w:lastColumn="0" w:noHBand="0" w:noVBand="1"/>
        <w:tblCaption w:val="Related program interactions with CBD"/>
        <w:tblDescription w:val="Related program interactions with CBD"/>
      </w:tblPr>
      <w:tblGrid>
        <w:gridCol w:w="1851"/>
        <w:gridCol w:w="1254"/>
        <w:gridCol w:w="1761"/>
        <w:gridCol w:w="1762"/>
        <w:gridCol w:w="1766"/>
        <w:gridCol w:w="1631"/>
      </w:tblGrid>
      <w:tr w:rsidR="001B28B6" w:rsidRPr="00487E6D" w14:paraId="4EC2B629" w14:textId="77777777" w:rsidTr="0069009F">
        <w:trPr>
          <w:cnfStyle w:val="100000000000" w:firstRow="1" w:lastRow="0" w:firstColumn="0" w:lastColumn="0" w:oddVBand="0" w:evenVBand="0" w:oddHBand="0" w:evenHBand="0" w:firstRowFirstColumn="0" w:firstRowLastColumn="0" w:lastRowFirstColumn="0" w:lastRowLastColumn="0"/>
          <w:tblHeader/>
        </w:trPr>
        <w:tc>
          <w:tcPr>
            <w:tcW w:w="1851" w:type="dxa"/>
          </w:tcPr>
          <w:p w14:paraId="2AC9ACC2" w14:textId="77777777" w:rsidR="001B28B6" w:rsidRPr="00A8450E" w:rsidRDefault="001B28B6" w:rsidP="00F36A56">
            <w:pPr>
              <w:pStyle w:val="Tabletext"/>
              <w:rPr>
                <w:color w:val="FFFFFF" w:themeColor="background1"/>
              </w:rPr>
            </w:pPr>
            <w:r w:rsidRPr="001B1EA3">
              <w:rPr>
                <w:color w:val="FFFFFF" w:themeColor="background1"/>
              </w:rPr>
              <w:t>Program</w:t>
            </w:r>
          </w:p>
        </w:tc>
        <w:tc>
          <w:tcPr>
            <w:tcW w:w="1254" w:type="dxa"/>
          </w:tcPr>
          <w:p w14:paraId="15F5542A" w14:textId="77777777" w:rsidR="001B28B6" w:rsidRPr="00A8450E" w:rsidRDefault="001B28B6" w:rsidP="00F36A56">
            <w:pPr>
              <w:pStyle w:val="Tabletext"/>
              <w:rPr>
                <w:color w:val="FFFFFF" w:themeColor="background1"/>
              </w:rPr>
            </w:pPr>
            <w:r w:rsidRPr="001B1EA3">
              <w:rPr>
                <w:color w:val="FFFFFF" w:themeColor="background1"/>
              </w:rPr>
              <w:t>Status</w:t>
            </w:r>
          </w:p>
        </w:tc>
        <w:tc>
          <w:tcPr>
            <w:tcW w:w="1761" w:type="dxa"/>
          </w:tcPr>
          <w:p w14:paraId="7FAA7FE2" w14:textId="77777777" w:rsidR="001B28B6" w:rsidRPr="00A8450E" w:rsidRDefault="001B28B6" w:rsidP="00F36A56">
            <w:pPr>
              <w:pStyle w:val="Tabletext"/>
              <w:rPr>
                <w:color w:val="FFFFFF" w:themeColor="background1"/>
              </w:rPr>
            </w:pPr>
            <w:r w:rsidRPr="001B1EA3">
              <w:rPr>
                <w:color w:val="FFFFFF" w:themeColor="background1"/>
              </w:rPr>
              <w:t>Main market failures addressed</w:t>
            </w:r>
          </w:p>
        </w:tc>
        <w:tc>
          <w:tcPr>
            <w:tcW w:w="1762" w:type="dxa"/>
          </w:tcPr>
          <w:p w14:paraId="4AF8FCE2" w14:textId="77777777" w:rsidR="001B28B6" w:rsidRPr="00A8450E" w:rsidRDefault="001B28B6" w:rsidP="00F36A56">
            <w:pPr>
              <w:pStyle w:val="Tabletext"/>
              <w:rPr>
                <w:color w:val="FFFFFF" w:themeColor="background1"/>
              </w:rPr>
            </w:pPr>
            <w:r w:rsidRPr="001B1EA3">
              <w:rPr>
                <w:color w:val="FFFFFF" w:themeColor="background1"/>
              </w:rPr>
              <w:t>Scope/coverage</w:t>
            </w:r>
          </w:p>
        </w:tc>
        <w:tc>
          <w:tcPr>
            <w:tcW w:w="1766" w:type="dxa"/>
          </w:tcPr>
          <w:p w14:paraId="4D0A46A3" w14:textId="77777777" w:rsidR="001B28B6" w:rsidRPr="001B1EA3" w:rsidRDefault="00CB5683" w:rsidP="00F36A56">
            <w:pPr>
              <w:pStyle w:val="Tabletext"/>
              <w:rPr>
                <w:color w:val="FFFFFF" w:themeColor="background1"/>
              </w:rPr>
            </w:pPr>
            <w:r>
              <w:rPr>
                <w:color w:val="FFFFFF" w:themeColor="background1"/>
              </w:rPr>
              <w:t>Government or industry initiative</w:t>
            </w:r>
          </w:p>
        </w:tc>
        <w:tc>
          <w:tcPr>
            <w:tcW w:w="1631" w:type="dxa"/>
          </w:tcPr>
          <w:p w14:paraId="1E44C192" w14:textId="77777777" w:rsidR="001B28B6" w:rsidRPr="00A8450E" w:rsidRDefault="001B28B6" w:rsidP="00F36A56">
            <w:pPr>
              <w:pStyle w:val="Tabletext"/>
              <w:rPr>
                <w:color w:val="FFFFFF" w:themeColor="background1"/>
              </w:rPr>
            </w:pPr>
            <w:r w:rsidRPr="001B1EA3">
              <w:rPr>
                <w:color w:val="FFFFFF" w:themeColor="background1"/>
              </w:rPr>
              <w:t>Summary of Interactions with CBD</w:t>
            </w:r>
          </w:p>
        </w:tc>
      </w:tr>
      <w:tr w:rsidR="001B28B6" w14:paraId="787C5A8A" w14:textId="77777777">
        <w:tc>
          <w:tcPr>
            <w:tcW w:w="1851" w:type="dxa"/>
          </w:tcPr>
          <w:p w14:paraId="1ED31E9C" w14:textId="77777777" w:rsidR="001B28B6" w:rsidRDefault="001B28B6" w:rsidP="00F36A56">
            <w:pPr>
              <w:pStyle w:val="Tabletext"/>
            </w:pPr>
            <w:r w:rsidRPr="006E175F">
              <w:t>National Construction Code (NCC)</w:t>
            </w:r>
          </w:p>
        </w:tc>
        <w:tc>
          <w:tcPr>
            <w:tcW w:w="1254" w:type="dxa"/>
          </w:tcPr>
          <w:p w14:paraId="244A06BD" w14:textId="77777777" w:rsidR="001B28B6" w:rsidRDefault="001B28B6" w:rsidP="00F36A56">
            <w:pPr>
              <w:pStyle w:val="Tabletext"/>
            </w:pPr>
            <w:r w:rsidRPr="006E175F">
              <w:t>Active</w:t>
            </w:r>
          </w:p>
        </w:tc>
        <w:tc>
          <w:tcPr>
            <w:tcW w:w="1761" w:type="dxa"/>
          </w:tcPr>
          <w:p w14:paraId="46F13FC0" w14:textId="77777777" w:rsidR="001B28B6" w:rsidRDefault="001B28B6" w:rsidP="00F36A56">
            <w:pPr>
              <w:pStyle w:val="Tabletext"/>
            </w:pPr>
            <w:r w:rsidRPr="006E175F">
              <w:t>Split incentives</w:t>
            </w:r>
          </w:p>
        </w:tc>
        <w:tc>
          <w:tcPr>
            <w:tcW w:w="1762" w:type="dxa"/>
          </w:tcPr>
          <w:p w14:paraId="30278058" w14:textId="77777777" w:rsidR="001B28B6" w:rsidRPr="008D6DAF" w:rsidRDefault="001B28B6" w:rsidP="00F36A56">
            <w:pPr>
              <w:pStyle w:val="Tabletext"/>
            </w:pPr>
            <w:r w:rsidRPr="006E175F">
              <w:t>National – new buildings</w:t>
            </w:r>
            <w:r>
              <w:t xml:space="preserve"> and major upgrades</w:t>
            </w:r>
          </w:p>
        </w:tc>
        <w:tc>
          <w:tcPr>
            <w:tcW w:w="1766" w:type="dxa"/>
          </w:tcPr>
          <w:p w14:paraId="76737067" w14:textId="77777777" w:rsidR="001B28B6" w:rsidRPr="006E175F" w:rsidRDefault="00F858B5" w:rsidP="00F36A56">
            <w:pPr>
              <w:pStyle w:val="Tabletext"/>
            </w:pPr>
            <w:r>
              <w:t>Commonwealth government</w:t>
            </w:r>
          </w:p>
        </w:tc>
        <w:tc>
          <w:tcPr>
            <w:tcW w:w="1631" w:type="dxa"/>
          </w:tcPr>
          <w:p w14:paraId="45AC27B6" w14:textId="77777777" w:rsidR="001B28B6" w:rsidRPr="008D6DAF" w:rsidRDefault="001B28B6" w:rsidP="00F36A56">
            <w:pPr>
              <w:pStyle w:val="Tabletext"/>
            </w:pPr>
            <w:r w:rsidRPr="006E175F">
              <w:t>Partial overlap of objectives/coverage</w:t>
            </w:r>
          </w:p>
        </w:tc>
      </w:tr>
      <w:tr w:rsidR="001B28B6" w14:paraId="1ABDF0C2" w14:textId="77777777">
        <w:tc>
          <w:tcPr>
            <w:tcW w:w="1851" w:type="dxa"/>
          </w:tcPr>
          <w:p w14:paraId="55AA4FC6" w14:textId="77777777" w:rsidR="001B28B6" w:rsidRDefault="001B28B6" w:rsidP="00F36A56">
            <w:pPr>
              <w:pStyle w:val="Tabletext"/>
            </w:pPr>
            <w:r w:rsidRPr="006E175F">
              <w:t>Minimum Energy Performance Standards (MEPS)</w:t>
            </w:r>
          </w:p>
        </w:tc>
        <w:tc>
          <w:tcPr>
            <w:tcW w:w="1254" w:type="dxa"/>
          </w:tcPr>
          <w:p w14:paraId="01C351A6" w14:textId="77777777" w:rsidR="001B28B6" w:rsidRDefault="001B28B6" w:rsidP="00F36A56">
            <w:pPr>
              <w:pStyle w:val="Tabletext"/>
            </w:pPr>
            <w:r w:rsidRPr="006E175F">
              <w:t>Active</w:t>
            </w:r>
          </w:p>
        </w:tc>
        <w:tc>
          <w:tcPr>
            <w:tcW w:w="1761" w:type="dxa"/>
          </w:tcPr>
          <w:p w14:paraId="3D20044D" w14:textId="77777777" w:rsidR="001B28B6" w:rsidRDefault="001B28B6" w:rsidP="00F36A56">
            <w:pPr>
              <w:pStyle w:val="Tabletext"/>
            </w:pPr>
            <w:r w:rsidRPr="006E175F">
              <w:t>Inadequate and asymmetric information</w:t>
            </w:r>
          </w:p>
        </w:tc>
        <w:tc>
          <w:tcPr>
            <w:tcW w:w="1762" w:type="dxa"/>
          </w:tcPr>
          <w:p w14:paraId="1051E441" w14:textId="77777777" w:rsidR="001B28B6" w:rsidRPr="008D6DAF" w:rsidRDefault="001B28B6" w:rsidP="00F36A56">
            <w:pPr>
              <w:pStyle w:val="Tabletext"/>
            </w:pPr>
            <w:r w:rsidRPr="006E175F">
              <w:t>National – new appliances</w:t>
            </w:r>
          </w:p>
        </w:tc>
        <w:tc>
          <w:tcPr>
            <w:tcW w:w="1766" w:type="dxa"/>
          </w:tcPr>
          <w:p w14:paraId="30AE59C5" w14:textId="77777777" w:rsidR="001B28B6" w:rsidRPr="006E175F" w:rsidRDefault="00F858B5" w:rsidP="00F36A56">
            <w:pPr>
              <w:pStyle w:val="Tabletext"/>
            </w:pPr>
            <w:r>
              <w:t>Commonwealth government</w:t>
            </w:r>
          </w:p>
        </w:tc>
        <w:tc>
          <w:tcPr>
            <w:tcW w:w="1631" w:type="dxa"/>
          </w:tcPr>
          <w:p w14:paraId="2BB6B156" w14:textId="77777777" w:rsidR="001B28B6" w:rsidRPr="008D6DAF" w:rsidRDefault="001B28B6" w:rsidP="00F36A56">
            <w:pPr>
              <w:pStyle w:val="Tabletext"/>
            </w:pPr>
            <w:r w:rsidRPr="006E175F">
              <w:t>Partial overlap of objectives/coverage</w:t>
            </w:r>
          </w:p>
        </w:tc>
      </w:tr>
      <w:tr w:rsidR="001B28B6" w14:paraId="040F8C45" w14:textId="77777777">
        <w:tc>
          <w:tcPr>
            <w:tcW w:w="1851" w:type="dxa"/>
          </w:tcPr>
          <w:p w14:paraId="03CA0504" w14:textId="77777777" w:rsidR="001B28B6" w:rsidRDefault="001B28B6" w:rsidP="00F36A56">
            <w:pPr>
              <w:pStyle w:val="Tabletext"/>
            </w:pPr>
            <w:r w:rsidRPr="006E175F">
              <w:t>Energy Efficiency Opportunities (EEO)</w:t>
            </w:r>
          </w:p>
        </w:tc>
        <w:tc>
          <w:tcPr>
            <w:tcW w:w="1254" w:type="dxa"/>
          </w:tcPr>
          <w:p w14:paraId="782F2951" w14:textId="77777777" w:rsidR="001B28B6" w:rsidRDefault="001B28B6" w:rsidP="00F36A56">
            <w:pPr>
              <w:pStyle w:val="Tabletext"/>
            </w:pPr>
            <w:r>
              <w:t xml:space="preserve">Ceased </w:t>
            </w:r>
            <w:r w:rsidRPr="006E175F">
              <w:t>as of 29th June 2014</w:t>
            </w:r>
          </w:p>
        </w:tc>
        <w:tc>
          <w:tcPr>
            <w:tcW w:w="1761" w:type="dxa"/>
          </w:tcPr>
          <w:p w14:paraId="4450F17A" w14:textId="77777777" w:rsidR="001B28B6" w:rsidRDefault="001B28B6" w:rsidP="00F36A56">
            <w:pPr>
              <w:pStyle w:val="Tabletext"/>
            </w:pPr>
            <w:r w:rsidRPr="006E175F">
              <w:t>Inadequate and asymmetric information</w:t>
            </w:r>
          </w:p>
        </w:tc>
        <w:tc>
          <w:tcPr>
            <w:tcW w:w="1762" w:type="dxa"/>
          </w:tcPr>
          <w:p w14:paraId="704CA245" w14:textId="77777777" w:rsidR="001B28B6" w:rsidRPr="008D6DAF" w:rsidRDefault="001B28B6" w:rsidP="00A70EAE">
            <w:pPr>
              <w:pStyle w:val="Tabletext"/>
            </w:pPr>
            <w:r w:rsidRPr="006E175F">
              <w:t xml:space="preserve">National - </w:t>
            </w:r>
            <w:r>
              <w:t>l</w:t>
            </w:r>
            <w:r w:rsidRPr="006E175F">
              <w:t xml:space="preserve">arge energy users </w:t>
            </w:r>
          </w:p>
        </w:tc>
        <w:tc>
          <w:tcPr>
            <w:tcW w:w="1766" w:type="dxa"/>
          </w:tcPr>
          <w:p w14:paraId="46FA1FCF" w14:textId="77777777" w:rsidR="001B28B6" w:rsidRPr="006E175F" w:rsidRDefault="00F858B5" w:rsidP="00F36A56">
            <w:pPr>
              <w:pStyle w:val="Tabletext"/>
            </w:pPr>
            <w:r>
              <w:t>Commonwealth government</w:t>
            </w:r>
          </w:p>
        </w:tc>
        <w:tc>
          <w:tcPr>
            <w:tcW w:w="1631" w:type="dxa"/>
          </w:tcPr>
          <w:p w14:paraId="04A33406" w14:textId="77777777" w:rsidR="001B28B6" w:rsidRPr="008D6DAF" w:rsidRDefault="001B28B6" w:rsidP="00F36A56">
            <w:pPr>
              <w:pStyle w:val="Tabletext"/>
            </w:pPr>
            <w:r w:rsidRPr="006E175F">
              <w:t>Complementary</w:t>
            </w:r>
          </w:p>
        </w:tc>
      </w:tr>
      <w:tr w:rsidR="001B28B6" w:rsidRPr="008D6DAF" w14:paraId="517FDD4A" w14:textId="77777777">
        <w:tc>
          <w:tcPr>
            <w:tcW w:w="1851" w:type="dxa"/>
          </w:tcPr>
          <w:p w14:paraId="6384EE7C" w14:textId="77777777" w:rsidR="001B28B6" w:rsidRDefault="001B28B6" w:rsidP="00F36A56">
            <w:pPr>
              <w:pStyle w:val="Tabletext"/>
            </w:pPr>
            <w:r w:rsidRPr="006E175F">
              <w:t>Energy Efficiency Exchange (EEX)</w:t>
            </w:r>
          </w:p>
        </w:tc>
        <w:tc>
          <w:tcPr>
            <w:tcW w:w="1254" w:type="dxa"/>
          </w:tcPr>
          <w:p w14:paraId="7DBDE675" w14:textId="77777777" w:rsidR="001B28B6" w:rsidRDefault="001B28B6" w:rsidP="00F36A56">
            <w:pPr>
              <w:pStyle w:val="Tabletext"/>
            </w:pPr>
            <w:r w:rsidRPr="006E175F">
              <w:t>Active</w:t>
            </w:r>
          </w:p>
        </w:tc>
        <w:tc>
          <w:tcPr>
            <w:tcW w:w="1761" w:type="dxa"/>
          </w:tcPr>
          <w:p w14:paraId="793F076B" w14:textId="77777777" w:rsidR="001B28B6" w:rsidRPr="008D6DAF" w:rsidRDefault="001B28B6" w:rsidP="00F36A56">
            <w:pPr>
              <w:pStyle w:val="Tabletext"/>
            </w:pPr>
            <w:r w:rsidRPr="006E175F">
              <w:t>Inadequate and asymmetric information</w:t>
            </w:r>
          </w:p>
        </w:tc>
        <w:tc>
          <w:tcPr>
            <w:tcW w:w="1762" w:type="dxa"/>
          </w:tcPr>
          <w:p w14:paraId="020C89E3" w14:textId="77777777" w:rsidR="001B28B6" w:rsidRPr="001A5B71" w:rsidRDefault="001B28B6" w:rsidP="00A70EAE">
            <w:pPr>
              <w:pStyle w:val="Tabletext"/>
            </w:pPr>
            <w:r w:rsidRPr="006E175F">
              <w:t xml:space="preserve">National - </w:t>
            </w:r>
            <w:r>
              <w:t>l</w:t>
            </w:r>
            <w:r w:rsidRPr="006E175F">
              <w:t>arge energy users</w:t>
            </w:r>
          </w:p>
        </w:tc>
        <w:tc>
          <w:tcPr>
            <w:tcW w:w="1766" w:type="dxa"/>
          </w:tcPr>
          <w:p w14:paraId="3612803D" w14:textId="77777777" w:rsidR="001B28B6" w:rsidRPr="006E175F" w:rsidRDefault="00F858B5" w:rsidP="00F36A56">
            <w:pPr>
              <w:pStyle w:val="Tabletext"/>
            </w:pPr>
            <w:r>
              <w:t>Commonwealth government</w:t>
            </w:r>
          </w:p>
        </w:tc>
        <w:tc>
          <w:tcPr>
            <w:tcW w:w="1631" w:type="dxa"/>
          </w:tcPr>
          <w:p w14:paraId="7ECE7588" w14:textId="77777777" w:rsidR="001B28B6" w:rsidRPr="001A5B71" w:rsidRDefault="001B28B6" w:rsidP="00F36A56">
            <w:pPr>
              <w:pStyle w:val="Tabletext"/>
            </w:pPr>
            <w:r w:rsidRPr="006E175F">
              <w:t>Complementary</w:t>
            </w:r>
          </w:p>
        </w:tc>
      </w:tr>
      <w:tr w:rsidR="001B28B6" w14:paraId="7C750EF2" w14:textId="77777777">
        <w:tc>
          <w:tcPr>
            <w:tcW w:w="1851" w:type="dxa"/>
          </w:tcPr>
          <w:p w14:paraId="31593587" w14:textId="77777777" w:rsidR="001B28B6" w:rsidRDefault="001B28B6" w:rsidP="00F36A56">
            <w:pPr>
              <w:pStyle w:val="Tabletext"/>
            </w:pPr>
            <w:r w:rsidRPr="006E175F">
              <w:t>Energy Efficiency in Government Operations (EEGO)</w:t>
            </w:r>
          </w:p>
        </w:tc>
        <w:tc>
          <w:tcPr>
            <w:tcW w:w="1254" w:type="dxa"/>
          </w:tcPr>
          <w:p w14:paraId="4667471F" w14:textId="77777777" w:rsidR="001B28B6" w:rsidRDefault="001B28B6" w:rsidP="00F36A56">
            <w:pPr>
              <w:pStyle w:val="Tabletext"/>
            </w:pPr>
            <w:r w:rsidRPr="006E175F">
              <w:t>Active</w:t>
            </w:r>
          </w:p>
        </w:tc>
        <w:tc>
          <w:tcPr>
            <w:tcW w:w="1761" w:type="dxa"/>
          </w:tcPr>
          <w:p w14:paraId="03204A41" w14:textId="77777777" w:rsidR="001B28B6" w:rsidRDefault="001B28B6" w:rsidP="00F36A56">
            <w:pPr>
              <w:pStyle w:val="Tabletext"/>
            </w:pPr>
            <w:r w:rsidRPr="006E175F">
              <w:t>Adverse selection</w:t>
            </w:r>
          </w:p>
        </w:tc>
        <w:tc>
          <w:tcPr>
            <w:tcW w:w="1762" w:type="dxa"/>
          </w:tcPr>
          <w:p w14:paraId="08CD58DD" w14:textId="77777777" w:rsidR="001B28B6" w:rsidRDefault="001B28B6" w:rsidP="00F36A56">
            <w:pPr>
              <w:pStyle w:val="Tabletext"/>
            </w:pPr>
            <w:r w:rsidRPr="006E175F">
              <w:t>Australian government agencies</w:t>
            </w:r>
          </w:p>
        </w:tc>
        <w:tc>
          <w:tcPr>
            <w:tcW w:w="1766" w:type="dxa"/>
          </w:tcPr>
          <w:p w14:paraId="48D6C112" w14:textId="77777777" w:rsidR="001B28B6" w:rsidRPr="006E175F" w:rsidRDefault="00F858B5" w:rsidP="00F36A56">
            <w:pPr>
              <w:pStyle w:val="Tabletext"/>
            </w:pPr>
            <w:r>
              <w:t>Commonwealth government</w:t>
            </w:r>
          </w:p>
        </w:tc>
        <w:tc>
          <w:tcPr>
            <w:tcW w:w="1631" w:type="dxa"/>
          </w:tcPr>
          <w:p w14:paraId="71B9B581" w14:textId="77777777" w:rsidR="001B28B6" w:rsidRDefault="001B28B6" w:rsidP="00F36A56">
            <w:pPr>
              <w:pStyle w:val="Tabletext"/>
            </w:pPr>
            <w:r w:rsidRPr="006E175F">
              <w:t>Complementary</w:t>
            </w:r>
          </w:p>
        </w:tc>
      </w:tr>
      <w:tr w:rsidR="001B28B6" w14:paraId="62973A2E" w14:textId="77777777">
        <w:tc>
          <w:tcPr>
            <w:tcW w:w="1851" w:type="dxa"/>
          </w:tcPr>
          <w:p w14:paraId="31CB4823" w14:textId="77777777" w:rsidR="001B28B6" w:rsidRDefault="001B28B6" w:rsidP="00F36A56">
            <w:pPr>
              <w:pStyle w:val="Tabletext"/>
            </w:pPr>
            <w:r w:rsidRPr="00B43277">
              <w:t>Energy Saver Program</w:t>
            </w:r>
          </w:p>
        </w:tc>
        <w:tc>
          <w:tcPr>
            <w:tcW w:w="1254" w:type="dxa"/>
          </w:tcPr>
          <w:p w14:paraId="5E9B21AF" w14:textId="77777777" w:rsidR="001B28B6" w:rsidRDefault="001B28B6" w:rsidP="00F36A56">
            <w:pPr>
              <w:pStyle w:val="Tabletext"/>
            </w:pPr>
            <w:r w:rsidRPr="00B43277">
              <w:t>Active</w:t>
            </w:r>
          </w:p>
        </w:tc>
        <w:tc>
          <w:tcPr>
            <w:tcW w:w="1761" w:type="dxa"/>
          </w:tcPr>
          <w:p w14:paraId="00680E8B" w14:textId="77777777" w:rsidR="001B28B6" w:rsidRDefault="001B28B6" w:rsidP="00F36A56">
            <w:pPr>
              <w:pStyle w:val="Tabletext"/>
            </w:pPr>
            <w:r w:rsidRPr="00B43277">
              <w:t>Inadequate and asymmetric information</w:t>
            </w:r>
          </w:p>
        </w:tc>
        <w:tc>
          <w:tcPr>
            <w:tcW w:w="1762" w:type="dxa"/>
          </w:tcPr>
          <w:p w14:paraId="3302A76A" w14:textId="77777777" w:rsidR="001B28B6" w:rsidRDefault="001B28B6" w:rsidP="00F36A56">
            <w:pPr>
              <w:pStyle w:val="Tabletext"/>
            </w:pPr>
            <w:r w:rsidRPr="00B43277">
              <w:t>NSW – focus on data centres, manufacturing, warehousing, cold storage and heritage buildings</w:t>
            </w:r>
          </w:p>
        </w:tc>
        <w:tc>
          <w:tcPr>
            <w:tcW w:w="1766" w:type="dxa"/>
          </w:tcPr>
          <w:p w14:paraId="07DD5AD7" w14:textId="77777777" w:rsidR="001B28B6" w:rsidRPr="00B43277" w:rsidRDefault="00F858B5" w:rsidP="00F36A56">
            <w:pPr>
              <w:pStyle w:val="Tabletext"/>
            </w:pPr>
            <w:r>
              <w:t>NSW government</w:t>
            </w:r>
          </w:p>
        </w:tc>
        <w:tc>
          <w:tcPr>
            <w:tcW w:w="1631" w:type="dxa"/>
          </w:tcPr>
          <w:p w14:paraId="51F296FD" w14:textId="77777777" w:rsidR="001B28B6" w:rsidRDefault="001B28B6" w:rsidP="00F36A56">
            <w:pPr>
              <w:pStyle w:val="Tabletext"/>
            </w:pPr>
            <w:r w:rsidRPr="00B43277">
              <w:t>Complementary</w:t>
            </w:r>
          </w:p>
        </w:tc>
      </w:tr>
      <w:tr w:rsidR="001B28B6" w14:paraId="207678CC" w14:textId="77777777">
        <w:tc>
          <w:tcPr>
            <w:tcW w:w="1851" w:type="dxa"/>
          </w:tcPr>
          <w:p w14:paraId="5E9FE17B" w14:textId="77777777" w:rsidR="001B28B6" w:rsidRDefault="001B28B6" w:rsidP="00F36A56">
            <w:pPr>
              <w:pStyle w:val="Tabletext"/>
            </w:pPr>
            <w:r w:rsidRPr="00B43277">
              <w:t>Energy Savings Scheme (ESS)</w:t>
            </w:r>
          </w:p>
        </w:tc>
        <w:tc>
          <w:tcPr>
            <w:tcW w:w="1254" w:type="dxa"/>
          </w:tcPr>
          <w:p w14:paraId="369A25AB" w14:textId="77777777" w:rsidR="001B28B6" w:rsidRDefault="001B28B6" w:rsidP="00F36A56">
            <w:pPr>
              <w:pStyle w:val="Tabletext"/>
            </w:pPr>
            <w:r w:rsidRPr="00B43277">
              <w:t>Active</w:t>
            </w:r>
          </w:p>
        </w:tc>
        <w:tc>
          <w:tcPr>
            <w:tcW w:w="1761" w:type="dxa"/>
          </w:tcPr>
          <w:p w14:paraId="52A3DFDF" w14:textId="77777777" w:rsidR="001B28B6" w:rsidRDefault="001B28B6" w:rsidP="00F36A56">
            <w:pPr>
              <w:pStyle w:val="Tabletext"/>
            </w:pPr>
            <w:r w:rsidRPr="00B43277">
              <w:t>Market failures associated with climate change</w:t>
            </w:r>
          </w:p>
        </w:tc>
        <w:tc>
          <w:tcPr>
            <w:tcW w:w="1762" w:type="dxa"/>
          </w:tcPr>
          <w:p w14:paraId="73D0442D" w14:textId="77777777" w:rsidR="001B28B6" w:rsidRDefault="001B28B6" w:rsidP="00F36A56">
            <w:pPr>
              <w:pStyle w:val="Tabletext"/>
            </w:pPr>
            <w:r w:rsidRPr="00B43277">
              <w:t>NSW – businesses</w:t>
            </w:r>
          </w:p>
        </w:tc>
        <w:tc>
          <w:tcPr>
            <w:tcW w:w="1766" w:type="dxa"/>
          </w:tcPr>
          <w:p w14:paraId="17D46E35" w14:textId="77777777" w:rsidR="001B28B6" w:rsidRPr="00B43277" w:rsidRDefault="00F858B5" w:rsidP="00F36A56">
            <w:pPr>
              <w:pStyle w:val="Tabletext"/>
            </w:pPr>
            <w:r>
              <w:t>NSW government</w:t>
            </w:r>
          </w:p>
        </w:tc>
        <w:tc>
          <w:tcPr>
            <w:tcW w:w="1631" w:type="dxa"/>
          </w:tcPr>
          <w:p w14:paraId="4B94A478" w14:textId="77777777" w:rsidR="001B28B6" w:rsidRDefault="001B28B6" w:rsidP="00F36A56">
            <w:pPr>
              <w:pStyle w:val="Tabletext"/>
            </w:pPr>
            <w:r w:rsidRPr="00B43277">
              <w:t>Complementary</w:t>
            </w:r>
          </w:p>
        </w:tc>
      </w:tr>
      <w:tr w:rsidR="001B28B6" w14:paraId="357F3C7D" w14:textId="77777777">
        <w:tc>
          <w:tcPr>
            <w:tcW w:w="1851" w:type="dxa"/>
          </w:tcPr>
          <w:p w14:paraId="7C04DE7B" w14:textId="77777777" w:rsidR="001B28B6" w:rsidRDefault="001B28B6" w:rsidP="00F36A56">
            <w:pPr>
              <w:pStyle w:val="Tabletext"/>
            </w:pPr>
            <w:r w:rsidRPr="00B43277">
              <w:t>Victorian Energy Efficiency Target (VEET)</w:t>
            </w:r>
          </w:p>
        </w:tc>
        <w:tc>
          <w:tcPr>
            <w:tcW w:w="1254" w:type="dxa"/>
          </w:tcPr>
          <w:p w14:paraId="61D8139C" w14:textId="77777777" w:rsidR="001B28B6" w:rsidRDefault="001B28B6" w:rsidP="00F36A56">
            <w:pPr>
              <w:pStyle w:val="Tabletext"/>
            </w:pPr>
            <w:r w:rsidRPr="00B43277">
              <w:t>Active</w:t>
            </w:r>
          </w:p>
        </w:tc>
        <w:tc>
          <w:tcPr>
            <w:tcW w:w="1761" w:type="dxa"/>
          </w:tcPr>
          <w:p w14:paraId="39753C7C" w14:textId="77777777" w:rsidR="001B28B6" w:rsidRDefault="001B28B6" w:rsidP="00F36A56">
            <w:pPr>
              <w:pStyle w:val="Tabletext"/>
            </w:pPr>
            <w:r w:rsidRPr="00B43277">
              <w:t>Market failures associated with climate change</w:t>
            </w:r>
          </w:p>
        </w:tc>
        <w:tc>
          <w:tcPr>
            <w:tcW w:w="1762" w:type="dxa"/>
          </w:tcPr>
          <w:p w14:paraId="619E41B4" w14:textId="77777777" w:rsidR="001B28B6" w:rsidRDefault="001B28B6" w:rsidP="00F36A56">
            <w:pPr>
              <w:pStyle w:val="Tabletext"/>
            </w:pPr>
            <w:r w:rsidRPr="00B43277">
              <w:t>VIC - homes, businesses or other non-residential premises</w:t>
            </w:r>
          </w:p>
        </w:tc>
        <w:tc>
          <w:tcPr>
            <w:tcW w:w="1766" w:type="dxa"/>
          </w:tcPr>
          <w:p w14:paraId="0F4B7C5F" w14:textId="77777777" w:rsidR="001B28B6" w:rsidRPr="00B43277" w:rsidRDefault="00F858B5" w:rsidP="00F36A56">
            <w:pPr>
              <w:pStyle w:val="Tabletext"/>
            </w:pPr>
            <w:r>
              <w:t>VIC government</w:t>
            </w:r>
          </w:p>
        </w:tc>
        <w:tc>
          <w:tcPr>
            <w:tcW w:w="1631" w:type="dxa"/>
          </w:tcPr>
          <w:p w14:paraId="5DEF0427" w14:textId="77777777" w:rsidR="001B28B6" w:rsidRDefault="001B28B6" w:rsidP="00F36A56">
            <w:pPr>
              <w:pStyle w:val="Tabletext"/>
            </w:pPr>
            <w:r w:rsidRPr="00B43277">
              <w:t>Complementary</w:t>
            </w:r>
          </w:p>
        </w:tc>
      </w:tr>
      <w:tr w:rsidR="001B28B6" w14:paraId="4BD1A1FB" w14:textId="77777777">
        <w:tc>
          <w:tcPr>
            <w:tcW w:w="1851" w:type="dxa"/>
          </w:tcPr>
          <w:p w14:paraId="6D404599" w14:textId="77777777" w:rsidR="001B28B6" w:rsidRDefault="001B28B6" w:rsidP="00F36A56">
            <w:pPr>
              <w:pStyle w:val="Tabletext"/>
            </w:pPr>
            <w:r w:rsidRPr="00B43277">
              <w:t>Efficient Government Buildings</w:t>
            </w:r>
          </w:p>
        </w:tc>
        <w:tc>
          <w:tcPr>
            <w:tcW w:w="1254" w:type="dxa"/>
          </w:tcPr>
          <w:p w14:paraId="55BAF5A4" w14:textId="77777777" w:rsidR="001B28B6" w:rsidRDefault="001B28B6" w:rsidP="00F36A56">
            <w:pPr>
              <w:pStyle w:val="Tabletext"/>
            </w:pPr>
            <w:r w:rsidRPr="00B43277">
              <w:t>Active</w:t>
            </w:r>
          </w:p>
        </w:tc>
        <w:tc>
          <w:tcPr>
            <w:tcW w:w="1761" w:type="dxa"/>
          </w:tcPr>
          <w:p w14:paraId="006E868C" w14:textId="77777777" w:rsidR="001B28B6" w:rsidRDefault="001B28B6" w:rsidP="00F36A56">
            <w:pPr>
              <w:pStyle w:val="Tabletext"/>
            </w:pPr>
            <w:r w:rsidRPr="00B43277">
              <w:t>Capital Constraints</w:t>
            </w:r>
          </w:p>
        </w:tc>
        <w:tc>
          <w:tcPr>
            <w:tcW w:w="1762" w:type="dxa"/>
          </w:tcPr>
          <w:p w14:paraId="2B2C66E7" w14:textId="77777777" w:rsidR="001B28B6" w:rsidRDefault="001B28B6" w:rsidP="00F36A56">
            <w:pPr>
              <w:pStyle w:val="Tabletext"/>
            </w:pPr>
            <w:r w:rsidRPr="00B43277">
              <w:t>VIC – government buildings</w:t>
            </w:r>
          </w:p>
        </w:tc>
        <w:tc>
          <w:tcPr>
            <w:tcW w:w="1766" w:type="dxa"/>
          </w:tcPr>
          <w:p w14:paraId="61746EAE" w14:textId="77777777" w:rsidR="001B28B6" w:rsidRPr="00B43277" w:rsidRDefault="00F858B5" w:rsidP="00F36A56">
            <w:pPr>
              <w:pStyle w:val="Tabletext"/>
            </w:pPr>
            <w:r>
              <w:t>VIC government</w:t>
            </w:r>
          </w:p>
        </w:tc>
        <w:tc>
          <w:tcPr>
            <w:tcW w:w="1631" w:type="dxa"/>
          </w:tcPr>
          <w:p w14:paraId="4AC6E87B" w14:textId="77777777" w:rsidR="001B28B6" w:rsidRDefault="001B28B6" w:rsidP="00F36A56">
            <w:pPr>
              <w:pStyle w:val="Tabletext"/>
            </w:pPr>
            <w:r w:rsidRPr="00B43277">
              <w:t>Complementary</w:t>
            </w:r>
          </w:p>
        </w:tc>
      </w:tr>
      <w:tr w:rsidR="001B28B6" w14:paraId="13EADF98" w14:textId="77777777">
        <w:tc>
          <w:tcPr>
            <w:tcW w:w="1851" w:type="dxa"/>
          </w:tcPr>
          <w:p w14:paraId="443FF838" w14:textId="77777777" w:rsidR="001B28B6" w:rsidRDefault="001B28B6" w:rsidP="00F36A56">
            <w:pPr>
              <w:pStyle w:val="Tabletext"/>
            </w:pPr>
            <w:r w:rsidRPr="000A3EE6">
              <w:t>1200 Buildings program</w:t>
            </w:r>
          </w:p>
        </w:tc>
        <w:tc>
          <w:tcPr>
            <w:tcW w:w="1254" w:type="dxa"/>
          </w:tcPr>
          <w:p w14:paraId="6522549B" w14:textId="77777777" w:rsidR="001B28B6" w:rsidRDefault="001B28B6" w:rsidP="00F36A56">
            <w:pPr>
              <w:pStyle w:val="Tabletext"/>
            </w:pPr>
            <w:r>
              <w:t>Active</w:t>
            </w:r>
          </w:p>
        </w:tc>
        <w:tc>
          <w:tcPr>
            <w:tcW w:w="1761" w:type="dxa"/>
          </w:tcPr>
          <w:p w14:paraId="7114BD76" w14:textId="77777777" w:rsidR="001B28B6" w:rsidRDefault="001B28B6" w:rsidP="003F5F13">
            <w:pPr>
              <w:pStyle w:val="Tabletext"/>
            </w:pPr>
            <w:r w:rsidRPr="009B6C2D">
              <w:t>Inadequate and asymmetric information</w:t>
            </w:r>
          </w:p>
          <w:p w14:paraId="43B53B13" w14:textId="77777777" w:rsidR="001B28B6" w:rsidRDefault="001B28B6" w:rsidP="00F36A56">
            <w:pPr>
              <w:pStyle w:val="Tabletext"/>
            </w:pPr>
            <w:r>
              <w:t>Capital constraints</w:t>
            </w:r>
          </w:p>
        </w:tc>
        <w:tc>
          <w:tcPr>
            <w:tcW w:w="1762" w:type="dxa"/>
          </w:tcPr>
          <w:p w14:paraId="1AA80E43" w14:textId="77777777" w:rsidR="001B28B6" w:rsidRDefault="001B28B6" w:rsidP="00F36A56">
            <w:pPr>
              <w:pStyle w:val="Tabletext"/>
            </w:pPr>
            <w:r>
              <w:t>Melbourne – buildings owners, managers and facility managers</w:t>
            </w:r>
          </w:p>
        </w:tc>
        <w:tc>
          <w:tcPr>
            <w:tcW w:w="1766" w:type="dxa"/>
          </w:tcPr>
          <w:p w14:paraId="3C37E952" w14:textId="77777777" w:rsidR="001B28B6" w:rsidRDefault="00CB5683" w:rsidP="00F36A56">
            <w:pPr>
              <w:pStyle w:val="Tabletext"/>
            </w:pPr>
            <w:r>
              <w:t>City of Melbourne</w:t>
            </w:r>
          </w:p>
        </w:tc>
        <w:tc>
          <w:tcPr>
            <w:tcW w:w="1631" w:type="dxa"/>
          </w:tcPr>
          <w:p w14:paraId="47FEC57B" w14:textId="77777777" w:rsidR="001B28B6" w:rsidRDefault="001B28B6" w:rsidP="00F36A56">
            <w:pPr>
              <w:pStyle w:val="Tabletext"/>
            </w:pPr>
            <w:r>
              <w:t>Complementary</w:t>
            </w:r>
          </w:p>
        </w:tc>
      </w:tr>
      <w:tr w:rsidR="001B28B6" w14:paraId="6E4CF60A" w14:textId="77777777">
        <w:tc>
          <w:tcPr>
            <w:tcW w:w="1851" w:type="dxa"/>
          </w:tcPr>
          <w:p w14:paraId="349090E1" w14:textId="77777777" w:rsidR="001B28B6" w:rsidRDefault="001B28B6" w:rsidP="00F36A56">
            <w:pPr>
              <w:pStyle w:val="Tabletext"/>
            </w:pPr>
            <w:r>
              <w:t>Green Star</w:t>
            </w:r>
          </w:p>
        </w:tc>
        <w:tc>
          <w:tcPr>
            <w:tcW w:w="1254" w:type="dxa"/>
          </w:tcPr>
          <w:p w14:paraId="2912C63B" w14:textId="77777777" w:rsidR="001B28B6" w:rsidRDefault="001B28B6" w:rsidP="00F36A56">
            <w:pPr>
              <w:pStyle w:val="Tabletext"/>
            </w:pPr>
            <w:r>
              <w:t>Active</w:t>
            </w:r>
          </w:p>
        </w:tc>
        <w:tc>
          <w:tcPr>
            <w:tcW w:w="1761" w:type="dxa"/>
          </w:tcPr>
          <w:p w14:paraId="504B8BA4" w14:textId="77777777" w:rsidR="001B28B6" w:rsidRDefault="001B28B6" w:rsidP="00F36A56">
            <w:pPr>
              <w:pStyle w:val="Tabletext"/>
            </w:pPr>
            <w:r w:rsidRPr="009B6C2D">
              <w:t>Inadequate and asymmetric information</w:t>
            </w:r>
          </w:p>
        </w:tc>
        <w:tc>
          <w:tcPr>
            <w:tcW w:w="1762" w:type="dxa"/>
          </w:tcPr>
          <w:p w14:paraId="7D38F3FB" w14:textId="77777777" w:rsidR="001B28B6" w:rsidRDefault="001B28B6" w:rsidP="00DD5378">
            <w:pPr>
              <w:pStyle w:val="Tabletext"/>
            </w:pPr>
            <w:r>
              <w:t>National –</w:t>
            </w:r>
            <w:r w:rsidR="00CF51A5">
              <w:t xml:space="preserve"> </w:t>
            </w:r>
            <w:r w:rsidR="00F858B5">
              <w:t>building owners</w:t>
            </w:r>
            <w:r w:rsidR="00CF51A5">
              <w:t>, tenants</w:t>
            </w:r>
          </w:p>
        </w:tc>
        <w:tc>
          <w:tcPr>
            <w:tcW w:w="1766" w:type="dxa"/>
          </w:tcPr>
          <w:p w14:paraId="0CF4E97C" w14:textId="77777777" w:rsidR="001B28B6" w:rsidRDefault="00CB5683" w:rsidP="00F36A56">
            <w:pPr>
              <w:pStyle w:val="Tabletext"/>
            </w:pPr>
            <w:r>
              <w:t xml:space="preserve">Property </w:t>
            </w:r>
            <w:r w:rsidR="00220B16">
              <w:t>i</w:t>
            </w:r>
            <w:r>
              <w:t>ndustry</w:t>
            </w:r>
          </w:p>
        </w:tc>
        <w:tc>
          <w:tcPr>
            <w:tcW w:w="1631" w:type="dxa"/>
          </w:tcPr>
          <w:p w14:paraId="2AADF2EB" w14:textId="77777777" w:rsidR="001B28B6" w:rsidRDefault="001B28B6" w:rsidP="00F36A56">
            <w:pPr>
              <w:pStyle w:val="Tabletext"/>
            </w:pPr>
            <w:r>
              <w:t>Partial overlap of objectives/coverage</w:t>
            </w:r>
          </w:p>
        </w:tc>
      </w:tr>
      <w:tr w:rsidR="001B28B6" w14:paraId="75F31A1F" w14:textId="77777777">
        <w:tc>
          <w:tcPr>
            <w:tcW w:w="1851" w:type="dxa"/>
          </w:tcPr>
          <w:p w14:paraId="1987C137" w14:textId="77777777" w:rsidR="001B28B6" w:rsidRDefault="001B28B6" w:rsidP="00F36A56">
            <w:pPr>
              <w:pStyle w:val="Tabletext"/>
            </w:pPr>
            <w:r>
              <w:t>Carbon Price – Clean Energy Future (CEF)/Carbon Pricing Mechanism (CPM)</w:t>
            </w:r>
          </w:p>
        </w:tc>
        <w:tc>
          <w:tcPr>
            <w:tcW w:w="1254" w:type="dxa"/>
          </w:tcPr>
          <w:p w14:paraId="080C1DE5" w14:textId="77777777" w:rsidR="001B28B6" w:rsidRDefault="001B28B6" w:rsidP="00F36A56">
            <w:pPr>
              <w:pStyle w:val="Tabletext"/>
            </w:pPr>
            <w:r>
              <w:t>Legislation repealed</w:t>
            </w:r>
          </w:p>
        </w:tc>
        <w:tc>
          <w:tcPr>
            <w:tcW w:w="1761" w:type="dxa"/>
          </w:tcPr>
          <w:p w14:paraId="53E39589" w14:textId="77777777" w:rsidR="001B28B6" w:rsidRPr="009B6C2D" w:rsidRDefault="001B28B6" w:rsidP="00F36A56">
            <w:pPr>
              <w:pStyle w:val="Tabletext"/>
            </w:pPr>
            <w:r>
              <w:t>Externalities associated with climate change</w:t>
            </w:r>
          </w:p>
        </w:tc>
        <w:tc>
          <w:tcPr>
            <w:tcW w:w="1762" w:type="dxa"/>
          </w:tcPr>
          <w:p w14:paraId="5CEC7D36" w14:textId="77777777" w:rsidR="001B28B6" w:rsidRDefault="001B28B6" w:rsidP="00F36A56">
            <w:pPr>
              <w:pStyle w:val="Tabletext"/>
            </w:pPr>
            <w:r>
              <w:t>National – direct sources of GHG emissions</w:t>
            </w:r>
          </w:p>
        </w:tc>
        <w:tc>
          <w:tcPr>
            <w:tcW w:w="1766" w:type="dxa"/>
          </w:tcPr>
          <w:p w14:paraId="778C75A7" w14:textId="77777777" w:rsidR="001B28B6" w:rsidRDefault="00CB5683" w:rsidP="00F36A56">
            <w:pPr>
              <w:pStyle w:val="Tabletext"/>
            </w:pPr>
            <w:r>
              <w:t>Commonwealth government</w:t>
            </w:r>
          </w:p>
        </w:tc>
        <w:tc>
          <w:tcPr>
            <w:tcW w:w="1631" w:type="dxa"/>
          </w:tcPr>
          <w:p w14:paraId="628A7D3B" w14:textId="77777777" w:rsidR="001B28B6" w:rsidRDefault="001B28B6" w:rsidP="00F36A56">
            <w:pPr>
              <w:pStyle w:val="Tabletext"/>
            </w:pPr>
            <w:r>
              <w:t>Complementary</w:t>
            </w:r>
          </w:p>
        </w:tc>
      </w:tr>
      <w:tr w:rsidR="001B28B6" w14:paraId="2901DF0E" w14:textId="77777777">
        <w:tc>
          <w:tcPr>
            <w:tcW w:w="1851" w:type="dxa"/>
          </w:tcPr>
          <w:p w14:paraId="0A3E015D" w14:textId="77777777" w:rsidR="001B28B6" w:rsidRDefault="001B28B6" w:rsidP="00F36A56">
            <w:pPr>
              <w:pStyle w:val="Tabletext"/>
            </w:pPr>
            <w:r>
              <w:t>Carbon Price – Direct Action Policy  (DAP)/Emissions Reduction Fund (ERF)</w:t>
            </w:r>
          </w:p>
        </w:tc>
        <w:tc>
          <w:tcPr>
            <w:tcW w:w="1254" w:type="dxa"/>
          </w:tcPr>
          <w:p w14:paraId="07C7080F" w14:textId="77777777" w:rsidR="001B28B6" w:rsidRDefault="001B28B6" w:rsidP="00F36A56">
            <w:pPr>
              <w:pStyle w:val="Tabletext"/>
            </w:pPr>
            <w:r>
              <w:t>First ERF auctions to be help in early 2015</w:t>
            </w:r>
          </w:p>
        </w:tc>
        <w:tc>
          <w:tcPr>
            <w:tcW w:w="1761" w:type="dxa"/>
          </w:tcPr>
          <w:p w14:paraId="798CCE8F" w14:textId="77777777" w:rsidR="001B28B6" w:rsidRDefault="001B28B6" w:rsidP="003F5F13">
            <w:pPr>
              <w:pStyle w:val="Tabletext"/>
            </w:pPr>
            <w:r>
              <w:t>Externalities associated with climate change</w:t>
            </w:r>
          </w:p>
          <w:p w14:paraId="29DD3D1C" w14:textId="77777777" w:rsidR="001B28B6" w:rsidRPr="009B6C2D" w:rsidRDefault="001B28B6" w:rsidP="00F36A56">
            <w:pPr>
              <w:pStyle w:val="Tabletext"/>
            </w:pPr>
            <w:r>
              <w:t>Capital constraints</w:t>
            </w:r>
          </w:p>
        </w:tc>
        <w:tc>
          <w:tcPr>
            <w:tcW w:w="1762" w:type="dxa"/>
          </w:tcPr>
          <w:p w14:paraId="277E2A13" w14:textId="77777777" w:rsidR="001B28B6" w:rsidRDefault="001B28B6" w:rsidP="00F36A56">
            <w:pPr>
              <w:pStyle w:val="Tabletext"/>
            </w:pPr>
            <w:r>
              <w:t>National – emissions reduction project proponents</w:t>
            </w:r>
          </w:p>
        </w:tc>
        <w:tc>
          <w:tcPr>
            <w:tcW w:w="1766" w:type="dxa"/>
          </w:tcPr>
          <w:p w14:paraId="2E20D8A5" w14:textId="77777777" w:rsidR="001B28B6" w:rsidRDefault="00CB5683" w:rsidP="00F36A56">
            <w:pPr>
              <w:pStyle w:val="Tabletext"/>
            </w:pPr>
            <w:r>
              <w:t>Commonwealth government</w:t>
            </w:r>
          </w:p>
        </w:tc>
        <w:tc>
          <w:tcPr>
            <w:tcW w:w="1631" w:type="dxa"/>
          </w:tcPr>
          <w:p w14:paraId="3D23FF31" w14:textId="77777777" w:rsidR="001B28B6" w:rsidRDefault="001B28B6" w:rsidP="00F36A56">
            <w:pPr>
              <w:pStyle w:val="Tabletext"/>
            </w:pPr>
            <w:r>
              <w:t>Complementary</w:t>
            </w:r>
          </w:p>
        </w:tc>
      </w:tr>
      <w:tr w:rsidR="001B28B6" w14:paraId="1F381F2C" w14:textId="77777777">
        <w:tc>
          <w:tcPr>
            <w:tcW w:w="1851" w:type="dxa"/>
          </w:tcPr>
          <w:p w14:paraId="47D6F746" w14:textId="77777777" w:rsidR="001B28B6" w:rsidRDefault="001B28B6" w:rsidP="00F36A56">
            <w:pPr>
              <w:pStyle w:val="Tabletext"/>
            </w:pPr>
            <w:r>
              <w:t>NABERS energy ratings</w:t>
            </w:r>
          </w:p>
        </w:tc>
        <w:tc>
          <w:tcPr>
            <w:tcW w:w="1254" w:type="dxa"/>
          </w:tcPr>
          <w:p w14:paraId="1CD91472" w14:textId="77777777" w:rsidR="001B28B6" w:rsidRDefault="001B28B6" w:rsidP="00F36A56">
            <w:pPr>
              <w:pStyle w:val="Tabletext"/>
            </w:pPr>
            <w:r>
              <w:t>Active</w:t>
            </w:r>
          </w:p>
        </w:tc>
        <w:tc>
          <w:tcPr>
            <w:tcW w:w="1761" w:type="dxa"/>
          </w:tcPr>
          <w:p w14:paraId="4EF20EFD" w14:textId="77777777" w:rsidR="001B28B6" w:rsidRDefault="001B28B6" w:rsidP="003F5F13">
            <w:pPr>
              <w:pStyle w:val="Tabletext"/>
            </w:pPr>
            <w:r>
              <w:t xml:space="preserve">Information </w:t>
            </w:r>
            <w:r w:rsidR="00CB5683">
              <w:t>asymmetry</w:t>
            </w:r>
          </w:p>
        </w:tc>
        <w:tc>
          <w:tcPr>
            <w:tcW w:w="1762" w:type="dxa"/>
          </w:tcPr>
          <w:p w14:paraId="3735D4E1" w14:textId="77777777" w:rsidR="001B28B6" w:rsidRDefault="00CF51A5">
            <w:pPr>
              <w:pStyle w:val="Tabletext"/>
            </w:pPr>
            <w:r>
              <w:t>National – buildings owners, tenants</w:t>
            </w:r>
          </w:p>
        </w:tc>
        <w:tc>
          <w:tcPr>
            <w:tcW w:w="1766" w:type="dxa"/>
          </w:tcPr>
          <w:p w14:paraId="273494D4" w14:textId="77777777" w:rsidR="001B28B6" w:rsidRDefault="00CF51A5">
            <w:pPr>
              <w:pStyle w:val="Tabletext"/>
            </w:pPr>
            <w:r>
              <w:t>Commonwealth government</w:t>
            </w:r>
          </w:p>
        </w:tc>
        <w:tc>
          <w:tcPr>
            <w:tcW w:w="1631" w:type="dxa"/>
          </w:tcPr>
          <w:p w14:paraId="273E61BC" w14:textId="77777777" w:rsidR="001B28B6" w:rsidRDefault="00CF51A5">
            <w:pPr>
              <w:pStyle w:val="Tabletext"/>
            </w:pPr>
            <w:r>
              <w:t>Complementary (NABERS is voluntary)</w:t>
            </w:r>
          </w:p>
        </w:tc>
      </w:tr>
    </w:tbl>
    <w:p w14:paraId="4710A577" w14:textId="77777777" w:rsidR="000D0A78" w:rsidRPr="00B85543" w:rsidRDefault="000D0A78" w:rsidP="000D0A78">
      <w:pPr>
        <w:pStyle w:val="Source"/>
        <w:ind w:left="-2551"/>
      </w:pPr>
      <w:r>
        <w:t>Source</w:t>
      </w:r>
      <w:r w:rsidRPr="00B85543">
        <w:t xml:space="preserve">: </w:t>
      </w:r>
      <w:r>
        <w:t>ACIL Allen</w:t>
      </w:r>
    </w:p>
    <w:p w14:paraId="64A88ED6" w14:textId="77777777" w:rsidR="00BB1489" w:rsidRDefault="00BB1489" w:rsidP="00BB1489">
      <w:pPr>
        <w:pStyle w:val="BodyText"/>
      </w:pPr>
    </w:p>
    <w:p w14:paraId="317C81F5" w14:textId="77777777" w:rsidR="00BB1489" w:rsidRDefault="00BB1489" w:rsidP="00BB1489">
      <w:pPr>
        <w:pStyle w:val="BodyText"/>
      </w:pPr>
      <w:r>
        <w:t>The CBD program is largely complementary to other programs that aim to increase energy efficiency in commercial buildings</w:t>
      </w:r>
      <w:r w:rsidR="00CB3EC7">
        <w:t xml:space="preserve">. </w:t>
      </w:r>
      <w:r>
        <w:t>While the NCC also targets split incentives</w:t>
      </w:r>
      <w:r w:rsidR="00A70EAE">
        <w:t>,</w:t>
      </w:r>
      <w:r>
        <w:t xml:space="preserve"> it applies only to newly constructed buildings, whereas the CBD applies to both existing and new buildings</w:t>
      </w:r>
      <w:r w:rsidR="00CB3EC7">
        <w:t xml:space="preserve">. </w:t>
      </w:r>
    </w:p>
    <w:p w14:paraId="10926228" w14:textId="77777777" w:rsidR="00BB1489" w:rsidRDefault="00BB1489" w:rsidP="00BB1489">
      <w:pPr>
        <w:pStyle w:val="BodyText"/>
      </w:pPr>
      <w:r>
        <w:t>MEPS, EEO, EEX, the NSW Energy Saver Program and the 1200 Buildings program target i</w:t>
      </w:r>
      <w:r w:rsidRPr="009B6C2D">
        <w:t>nadequate and asymmetric information</w:t>
      </w:r>
      <w:r>
        <w:t>, however, the information provision is primarily targeted at building owners</w:t>
      </w:r>
      <w:r w:rsidR="00CB3EC7">
        <w:t xml:space="preserve">. </w:t>
      </w:r>
      <w:r>
        <w:t>The CBD complements these programs by providing information to tenants.</w:t>
      </w:r>
    </w:p>
    <w:p w14:paraId="5ACC5D50" w14:textId="77777777" w:rsidR="00AA239F" w:rsidRDefault="008A7D8C" w:rsidP="00BB1489">
      <w:pPr>
        <w:pStyle w:val="BodyText"/>
      </w:pPr>
      <w:r>
        <w:lastRenderedPageBreak/>
        <w:t>Therefore</w:t>
      </w:r>
      <w:r w:rsidR="00AA239F">
        <w:t xml:space="preserve">, the CBD addresses </w:t>
      </w:r>
      <w:r>
        <w:t xml:space="preserve">either </w:t>
      </w:r>
      <w:r w:rsidR="00AA239F">
        <w:t xml:space="preserve">the same market failures of some programs (but covers gaps in parties targeted by those programs) or targets the same parties as some programs (but addresses different market failures than addressed </w:t>
      </w:r>
      <w:r w:rsidR="00F4127E">
        <w:t>by those programs).</w:t>
      </w:r>
    </w:p>
    <w:p w14:paraId="6D24BC86" w14:textId="77777777" w:rsidR="00F31F8C" w:rsidRDefault="00BB1489" w:rsidP="00BB1489">
      <w:pPr>
        <w:pStyle w:val="BodyText"/>
      </w:pPr>
      <w:r>
        <w:t>No related programs were found to detract from or conflict with the objectives of the CBD</w:t>
      </w:r>
      <w:r w:rsidR="00CB3EC7">
        <w:t xml:space="preserve">. </w:t>
      </w:r>
      <w:r>
        <w:t xml:space="preserve">A more detailed assessment of interactions with </w:t>
      </w:r>
      <w:r w:rsidR="00A70EAE">
        <w:t xml:space="preserve">key </w:t>
      </w:r>
      <w:r>
        <w:t xml:space="preserve">programs </w:t>
      </w:r>
      <w:r w:rsidR="00A70EAE">
        <w:t xml:space="preserve">to date interacting with </w:t>
      </w:r>
      <w:r>
        <w:t xml:space="preserve">the CBD </w:t>
      </w:r>
      <w:proofErr w:type="gramStart"/>
      <w:r>
        <w:t>are</w:t>
      </w:r>
      <w:proofErr w:type="gramEnd"/>
      <w:r>
        <w:t xml:space="preserve"> discussed in </w:t>
      </w:r>
      <w:r w:rsidRPr="00BA18E0">
        <w:t>Section</w:t>
      </w:r>
      <w:r w:rsidR="00A70EAE" w:rsidRPr="00BA18E0">
        <w:t xml:space="preserve"> </w:t>
      </w:r>
      <w:r w:rsidR="003346C7">
        <w:fldChar w:fldCharType="begin"/>
      </w:r>
      <w:r w:rsidR="003346C7">
        <w:instrText xml:space="preserve"> REF _Ref409091171 \r \h  \* MERGEFORMAT </w:instrText>
      </w:r>
      <w:r w:rsidR="003346C7">
        <w:fldChar w:fldCharType="separate"/>
      </w:r>
      <w:r w:rsidR="006A273E">
        <w:t>4.9</w:t>
      </w:r>
      <w:r w:rsidR="003346C7">
        <w:fldChar w:fldCharType="end"/>
      </w:r>
      <w:r w:rsidR="00CB3EC7">
        <w:t xml:space="preserve">. </w:t>
      </w:r>
      <w:r>
        <w:t xml:space="preserve">Potential </w:t>
      </w:r>
      <w:r w:rsidR="00A70EAE">
        <w:t xml:space="preserve">future </w:t>
      </w:r>
      <w:r>
        <w:t xml:space="preserve">interactions with the Emissions Reduction Fund (ERF) are discussed in </w:t>
      </w:r>
      <w:r w:rsidRPr="00BA18E0">
        <w:t>Section</w:t>
      </w:r>
      <w:r w:rsidR="00DD317B" w:rsidRPr="00BA18E0">
        <w:t xml:space="preserve"> </w:t>
      </w:r>
      <w:r w:rsidR="003346C7">
        <w:fldChar w:fldCharType="begin"/>
      </w:r>
      <w:r w:rsidR="003346C7">
        <w:instrText xml:space="preserve"> REF _Ref409091325 \r \h  \* MERGEFORMAT </w:instrText>
      </w:r>
      <w:r w:rsidR="003346C7">
        <w:fldChar w:fldCharType="separate"/>
      </w:r>
      <w:r w:rsidR="006A273E">
        <w:t>5.5</w:t>
      </w:r>
      <w:r w:rsidR="003346C7">
        <w:fldChar w:fldCharType="end"/>
      </w:r>
      <w:r>
        <w:t>.</w:t>
      </w:r>
    </w:p>
    <w:p w14:paraId="35614130" w14:textId="77777777" w:rsidR="007B6CC5" w:rsidRDefault="007B6CC5" w:rsidP="007B6CC5">
      <w:pPr>
        <w:pStyle w:val="Heading3"/>
      </w:pPr>
      <w:bookmarkStart w:id="103" w:name="_Toc415660850"/>
      <w:r>
        <w:t>Complementarity with carbon pricing</w:t>
      </w:r>
      <w:bookmarkEnd w:id="103"/>
    </w:p>
    <w:p w14:paraId="6F0EA67A" w14:textId="77777777" w:rsidR="007B6CC5" w:rsidRDefault="007B6CC5" w:rsidP="007B6CC5">
      <w:pPr>
        <w:pStyle w:val="BodyText"/>
      </w:pPr>
      <w:r>
        <w:t>A cost on carbon alone, should it be re-instated, may be insufficient due to the interaction of climate change market failure with the other market failures (split incentives, insufficient and asymmetric information and the associated searching costs) discussed previously</w:t>
      </w:r>
      <w:r w:rsidR="00CB3EC7">
        <w:t xml:space="preserve">. </w:t>
      </w:r>
      <w:r>
        <w:t>These market imperfections would include market and policy failures impeding greater take-up of opportunities to improve energy efficiency.</w:t>
      </w:r>
    </w:p>
    <w:p w14:paraId="20158092" w14:textId="77777777" w:rsidR="007B6CC5" w:rsidRDefault="007B6CC5" w:rsidP="007B6CC5">
      <w:pPr>
        <w:pStyle w:val="BodyText"/>
      </w:pPr>
      <w:r w:rsidRPr="00B63EFF">
        <w:t>There is strong support among economis</w:t>
      </w:r>
      <w:r>
        <w:t>ts</w:t>
      </w:r>
      <w:r w:rsidRPr="00B63EFF">
        <w:t xml:space="preserve"> for a multi-instrument policy framework comprising emissions pricing plus complementary measures to correct interacting market and policy failures </w:t>
      </w:r>
      <w:r>
        <w:t xml:space="preserve">that </w:t>
      </w:r>
      <w:r w:rsidRPr="00B63EFF">
        <w:t>imped</w:t>
      </w:r>
      <w:r>
        <w:t>e</w:t>
      </w:r>
      <w:r w:rsidRPr="00B63EFF">
        <w:t xml:space="preserve"> complete internalisation of greenhouse gas external costs through emissions pricing.</w:t>
      </w:r>
      <w:r>
        <w:rPr>
          <w:rStyle w:val="FootnoteReference"/>
        </w:rPr>
        <w:footnoteReference w:id="16"/>
      </w:r>
    </w:p>
    <w:p w14:paraId="73F22A64" w14:textId="77777777" w:rsidR="007B6CC5" w:rsidRDefault="007B6CC5" w:rsidP="007B6CC5">
      <w:pPr>
        <w:pStyle w:val="BodyText"/>
      </w:pPr>
      <w:r>
        <w:t>The July 2009 COAG Agreement on the National Strategy for Energy Efficiency (NSEE) recognised the expected continued existence of market failures even if an emissions trading scheme was established, and therefore</w:t>
      </w:r>
      <w:r w:rsidR="00633FFD">
        <w:t>,</w:t>
      </w:r>
      <w:r>
        <w:t xml:space="preserve"> the need for Government intervention in a number of areas</w:t>
      </w:r>
      <w:r w:rsidR="00CB3EC7">
        <w:t xml:space="preserve">. </w:t>
      </w:r>
    </w:p>
    <w:p w14:paraId="2C5137DD" w14:textId="77777777" w:rsidR="007B6CC5" w:rsidRDefault="007B6CC5" w:rsidP="007B6CC5">
      <w:pPr>
        <w:pStyle w:val="BodyText"/>
      </w:pPr>
      <w:r>
        <w:t>To be economically efficient, policies intended to complement emissions pricing through an emissions permit trading regime would have to:</w:t>
      </w:r>
    </w:p>
    <w:p w14:paraId="42D8E4BD" w14:textId="77777777" w:rsidR="007B6CC5" w:rsidRDefault="007B6CC5" w:rsidP="007B6CC5">
      <w:pPr>
        <w:pStyle w:val="ListDash"/>
      </w:pPr>
      <w:r>
        <w:t>address clear market, behavioural and policy failures that impede complete internalisation of external costs of emissions via traded permit prices</w:t>
      </w:r>
    </w:p>
    <w:p w14:paraId="15CBFD21" w14:textId="77777777" w:rsidR="007B6CC5" w:rsidRDefault="007B6CC5" w:rsidP="007B6CC5">
      <w:pPr>
        <w:pStyle w:val="ListDash"/>
      </w:pPr>
      <w:r>
        <w:t>comprise the most efficient available policy instruments to deal with relevant market, behavioural and policy failures</w:t>
      </w:r>
    </w:p>
    <w:p w14:paraId="4DBAA5FE" w14:textId="77777777" w:rsidR="007B6CC5" w:rsidRDefault="007B6CC5" w:rsidP="007B6CC5">
      <w:pPr>
        <w:pStyle w:val="ListDash"/>
      </w:pPr>
      <w:r>
        <w:t>be implemented only if deviations from efficient resource allocation caused by market, behavioural and policy failures are not trivial and social benefits of intervention would exceed the social costs</w:t>
      </w:r>
    </w:p>
    <w:p w14:paraId="0C7ED44C" w14:textId="77777777" w:rsidR="007B6CC5" w:rsidRDefault="007B6CC5" w:rsidP="007B6CC5">
      <w:pPr>
        <w:pStyle w:val="ListDash"/>
      </w:pPr>
      <w:r>
        <w:t>lower the economic cost of meeting the abatement target.</w:t>
      </w:r>
    </w:p>
    <w:p w14:paraId="78A324F9" w14:textId="77777777" w:rsidR="007B6CC5" w:rsidRDefault="007B6CC5" w:rsidP="00BB1489">
      <w:pPr>
        <w:pStyle w:val="BodyText"/>
      </w:pPr>
      <w:r>
        <w:t xml:space="preserve">Measures satisfying the first, second and third conditions would yield </w:t>
      </w:r>
      <w:r w:rsidRPr="004A7C37">
        <w:rPr>
          <w:i/>
        </w:rPr>
        <w:t>negative</w:t>
      </w:r>
      <w:r>
        <w:t xml:space="preserve"> cost abatement</w:t>
      </w:r>
      <w:r w:rsidR="00CB3EC7">
        <w:t xml:space="preserve">. </w:t>
      </w:r>
      <w:r>
        <w:t>The reason is that social benefits, excluding those relating to climate change, would exceed social costs, so that net social costs of greenhouse gas emissions abatement through such measures would be below zero.</w:t>
      </w:r>
    </w:p>
    <w:p w14:paraId="25CE5B98" w14:textId="77777777" w:rsidR="00AE5E08" w:rsidRDefault="00AE5E08" w:rsidP="00AE5E08">
      <w:pPr>
        <w:pStyle w:val="Heading2"/>
      </w:pPr>
      <w:bookmarkStart w:id="104" w:name="_Ref415575536"/>
      <w:bookmarkStart w:id="105" w:name="_Toc415660851"/>
      <w:r>
        <w:lastRenderedPageBreak/>
        <w:t xml:space="preserve">International experiences with </w:t>
      </w:r>
      <w:r w:rsidR="00EA4312">
        <w:t xml:space="preserve">commercial </w:t>
      </w:r>
      <w:r>
        <w:t>building disclosure</w:t>
      </w:r>
      <w:bookmarkEnd w:id="104"/>
      <w:bookmarkEnd w:id="105"/>
    </w:p>
    <w:p w14:paraId="789CA8DD" w14:textId="77777777" w:rsidR="00344F17" w:rsidRDefault="00344F17" w:rsidP="00344F17">
      <w:pPr>
        <w:pStyle w:val="BodyText"/>
      </w:pPr>
      <w:r w:rsidRPr="008C4B14">
        <w:t xml:space="preserve">A number </w:t>
      </w:r>
      <w:r>
        <w:t>of building energy efficiency disclosure programs have been in operation overseas</w:t>
      </w:r>
      <w:r w:rsidR="00CB3EC7">
        <w:t xml:space="preserve">. </w:t>
      </w:r>
      <w:r>
        <w:t>Programs in the UK</w:t>
      </w:r>
      <w:r w:rsidR="00633FFD">
        <w:t xml:space="preserve"> (and rest of Europe)</w:t>
      </w:r>
      <w:r>
        <w:t>, US and China are discussed below as examples.</w:t>
      </w:r>
    </w:p>
    <w:p w14:paraId="2D070D8A" w14:textId="77777777" w:rsidR="00344F17" w:rsidRDefault="00344F17" w:rsidP="00344F17">
      <w:pPr>
        <w:pStyle w:val="Heading3"/>
        <w:numPr>
          <w:ilvl w:val="2"/>
          <w:numId w:val="20"/>
        </w:numPr>
      </w:pPr>
      <w:bookmarkStart w:id="106" w:name="_Toc415660852"/>
      <w:r>
        <w:t>UK and rest of Europe</w:t>
      </w:r>
      <w:bookmarkEnd w:id="106"/>
    </w:p>
    <w:p w14:paraId="029F264D" w14:textId="77777777" w:rsidR="00344F17" w:rsidRDefault="00344F17" w:rsidP="00344F17">
      <w:pPr>
        <w:pStyle w:val="BodyText"/>
      </w:pPr>
      <w:r>
        <w:t xml:space="preserve">The </w:t>
      </w:r>
      <w:r w:rsidRPr="00A90AF4">
        <w:rPr>
          <w:i/>
        </w:rPr>
        <w:t>Energy Performance of Buildings Directive</w:t>
      </w:r>
      <w:r>
        <w:t xml:space="preserve"> (EPBD) and the </w:t>
      </w:r>
      <w:r w:rsidRPr="00A90AF4">
        <w:rPr>
          <w:i/>
        </w:rPr>
        <w:t>Energy Efficiency Directive</w:t>
      </w:r>
      <w:r>
        <w:t xml:space="preserve"> (EED) are the European Union's main legislation for reducing the energy consumption of buildings.</w:t>
      </w:r>
    </w:p>
    <w:p w14:paraId="2E8D102C" w14:textId="77777777" w:rsidR="00344F17" w:rsidRDefault="00344F17" w:rsidP="00344F17">
      <w:pPr>
        <w:pStyle w:val="BodyText"/>
      </w:pPr>
      <w:r w:rsidRPr="002E0C9B">
        <w:t xml:space="preserve">The </w:t>
      </w:r>
      <w:r>
        <w:t>EPBD</w:t>
      </w:r>
      <w:r w:rsidRPr="002E0C9B">
        <w:t xml:space="preserve"> came into force on 4 January 2003 and had to be implemented by the EU Member States at the latest on 4 January 2006</w:t>
      </w:r>
      <w:r w:rsidR="00CB3EC7" w:rsidRPr="002E0C9B">
        <w:t>.</w:t>
      </w:r>
      <w:r w:rsidR="00CB3EC7">
        <w:t xml:space="preserve"> </w:t>
      </w:r>
      <w:r>
        <w:t>Under the EPBD:</w:t>
      </w:r>
    </w:p>
    <w:p w14:paraId="74B2244D" w14:textId="77777777" w:rsidR="00344F17" w:rsidRDefault="00344F17" w:rsidP="00344F17">
      <w:pPr>
        <w:pStyle w:val="ListDash"/>
      </w:pPr>
      <w:r>
        <w:t>energy performance certificates are to be included in all advertisements for the sale or rental of buildings</w:t>
      </w:r>
    </w:p>
    <w:p w14:paraId="71279747" w14:textId="77777777" w:rsidR="00344F17" w:rsidRDefault="00344F17" w:rsidP="00344F17">
      <w:pPr>
        <w:pStyle w:val="ListDash"/>
      </w:pPr>
      <w:r>
        <w:t>EU countries must establish inspection schemes for heating and air conditioning systems or put in place measures with equivalent effect</w:t>
      </w:r>
    </w:p>
    <w:p w14:paraId="16E381FF" w14:textId="77777777" w:rsidR="00344F17" w:rsidRDefault="00344F17" w:rsidP="00344F17">
      <w:pPr>
        <w:pStyle w:val="ListDash"/>
      </w:pPr>
      <w:r>
        <w:t>all new buildings must be nearly zero energy buildings by 31 December 2020 (public buildings by 31 December 2018)</w:t>
      </w:r>
    </w:p>
    <w:p w14:paraId="30FEC936" w14:textId="77777777" w:rsidR="00344F17" w:rsidRDefault="00344F17" w:rsidP="00344F17">
      <w:pPr>
        <w:pStyle w:val="ListDash"/>
      </w:pPr>
      <w:r>
        <w:t>EU countries must set minimum energy performance requirements for new buildings, for the major renovation of buildings and for the replacement or retrofit of building elements (heating and cooling systems, roofs, walls, etc.)</w:t>
      </w:r>
    </w:p>
    <w:p w14:paraId="3979F196" w14:textId="77777777" w:rsidR="00344F17" w:rsidRDefault="00344F17" w:rsidP="00344F17">
      <w:pPr>
        <w:pStyle w:val="ListDash"/>
      </w:pPr>
      <w:r>
        <w:t>EU countries have to draw up lists of national financial measures to improve the energy efficiency of buildings.</w:t>
      </w:r>
    </w:p>
    <w:p w14:paraId="1635E096" w14:textId="77777777" w:rsidR="00344F17" w:rsidRDefault="00344F17" w:rsidP="00344F17">
      <w:pPr>
        <w:pStyle w:val="BodyText"/>
      </w:pPr>
      <w:r>
        <w:t>Under the EED:</w:t>
      </w:r>
    </w:p>
    <w:p w14:paraId="2BF58CD8" w14:textId="77777777" w:rsidR="00344F17" w:rsidRDefault="00344F17" w:rsidP="00344F17">
      <w:pPr>
        <w:pStyle w:val="ListDash"/>
      </w:pPr>
      <w:r>
        <w:t>EU countries make energy efficient renovations to at least three per cent of buildings owned and occupied by central government</w:t>
      </w:r>
    </w:p>
    <w:p w14:paraId="062916B6" w14:textId="77777777" w:rsidR="00344F17" w:rsidRDefault="00344F17" w:rsidP="00344F17">
      <w:pPr>
        <w:pStyle w:val="ListDash"/>
      </w:pPr>
      <w:r>
        <w:t>EU governments should only purchase buildings which are highly energy efficient</w:t>
      </w:r>
    </w:p>
    <w:p w14:paraId="7158E83B" w14:textId="5AF1E427" w:rsidR="00344F17" w:rsidRDefault="00344F17" w:rsidP="00344F17">
      <w:pPr>
        <w:pStyle w:val="ListDash"/>
      </w:pPr>
      <w:r>
        <w:t>EU countries must draw</w:t>
      </w:r>
      <w:r w:rsidR="00990142">
        <w:t xml:space="preserve"> </w:t>
      </w:r>
      <w:r>
        <w:t>up long-term national building renovation strategies which can be included in their National Energy Efficiency Action Plans.</w:t>
      </w:r>
    </w:p>
    <w:p w14:paraId="7AD20E66" w14:textId="77777777" w:rsidR="00344F17" w:rsidRDefault="00344F17" w:rsidP="00344F17">
      <w:pPr>
        <w:pStyle w:val="BodyText"/>
      </w:pPr>
      <w:r>
        <w:t>It should be noted that some European countries had building energy efficiency programs that pre-dated EPBD</w:t>
      </w:r>
      <w:r w:rsidR="00CB3EC7">
        <w:t xml:space="preserve">. </w:t>
      </w:r>
      <w:r>
        <w:t>For example, Denmark had operated its own mandatory certification scheme since 2007.</w:t>
      </w:r>
    </w:p>
    <w:p w14:paraId="677F5FB4" w14:textId="77777777" w:rsidR="00344F17" w:rsidRDefault="00344F17" w:rsidP="00344F17">
      <w:pPr>
        <w:pStyle w:val="BodyText"/>
      </w:pPr>
      <w:r>
        <w:t>In the United Kingdom (chosen as an example of a country that complied with the EPBD), the requirement for Energy Performance Certificates (EPC) on the sale, rent or construction of buildings other than dwellings with a floor area greater than 50m</w:t>
      </w:r>
      <w:r w:rsidRPr="00A90AF4">
        <w:rPr>
          <w:vertAlign w:val="superscript"/>
        </w:rPr>
        <w:t>2</w:t>
      </w:r>
      <w:r>
        <w:t xml:space="preserve"> came into force in 2008.</w:t>
      </w:r>
    </w:p>
    <w:p w14:paraId="1C8777F3" w14:textId="77777777" w:rsidR="00344F17" w:rsidRDefault="00344F17" w:rsidP="00344F17">
      <w:pPr>
        <w:pStyle w:val="BodyText"/>
      </w:pPr>
      <w:r>
        <w:t>All non-dwelling EPCs (which are valid for up to 10 years) must be carried out by, or under the direct supervision of, a trained non-domestic energy assessor, registered with an approved accreditation body</w:t>
      </w:r>
      <w:r w:rsidR="00CB3EC7">
        <w:t xml:space="preserve">. </w:t>
      </w:r>
      <w:r>
        <w:t>There are three levels of non-residential buildings, Level 3 (small buildings with heating systems less than 100kW and cooling systems less than 12kW), Level 4 (purpose-built buildings with heating systems greater than 100kW and cooling systems greater than 12kW) and Level 5 (larger buildings that are complex in shape)</w:t>
      </w:r>
      <w:r w:rsidR="00CB3EC7">
        <w:t xml:space="preserve">. </w:t>
      </w:r>
    </w:p>
    <w:p w14:paraId="14116CE9" w14:textId="77777777" w:rsidR="00344F17" w:rsidRDefault="00344F17" w:rsidP="00344F17">
      <w:pPr>
        <w:pStyle w:val="BodyText"/>
      </w:pPr>
      <w:r>
        <w:t>EPCs present the energy efficiency rating of buildings on an A to G scale</w:t>
      </w:r>
      <w:r w:rsidR="00CB3EC7">
        <w:t xml:space="preserve">. </w:t>
      </w:r>
      <w:r>
        <w:t>This is a linear scale based on two key points defined as follows:</w:t>
      </w:r>
    </w:p>
    <w:p w14:paraId="7B8BF2FE" w14:textId="77777777" w:rsidR="00344F17" w:rsidRDefault="00344F17" w:rsidP="00B871D4">
      <w:pPr>
        <w:pStyle w:val="ListNumber"/>
        <w:numPr>
          <w:ilvl w:val="0"/>
          <w:numId w:val="40"/>
        </w:numPr>
      </w:pPr>
      <w:r>
        <w:lastRenderedPageBreak/>
        <w:t>The zero point on the scale is defined as the performance of the building that has zero net annual CO</w:t>
      </w:r>
      <w:r w:rsidRPr="00B871D4">
        <w:rPr>
          <w:vertAlign w:val="subscript"/>
        </w:rPr>
        <w:t>2</w:t>
      </w:r>
      <w:r>
        <w:t xml:space="preserve"> emissions associated with the use of the fixed building services as defined in the Building Regulations</w:t>
      </w:r>
      <w:r w:rsidR="00CB3EC7">
        <w:t xml:space="preserve">. </w:t>
      </w:r>
      <w:r>
        <w:t>This is equivalent to a Building Emissions Rate (BER) of zero.</w:t>
      </w:r>
    </w:p>
    <w:p w14:paraId="42F5FDFF" w14:textId="0CCAA27C" w:rsidR="00344F17" w:rsidRDefault="00344F17" w:rsidP="00344F17">
      <w:pPr>
        <w:pStyle w:val="ListNumber"/>
        <w:numPr>
          <w:ilvl w:val="0"/>
          <w:numId w:val="30"/>
        </w:numPr>
      </w:pPr>
      <w:r>
        <w:t xml:space="preserve">The border between grade B and grade C is set at the Standard Emissions </w:t>
      </w:r>
      <w:r w:rsidR="00990142">
        <w:t>R</w:t>
      </w:r>
      <w:r>
        <w:t xml:space="preserve">ate (SER, which is </w:t>
      </w:r>
      <w:r w:rsidRPr="00B65736">
        <w:t>based on the actual building dimensions but with standard assumptions for fabric, glazing and building services</w:t>
      </w:r>
      <w:r>
        <w:t>) and given an Asset Rating of 50</w:t>
      </w:r>
      <w:r w:rsidR="00CB3EC7">
        <w:t xml:space="preserve">. </w:t>
      </w:r>
      <w:r>
        <w:t>Because the scale is linear, the boundary between grades D and grade E corresponds to a rating of 100.</w:t>
      </w:r>
    </w:p>
    <w:p w14:paraId="721E0610" w14:textId="77777777" w:rsidR="00344F17" w:rsidRDefault="00344F17" w:rsidP="00344F17">
      <w:pPr>
        <w:pStyle w:val="BodyText"/>
      </w:pPr>
      <w:r>
        <w:t>From October 2008 all buildings</w:t>
      </w:r>
      <w:r w:rsidR="004A113A">
        <w:t>,</w:t>
      </w:r>
      <w:r>
        <w:t xml:space="preserve"> including factories, offices, retail premises and public sector buildings</w:t>
      </w:r>
      <w:r w:rsidR="004A113A">
        <w:t>,</w:t>
      </w:r>
      <w:r>
        <w:t xml:space="preserve"> </w:t>
      </w:r>
      <w:r w:rsidR="00BD1DD0">
        <w:t>a</w:t>
      </w:r>
      <w:r>
        <w:t>re required to have an EPC whenever the building is sold, built or rented</w:t>
      </w:r>
      <w:r w:rsidR="00CB3EC7">
        <w:t xml:space="preserve">. </w:t>
      </w:r>
      <w:r>
        <w:t>Public buildings in England and Wales (but not Scotland) also require a Display Energy Certificate showing actual energy use, and not just the theoretical energy rating</w:t>
      </w:r>
      <w:r w:rsidR="004A113A">
        <w:t>.</w:t>
      </w:r>
    </w:p>
    <w:p w14:paraId="04DB7945" w14:textId="77777777" w:rsidR="00344F17" w:rsidRDefault="00344F17" w:rsidP="00344F17">
      <w:pPr>
        <w:pStyle w:val="BodyText"/>
      </w:pPr>
      <w:r>
        <w:t>Display Energy Certificates (DECs) show the actual energy usage of a building, the Operational Rating, and help the public see the energy efficiency of a building</w:t>
      </w:r>
      <w:r w:rsidR="00CB3EC7">
        <w:t xml:space="preserve">. </w:t>
      </w:r>
      <w:r>
        <w:t>This is based on the energy consumption of the building as recorded by gas, electricity and other meters</w:t>
      </w:r>
      <w:r w:rsidR="00CB3EC7">
        <w:t xml:space="preserve">. </w:t>
      </w:r>
      <w:r>
        <w:t>The DEC should be clearly displayed at all times and clearly visible to the public</w:t>
      </w:r>
      <w:r w:rsidR="00CB3EC7">
        <w:t xml:space="preserve">. </w:t>
      </w:r>
      <w:r>
        <w:t>A DEC is accompanied by an Advisory Report that lists cost effective measures to improve the energy rating of the building.</w:t>
      </w:r>
    </w:p>
    <w:p w14:paraId="72C7FD71" w14:textId="77777777" w:rsidR="00344F17" w:rsidRDefault="00344F17" w:rsidP="00344F17">
      <w:pPr>
        <w:pStyle w:val="BodyText"/>
      </w:pPr>
      <w:r>
        <w:t>DECs are only required for buildings with a total useful floor area over 500m</w:t>
      </w:r>
      <w:r w:rsidRPr="00A90AF4">
        <w:rPr>
          <w:vertAlign w:val="superscript"/>
        </w:rPr>
        <w:t>2</w:t>
      </w:r>
      <w:r w:rsidR="00492194" w:rsidRPr="00104113">
        <w:t>,</w:t>
      </w:r>
      <w:r>
        <w:t xml:space="preserve"> that are occupied by a public authority and institution providing a public service to a large number of persons and therefore visited by those persons</w:t>
      </w:r>
      <w:r w:rsidR="00CB3EC7">
        <w:t xml:space="preserve">. </w:t>
      </w:r>
      <w:r>
        <w:t>The useful floor area limit will be reduced to 250m</w:t>
      </w:r>
      <w:r w:rsidRPr="00A90AF4">
        <w:rPr>
          <w:vertAlign w:val="superscript"/>
        </w:rPr>
        <w:t>2</w:t>
      </w:r>
      <w:r>
        <w:t xml:space="preserve"> in July 2015.</w:t>
      </w:r>
    </w:p>
    <w:p w14:paraId="7D52CCC9" w14:textId="77777777" w:rsidR="00344F17" w:rsidRDefault="00344F17" w:rsidP="00344F17">
      <w:pPr>
        <w:pStyle w:val="BodyText"/>
      </w:pPr>
      <w:r>
        <w:t>Where the building has a total useful floor area of more than 1,000m</w:t>
      </w:r>
      <w:r w:rsidRPr="00A90AF4">
        <w:rPr>
          <w:vertAlign w:val="superscript"/>
        </w:rPr>
        <w:t>2</w:t>
      </w:r>
      <w:r>
        <w:t>, the DEC is valid for 12 months</w:t>
      </w:r>
      <w:r w:rsidR="00CB3EC7">
        <w:t xml:space="preserve">. </w:t>
      </w:r>
      <w:r>
        <w:t>The accompanying advisory report is valid for seven years</w:t>
      </w:r>
      <w:r w:rsidR="00CB3EC7">
        <w:t xml:space="preserve">. </w:t>
      </w:r>
      <w:r>
        <w:t>Where the building has a total useful floor area of between 500m</w:t>
      </w:r>
      <w:r w:rsidRPr="00A90AF4">
        <w:rPr>
          <w:vertAlign w:val="superscript"/>
        </w:rPr>
        <w:t>2</w:t>
      </w:r>
      <w:r>
        <w:t xml:space="preserve"> and 1000m</w:t>
      </w:r>
      <w:r w:rsidRPr="00A90AF4">
        <w:rPr>
          <w:vertAlign w:val="superscript"/>
        </w:rPr>
        <w:t>2</w:t>
      </w:r>
      <w:r>
        <w:t>, the DEC and advisory report are valid for 10 years.</w:t>
      </w:r>
    </w:p>
    <w:p w14:paraId="6C873B38" w14:textId="77777777" w:rsidR="002F4396" w:rsidRDefault="002F4396" w:rsidP="00344F17">
      <w:pPr>
        <w:pStyle w:val="BodyText"/>
      </w:pPr>
      <w:r>
        <w:t>In addition, a</w:t>
      </w:r>
      <w:r w:rsidRPr="002F4396">
        <w:t>ir conditioning systems first put into service on or after 1st January 2008 require an air conditioning inspection every five years from the date on which the system was first put into service.</w:t>
      </w:r>
    </w:p>
    <w:p w14:paraId="1AF7CB75" w14:textId="77777777" w:rsidR="00344F17" w:rsidRDefault="00344F17" w:rsidP="00344F17">
      <w:pPr>
        <w:pStyle w:val="Heading3"/>
        <w:numPr>
          <w:ilvl w:val="2"/>
          <w:numId w:val="20"/>
        </w:numPr>
      </w:pPr>
      <w:bookmarkStart w:id="107" w:name="_Toc415660853"/>
      <w:r>
        <w:t>North America</w:t>
      </w:r>
      <w:bookmarkEnd w:id="107"/>
    </w:p>
    <w:p w14:paraId="2F450193" w14:textId="77777777" w:rsidR="00344F17" w:rsidRDefault="00344F17" w:rsidP="00344F17">
      <w:pPr>
        <w:pStyle w:val="Heading4"/>
        <w:numPr>
          <w:ilvl w:val="3"/>
          <w:numId w:val="20"/>
        </w:numPr>
      </w:pPr>
      <w:r>
        <w:t>New York City</w:t>
      </w:r>
    </w:p>
    <w:p w14:paraId="055A357B" w14:textId="77777777" w:rsidR="00344F17" w:rsidRDefault="00344F17" w:rsidP="00344F17">
      <w:pPr>
        <w:pStyle w:val="BodyText"/>
      </w:pPr>
      <w:r>
        <w:t xml:space="preserve">New York City enacted a comprehensive effort, called the </w:t>
      </w:r>
      <w:r w:rsidRPr="00292522">
        <w:rPr>
          <w:i/>
        </w:rPr>
        <w:t>Greener, Greater Buildings Plan</w:t>
      </w:r>
      <w:r>
        <w:t xml:space="preserve"> (GGBP), which targets energy efficiency in large existing buildings over 50,000 square feet (4,645 m</w:t>
      </w:r>
      <w:r w:rsidRPr="00292522">
        <w:rPr>
          <w:vertAlign w:val="superscript"/>
        </w:rPr>
        <w:t>2</w:t>
      </w:r>
      <w:r>
        <w:t>)</w:t>
      </w:r>
      <w:r w:rsidR="00CB3EC7">
        <w:t xml:space="preserve">. </w:t>
      </w:r>
      <w:r>
        <w:t xml:space="preserve">These </w:t>
      </w:r>
      <w:r w:rsidRPr="00190438">
        <w:t>15,000 properties</w:t>
      </w:r>
      <w:r>
        <w:t xml:space="preserve"> (encompassing commercial, industrial, institutional, multi-family residential and mixed-use</w:t>
      </w:r>
      <w:r w:rsidRPr="00190438">
        <w:t xml:space="preserve"> </w:t>
      </w:r>
      <w:r>
        <w:t xml:space="preserve">buildings) </w:t>
      </w:r>
      <w:r w:rsidRPr="00190438">
        <w:t>account for almost half of New York City's square footage and as much as 48 per</w:t>
      </w:r>
      <w:r w:rsidR="00385E17">
        <w:t xml:space="preserve"> </w:t>
      </w:r>
      <w:r w:rsidRPr="00190438">
        <w:t>cent of New York City's total energy use</w:t>
      </w:r>
      <w:r>
        <w:t>.</w:t>
      </w:r>
    </w:p>
    <w:p w14:paraId="70C25153" w14:textId="77777777" w:rsidR="00344F17" w:rsidRDefault="00344F17" w:rsidP="00344F17">
      <w:pPr>
        <w:pStyle w:val="BodyText"/>
      </w:pPr>
      <w:r>
        <w:t>GGBP is designed to ensure that information about energy is provided to decision-makers and that the most cost-effective energy efficiency measures are pursued</w:t>
      </w:r>
      <w:r w:rsidR="00CB3EC7">
        <w:t xml:space="preserve">. </w:t>
      </w:r>
      <w:r>
        <w:t>It is composed of four pieces of legislation and two supplementary components:</w:t>
      </w:r>
    </w:p>
    <w:p w14:paraId="69B6CC58" w14:textId="77777777" w:rsidR="00344F17" w:rsidRDefault="00344F17" w:rsidP="00344F17">
      <w:pPr>
        <w:pStyle w:val="ListDash"/>
      </w:pPr>
      <w:r>
        <w:t>First, it establishes a New York City energy code that requires all renovations that impact energy systems to meet the standards of the New York State energy code, thus accruing the energy benefits from the natural cycle of building upgrades.</w:t>
      </w:r>
    </w:p>
    <w:p w14:paraId="24CA3B17" w14:textId="77777777" w:rsidR="00344F17" w:rsidRDefault="00344F17" w:rsidP="00344F17">
      <w:pPr>
        <w:pStyle w:val="ListDash"/>
      </w:pPr>
      <w:r>
        <w:lastRenderedPageBreak/>
        <w:t>Second, it requires annual benchmarking data to be submitted by building owners for public disclosure, which will bring transparency for energy and water usage.</w:t>
      </w:r>
    </w:p>
    <w:p w14:paraId="7D49A324" w14:textId="77777777" w:rsidR="00344F17" w:rsidRDefault="00344F17" w:rsidP="00344F17">
      <w:pPr>
        <w:pStyle w:val="ListDash"/>
      </w:pPr>
      <w:r>
        <w:t>The third piece requires an energy audit and tuning, or retro-commissioning, of energy equipment in large buildings every ten years.</w:t>
      </w:r>
    </w:p>
    <w:p w14:paraId="0D04885A" w14:textId="77777777" w:rsidR="00344F17" w:rsidRDefault="00344F17" w:rsidP="00344F17">
      <w:pPr>
        <w:pStyle w:val="ListDash"/>
      </w:pPr>
      <w:r>
        <w:t>The last regulatory piece mandates lighting upgrades and sub-metering of large, non-residential tenant spaces, giving tenants information about their energy usage.</w:t>
      </w:r>
    </w:p>
    <w:p w14:paraId="01EFAA4F" w14:textId="77777777" w:rsidR="00344F17" w:rsidRDefault="00344F17" w:rsidP="00344F17">
      <w:pPr>
        <w:pStyle w:val="BodyText"/>
      </w:pPr>
      <w:r>
        <w:t>The first supplementary component focuses on creating a trained workforce that can reliably deliver improved energy performance, while the second utilises New York City’s federal stimulus funding to create an innovative energy efficiency financing corporation to provide funds for energy upgrades.</w:t>
      </w:r>
    </w:p>
    <w:p w14:paraId="6265425C" w14:textId="77777777" w:rsidR="00344F17" w:rsidRDefault="00344F17" w:rsidP="00344F17">
      <w:pPr>
        <w:pStyle w:val="BodyText"/>
      </w:pPr>
      <w:r>
        <w:t xml:space="preserve">While much of GGBP is about energy transparency, retro-commissioning and lighting upgrades have also been broadly mandated in the policy because they are extremely cost-effective measures that will quickly start </w:t>
      </w:r>
      <w:r w:rsidR="004509E4">
        <w:t xml:space="preserve">to </w:t>
      </w:r>
      <w:r>
        <w:t>accrue savings for building owners</w:t>
      </w:r>
      <w:r w:rsidR="00CB3EC7">
        <w:t xml:space="preserve">. </w:t>
      </w:r>
      <w:r>
        <w:t>When these small benefits are aggregated at the city scale, they add up to very large projected savings – GGBP is estimated to cost US$5.2 billion while saving US$12.2 billion, for a net savings of US$7 billion.</w:t>
      </w:r>
    </w:p>
    <w:p w14:paraId="61AF9CF6" w14:textId="77777777" w:rsidR="00344F17" w:rsidRDefault="00344F17" w:rsidP="00344F17">
      <w:pPr>
        <w:pStyle w:val="BodyText"/>
      </w:pPr>
      <w:r>
        <w:t>By 2030, GGBP is estimated to reduce citywide GHG emissions by at least 5.3 per cent from the 2009 baseline of 50.8 million metric tons</w:t>
      </w:r>
      <w:r w:rsidR="00CB3EC7">
        <w:t xml:space="preserve">. </w:t>
      </w:r>
      <w:r>
        <w:t>This equals approximately 2.72 million metric tons of emissions reduced by 2030</w:t>
      </w:r>
      <w:r w:rsidR="00CB3EC7">
        <w:t xml:space="preserve">. </w:t>
      </w:r>
      <w:r>
        <w:t>Assuming a business-as-usual increase of one per cent per year, GGBP will achieve approximately 10 per</w:t>
      </w:r>
      <w:r w:rsidR="004509E4">
        <w:t xml:space="preserve"> </w:t>
      </w:r>
      <w:r>
        <w:t>cent of the reductions necessary for New York City to achieve its goal toward a 30 per cent reduction in GHG emissions by 2030.</w:t>
      </w:r>
    </w:p>
    <w:p w14:paraId="29257C89" w14:textId="77777777" w:rsidR="00344F17" w:rsidRDefault="00344F17" w:rsidP="00344F17">
      <w:pPr>
        <w:pStyle w:val="Heading4"/>
        <w:numPr>
          <w:ilvl w:val="3"/>
          <w:numId w:val="20"/>
        </w:numPr>
      </w:pPr>
      <w:r>
        <w:t>Austin, Texas</w:t>
      </w:r>
    </w:p>
    <w:p w14:paraId="1E274E37" w14:textId="3FC076B1" w:rsidR="00344F17" w:rsidRDefault="00344F17" w:rsidP="00344F17">
      <w:pPr>
        <w:pStyle w:val="BodyText"/>
      </w:pPr>
      <w:r>
        <w:t xml:space="preserve">Under Austin’s </w:t>
      </w:r>
      <w:r w:rsidRPr="00292522">
        <w:rPr>
          <w:i/>
        </w:rPr>
        <w:t>Energy Conservation Audit and Disclosure</w:t>
      </w:r>
      <w:r>
        <w:t xml:space="preserve"> (ECAD) ordinance enacted in 2008, n</w:t>
      </w:r>
      <w:r w:rsidRPr="00C52A91">
        <w:t xml:space="preserve">on-residential buildings greater than 10 years old must calculate an energy rating by </w:t>
      </w:r>
      <w:r>
        <w:t>a prescribed timetable depending on building size</w:t>
      </w:r>
      <w:r w:rsidR="004509E4">
        <w:t>:</w:t>
      </w:r>
      <w:r>
        <w:t xml:space="preserve"> June 1, 2012 for buildings more than 75,000 square feet (6,968 m</w:t>
      </w:r>
      <w:r w:rsidRPr="00292522">
        <w:rPr>
          <w:vertAlign w:val="superscript"/>
        </w:rPr>
        <w:t>2</w:t>
      </w:r>
      <w:r>
        <w:t>), June 1, 2013 for buildings between 30,000 and 75,000 square feet (2,787 – 6,968 m</w:t>
      </w:r>
      <w:r w:rsidRPr="00292522">
        <w:rPr>
          <w:vertAlign w:val="superscript"/>
        </w:rPr>
        <w:t>2</w:t>
      </w:r>
      <w:r>
        <w:t>) and June 1, 2014 for buildings between 10,000 and 30,000 square feet (929 – 2,787 m</w:t>
      </w:r>
      <w:r w:rsidRPr="00292522">
        <w:rPr>
          <w:vertAlign w:val="superscript"/>
        </w:rPr>
        <w:t>2</w:t>
      </w:r>
      <w:r>
        <w:t>)</w:t>
      </w:r>
      <w:r w:rsidR="004509E4">
        <w:t>;</w:t>
      </w:r>
      <w:r w:rsidRPr="00C52A91">
        <w:t xml:space="preserve"> while buildings less than 10 years old are required to calculate a rating within 10 years of the completion of construction</w:t>
      </w:r>
      <w:r w:rsidR="00CB3EC7" w:rsidRPr="00C52A91">
        <w:t>.</w:t>
      </w:r>
      <w:r w:rsidR="00CB3EC7">
        <w:t xml:space="preserve"> </w:t>
      </w:r>
      <w:r w:rsidRPr="001203AF">
        <w:t>The passage of this ordinance was coordinated by the city government and the city’s municipal owned electric utility, Austin Energy.</w:t>
      </w:r>
    </w:p>
    <w:p w14:paraId="64F06188" w14:textId="77777777" w:rsidR="00344F17" w:rsidRDefault="00344F17" w:rsidP="00344F17">
      <w:pPr>
        <w:pStyle w:val="BodyText"/>
      </w:pPr>
      <w:r w:rsidRPr="00C52A91">
        <w:t>Ratings must be disclosed to prospective buyers prior to a sale transaction, however no energy audit is required</w:t>
      </w:r>
      <w:r w:rsidR="00CB3EC7" w:rsidRPr="00C52A91">
        <w:t>.</w:t>
      </w:r>
      <w:r w:rsidR="00CB3EC7">
        <w:t xml:space="preserve"> </w:t>
      </w:r>
      <w:r w:rsidRPr="00C52A91">
        <w:t xml:space="preserve">Buildings </w:t>
      </w:r>
      <w:r>
        <w:t>are</w:t>
      </w:r>
      <w:r w:rsidRPr="00C52A91">
        <w:t xml:space="preserve"> rated using </w:t>
      </w:r>
      <w:r>
        <w:t xml:space="preserve">the US Environmental Protection Agency (EPA) </w:t>
      </w:r>
      <w:r w:rsidRPr="00C52A91">
        <w:t xml:space="preserve">ENERGY STAR software or a free online tool from Austin Energy (for facilities less than 5,000 </w:t>
      </w:r>
      <w:r>
        <w:t>square feet</w:t>
      </w:r>
      <w:r w:rsidRPr="00C52A91">
        <w:t>)</w:t>
      </w:r>
      <w:r w:rsidR="00CB3EC7">
        <w:t xml:space="preserve">. </w:t>
      </w:r>
      <w:r w:rsidRPr="00C52A91">
        <w:t>Industrial properties are exempt</w:t>
      </w:r>
      <w:r w:rsidR="00CB3EC7" w:rsidRPr="00C52A91">
        <w:t>.</w:t>
      </w:r>
      <w:r w:rsidR="00CB3EC7">
        <w:t xml:space="preserve"> </w:t>
      </w:r>
    </w:p>
    <w:p w14:paraId="74DA782B" w14:textId="77777777" w:rsidR="00344F17" w:rsidRDefault="00344F17" w:rsidP="00344F17">
      <w:pPr>
        <w:pStyle w:val="Heading4"/>
        <w:numPr>
          <w:ilvl w:val="3"/>
          <w:numId w:val="20"/>
        </w:numPr>
      </w:pPr>
      <w:r>
        <w:t>Washington state</w:t>
      </w:r>
    </w:p>
    <w:p w14:paraId="7C40FAAF" w14:textId="77777777" w:rsidR="00344F17" w:rsidRDefault="00344F17" w:rsidP="00344F17">
      <w:pPr>
        <w:pStyle w:val="BodyText"/>
      </w:pPr>
      <w:r w:rsidRPr="009B1E4B">
        <w:t xml:space="preserve">On May 8, 2009, Washington Governor Chris </w:t>
      </w:r>
      <w:proofErr w:type="spellStart"/>
      <w:r w:rsidRPr="009B1E4B">
        <w:t>Gregoire</w:t>
      </w:r>
      <w:proofErr w:type="spellEnd"/>
      <w:r w:rsidRPr="009B1E4B">
        <w:t xml:space="preserve"> signed into law SB 5854, also known as the </w:t>
      </w:r>
      <w:r w:rsidRPr="00292522">
        <w:rPr>
          <w:i/>
        </w:rPr>
        <w:t>Efficiency First</w:t>
      </w:r>
      <w:r w:rsidRPr="009B1E4B">
        <w:t xml:space="preserve"> bill</w:t>
      </w:r>
      <w:r w:rsidR="00CB3EC7" w:rsidRPr="009B1E4B">
        <w:t>.</w:t>
      </w:r>
      <w:r w:rsidR="00CB3EC7">
        <w:t xml:space="preserve"> </w:t>
      </w:r>
      <w:r w:rsidRPr="009B1E4B">
        <w:t>Focusing on energy efficiency in the built environment, the bill requires commercial building energy rating and disclosure, major improvements to the state energy code, and energy performance standards and retrofits (if necessary) for public buildings.</w:t>
      </w:r>
    </w:p>
    <w:p w14:paraId="63DE0F85" w14:textId="6252F922" w:rsidR="00344F17" w:rsidRDefault="00344F17" w:rsidP="00344F17">
      <w:pPr>
        <w:pStyle w:val="BodyText"/>
      </w:pPr>
      <w:r>
        <w:t>O</w:t>
      </w:r>
      <w:r w:rsidRPr="009B1E4B">
        <w:t>wners of non</w:t>
      </w:r>
      <w:r>
        <w:t>-</w:t>
      </w:r>
      <w:r w:rsidRPr="009B1E4B">
        <w:t xml:space="preserve">residential buildings larger than 10,000 </w:t>
      </w:r>
      <w:r>
        <w:t>square feet (929 m</w:t>
      </w:r>
      <w:r w:rsidRPr="00292522">
        <w:rPr>
          <w:vertAlign w:val="superscript"/>
        </w:rPr>
        <w:t>2</w:t>
      </w:r>
      <w:r>
        <w:t>) must</w:t>
      </w:r>
      <w:r w:rsidRPr="009B1E4B">
        <w:t xml:space="preserve"> rate their buildings using ENERGY STAR software and disclose that information to </w:t>
      </w:r>
      <w:r w:rsidRPr="009B1E4B">
        <w:lastRenderedPageBreak/>
        <w:t>prospective buyers, lessees and lenders prior to the closing of a transaction</w:t>
      </w:r>
      <w:r w:rsidR="00CB3EC7" w:rsidRPr="009B1E4B">
        <w:t>.</w:t>
      </w:r>
      <w:r w:rsidR="00CB3EC7">
        <w:t xml:space="preserve"> </w:t>
      </w:r>
      <w:r w:rsidRPr="009B1E4B">
        <w:t xml:space="preserve">Utilities </w:t>
      </w:r>
      <w:r>
        <w:t>were</w:t>
      </w:r>
      <w:r w:rsidRPr="009B1E4B">
        <w:t xml:space="preserve"> required beginning </w:t>
      </w:r>
      <w:r w:rsidR="00106731">
        <w:t xml:space="preserve">1 </w:t>
      </w:r>
      <w:r w:rsidRPr="009B1E4B">
        <w:t>Jan</w:t>
      </w:r>
      <w:r w:rsidR="00106731">
        <w:t>uary</w:t>
      </w:r>
      <w:r w:rsidRPr="009B1E4B">
        <w:t xml:space="preserve"> 2010, at the request of a building owner, to automatically upload energy consumption information for a building into ENERGY STAR software.</w:t>
      </w:r>
    </w:p>
    <w:p w14:paraId="59065C92" w14:textId="242C786D" w:rsidR="00344F17" w:rsidRDefault="00344F17" w:rsidP="00344F17">
      <w:pPr>
        <w:pStyle w:val="BodyText"/>
      </w:pPr>
      <w:r w:rsidRPr="009B1E4B">
        <w:t xml:space="preserve">For public buildings, the requirements </w:t>
      </w:r>
      <w:r>
        <w:t>are</w:t>
      </w:r>
      <w:r w:rsidRPr="009B1E4B">
        <w:t xml:space="preserve"> more stringent</w:t>
      </w:r>
      <w:r w:rsidR="00CB3EC7" w:rsidRPr="009B1E4B">
        <w:t>.</w:t>
      </w:r>
      <w:r w:rsidR="00CB3EC7">
        <w:t xml:space="preserve"> </w:t>
      </w:r>
      <w:r w:rsidRPr="009B1E4B">
        <w:t xml:space="preserve">A preliminary energy audit </w:t>
      </w:r>
      <w:r>
        <w:t>is</w:t>
      </w:r>
      <w:r w:rsidRPr="009B1E4B">
        <w:t xml:space="preserve"> required for buildings with an ENERGY STAR rating less than 50</w:t>
      </w:r>
      <w:r w:rsidR="00CB3EC7" w:rsidRPr="009B1E4B">
        <w:t>.</w:t>
      </w:r>
      <w:r w:rsidR="00CB3EC7">
        <w:t xml:space="preserve"> </w:t>
      </w:r>
      <w:r w:rsidRPr="009B1E4B">
        <w:t>If that audit identifie</w:t>
      </w:r>
      <w:r>
        <w:t>d</w:t>
      </w:r>
      <w:r w:rsidRPr="009B1E4B">
        <w:t xml:space="preserve"> cost effective energy savings, an investment grade audit </w:t>
      </w:r>
      <w:r>
        <w:t>was</w:t>
      </w:r>
      <w:r w:rsidRPr="009B1E4B">
        <w:t xml:space="preserve"> required by </w:t>
      </w:r>
      <w:r w:rsidR="00106731">
        <w:t xml:space="preserve">1 </w:t>
      </w:r>
      <w:r w:rsidRPr="009B1E4B">
        <w:t>July 2013 and cost-effective measures must be implemented by 2016.</w:t>
      </w:r>
    </w:p>
    <w:p w14:paraId="641A4586" w14:textId="77777777" w:rsidR="00344F17" w:rsidRDefault="00344F17" w:rsidP="00344F17">
      <w:pPr>
        <w:pStyle w:val="BodyText"/>
      </w:pPr>
      <w:r w:rsidRPr="009B1E4B">
        <w:t>Additionally, state agencies may not sign a new lease or a lease renewal in a privately owned building with a</w:t>
      </w:r>
      <w:r>
        <w:t>n ENERGY STAR</w:t>
      </w:r>
      <w:r w:rsidRPr="009B1E4B">
        <w:t xml:space="preserve"> rating of less than 75, unless certain energy efficiency measures are utili</w:t>
      </w:r>
      <w:r>
        <w:t>sed.</w:t>
      </w:r>
    </w:p>
    <w:p w14:paraId="5EEA0284" w14:textId="77777777" w:rsidR="00344F17" w:rsidRDefault="00344F17" w:rsidP="00344F17">
      <w:pPr>
        <w:pStyle w:val="Heading3"/>
        <w:numPr>
          <w:ilvl w:val="2"/>
          <w:numId w:val="20"/>
        </w:numPr>
      </w:pPr>
      <w:bookmarkStart w:id="108" w:name="_Toc415660854"/>
      <w:r>
        <w:t>China</w:t>
      </w:r>
      <w:bookmarkEnd w:id="108"/>
    </w:p>
    <w:p w14:paraId="526F5DD0" w14:textId="0AB2E234" w:rsidR="00344F17" w:rsidRDefault="00344F17" w:rsidP="00344F17">
      <w:pPr>
        <w:pStyle w:val="BodyText"/>
      </w:pPr>
      <w:r>
        <w:t xml:space="preserve">In China, several local governments, </w:t>
      </w:r>
      <w:r w:rsidR="00F41AEB">
        <w:t xml:space="preserve">such as </w:t>
      </w:r>
      <w:r>
        <w:t>Shanghai and Beijing, ha</w:t>
      </w:r>
      <w:r w:rsidR="00F41AEB">
        <w:t>ve</w:t>
      </w:r>
      <w:r>
        <w:t xml:space="preserve"> developed building energy efficiency labelling programs</w:t>
      </w:r>
      <w:r w:rsidR="00CB3EC7">
        <w:t xml:space="preserve">. </w:t>
      </w:r>
      <w:r>
        <w:t>A national program, based on the Civil Building Energy Efficiency Regulation, was launched in 2008</w:t>
      </w:r>
      <w:r w:rsidR="00CB3EC7">
        <w:t xml:space="preserve">. </w:t>
      </w:r>
      <w:r>
        <w:t>The regulation legally requires that the energy performance of new government-owned office buildings or large public buildings should be rated and labelled.</w:t>
      </w:r>
    </w:p>
    <w:p w14:paraId="156EE8EE" w14:textId="77777777" w:rsidR="00344F17" w:rsidRDefault="00344F17" w:rsidP="00344F17">
      <w:pPr>
        <w:pStyle w:val="BodyText"/>
      </w:pPr>
      <w:r>
        <w:t>The building labelling program is administered by the Ministry of Housing and Urban-Rural Development (MOHURD)</w:t>
      </w:r>
      <w:r w:rsidR="00CB3EC7">
        <w:t xml:space="preserve">. </w:t>
      </w:r>
      <w:r>
        <w:t>It is only mandatory for four types of buildings:</w:t>
      </w:r>
    </w:p>
    <w:p w14:paraId="5AEAA94F" w14:textId="77777777" w:rsidR="00344F17" w:rsidRDefault="00344F17" w:rsidP="00344F17">
      <w:pPr>
        <w:pStyle w:val="ListDash"/>
      </w:pPr>
      <w:r>
        <w:t>new government-owned office buildings or large public buildings</w:t>
      </w:r>
    </w:p>
    <w:p w14:paraId="776E1409" w14:textId="77777777" w:rsidR="00344F17" w:rsidRDefault="00344F17" w:rsidP="00344F17">
      <w:pPr>
        <w:pStyle w:val="ListDash"/>
      </w:pPr>
      <w:r>
        <w:t>existing buildings (of the type listed above) that apply for government funding to subsidise energy retrofits</w:t>
      </w:r>
    </w:p>
    <w:p w14:paraId="5503A364" w14:textId="77777777" w:rsidR="00344F17" w:rsidRDefault="00344F17" w:rsidP="00344F17">
      <w:pPr>
        <w:pStyle w:val="ListDash"/>
      </w:pPr>
      <w:r>
        <w:t>state or provincial energy efficiency demonstration buildings</w:t>
      </w:r>
    </w:p>
    <w:p w14:paraId="07A01291" w14:textId="77777777" w:rsidR="00344F17" w:rsidRDefault="00344F17" w:rsidP="00344F17">
      <w:pPr>
        <w:pStyle w:val="ListDash"/>
      </w:pPr>
      <w:r>
        <w:t>buildings that apply for National Green Building Labels.</w:t>
      </w:r>
    </w:p>
    <w:p w14:paraId="22F4F2FC" w14:textId="77777777" w:rsidR="00344F17" w:rsidRDefault="00344F17" w:rsidP="00344F17">
      <w:pPr>
        <w:pStyle w:val="BodyText"/>
      </w:pPr>
      <w:r>
        <w:t>The MOHURD rating program has five levels, from one star to five stars, and covers both residential and non-residential buildings</w:t>
      </w:r>
      <w:r w:rsidR="00CB3EC7">
        <w:t xml:space="preserve">. </w:t>
      </w:r>
      <w:r>
        <w:t>It also is unique in its inclusion of both asset and operational ratings.</w:t>
      </w:r>
    </w:p>
    <w:p w14:paraId="2A1A6AC4" w14:textId="77777777" w:rsidR="007C47AE" w:rsidRDefault="00AF3E60" w:rsidP="003F5F13">
      <w:pPr>
        <w:pStyle w:val="Heading3"/>
      </w:pPr>
      <w:bookmarkStart w:id="109" w:name="_Toc415660855"/>
      <w:r>
        <w:t>Comparison with the CBD program</w:t>
      </w:r>
      <w:bookmarkEnd w:id="109"/>
    </w:p>
    <w:p w14:paraId="527EA40A" w14:textId="0B9C9632" w:rsidR="00B41488" w:rsidRDefault="00B41488" w:rsidP="00344F17">
      <w:pPr>
        <w:pStyle w:val="BodyText"/>
      </w:pPr>
      <w:r>
        <w:t xml:space="preserve">The NABERS tool used in the CBD program is similar to the </w:t>
      </w:r>
      <w:r w:rsidR="00B610B7">
        <w:t xml:space="preserve">US EPA’s </w:t>
      </w:r>
      <w:r>
        <w:t>ENERGY STAR tool used in the New York City, Austin and Washington state programs</w:t>
      </w:r>
      <w:r w:rsidR="00F41AEB">
        <w:t>,</w:t>
      </w:r>
      <w:r>
        <w:t xml:space="preserve"> in that the actual energy performance of a building is assessed against</w:t>
      </w:r>
      <w:r w:rsidR="00193364">
        <w:t xml:space="preserve"> its peers</w:t>
      </w:r>
      <w:r w:rsidR="00F41AEB">
        <w:t>;</w:t>
      </w:r>
      <w:r w:rsidR="00193364">
        <w:t xml:space="preserve"> whereas the European programs rely on modelled asset ratings rather than operational ratings. </w:t>
      </w:r>
    </w:p>
    <w:p w14:paraId="5F67EE5F" w14:textId="113AC393" w:rsidR="0025706C" w:rsidRDefault="0025706C" w:rsidP="00344F17">
      <w:pPr>
        <w:pStyle w:val="BodyText"/>
      </w:pPr>
      <w:r>
        <w:t>The New York City program is more heavy-handed than the CBD program</w:t>
      </w:r>
      <w:r w:rsidR="00F41AEB">
        <w:t xml:space="preserve"> as it </w:t>
      </w:r>
      <w:r>
        <w:t>mandates lighting upgrades and requires an energy audit and tuning, or retro-commissioning, of energy equipment in large buildings every ten years</w:t>
      </w:r>
      <w:r w:rsidR="002F4396">
        <w:t>. Likewise, air-conditioning systems in non-residential buildings in the UK must be inspected every five years.</w:t>
      </w:r>
    </w:p>
    <w:p w14:paraId="31308B14" w14:textId="77777777" w:rsidR="00AF3E60" w:rsidRDefault="00CF6C4F" w:rsidP="00344F17">
      <w:pPr>
        <w:pStyle w:val="BodyText"/>
      </w:pPr>
      <w:r>
        <w:t xml:space="preserve">In England, Wales and some European countries, the energy performance of significant public buildings </w:t>
      </w:r>
      <w:r w:rsidR="00BD1DD0">
        <w:t xml:space="preserve">(over </w:t>
      </w:r>
      <w:r w:rsidR="00BD1DD0" w:rsidRPr="005661A5">
        <w:t>500m</w:t>
      </w:r>
      <w:r w:rsidR="00BD1DD0" w:rsidRPr="005661A5">
        <w:rPr>
          <w:vertAlign w:val="superscript"/>
        </w:rPr>
        <w:t>2</w:t>
      </w:r>
      <w:r w:rsidR="00BD1DD0">
        <w:t xml:space="preserve">) </w:t>
      </w:r>
      <w:r w:rsidRPr="005661A5">
        <w:t>must</w:t>
      </w:r>
      <w:r>
        <w:t xml:space="preserve"> be publicly displayed. This requirement is absent in Australia.</w:t>
      </w:r>
    </w:p>
    <w:p w14:paraId="2E544C91" w14:textId="77777777" w:rsidR="00CF6C4F" w:rsidRDefault="00CF6C4F" w:rsidP="00344F17">
      <w:pPr>
        <w:pStyle w:val="BodyText"/>
      </w:pPr>
      <w:r>
        <w:lastRenderedPageBreak/>
        <w:t xml:space="preserve">While the CBD program required generic </w:t>
      </w:r>
      <w:r w:rsidR="00BC1F17">
        <w:t>guidance on improving energy efficiency</w:t>
      </w:r>
      <w:r>
        <w:t xml:space="preserve"> to </w:t>
      </w:r>
      <w:r w:rsidR="00BC1F17">
        <w:t>be included on the</w:t>
      </w:r>
      <w:r>
        <w:t xml:space="preserve"> BEEC (a requirement which will be scrapped), the European programs require a tailored </w:t>
      </w:r>
      <w:r w:rsidR="006F50C3">
        <w:t>recommendation</w:t>
      </w:r>
      <w:r>
        <w:t xml:space="preserve"> report for each building.</w:t>
      </w:r>
    </w:p>
    <w:p w14:paraId="730A2965" w14:textId="77777777" w:rsidR="00CF6C4F" w:rsidRPr="005661A5" w:rsidRDefault="00B610B7" w:rsidP="00344F17">
      <w:pPr>
        <w:pStyle w:val="BodyText"/>
      </w:pPr>
      <w:r>
        <w:t>The programs examined above also differ in the floor area eligibility threshold. While the CBD program has a threshold of 2,000 m</w:t>
      </w:r>
      <w:r w:rsidRPr="003F5F13">
        <w:rPr>
          <w:vertAlign w:val="superscript"/>
        </w:rPr>
        <w:t>2</w:t>
      </w:r>
      <w:r>
        <w:t xml:space="preserve">, the programs in Austin and Washington state have a threshold of </w:t>
      </w:r>
      <w:r w:rsidRPr="009B1E4B">
        <w:t xml:space="preserve">10,000 </w:t>
      </w:r>
      <w:r>
        <w:t>square feet (929 m</w:t>
      </w:r>
      <w:r w:rsidRPr="00292522">
        <w:rPr>
          <w:vertAlign w:val="superscript"/>
        </w:rPr>
        <w:t>2</w:t>
      </w:r>
      <w:r>
        <w:t>) while the New York City program targets buildings over 50,000 square feet (4,645 m</w:t>
      </w:r>
      <w:r w:rsidRPr="00292522">
        <w:rPr>
          <w:vertAlign w:val="superscript"/>
        </w:rPr>
        <w:t>2</w:t>
      </w:r>
      <w:r w:rsidR="000E2046">
        <w:t>)</w:t>
      </w:r>
      <w:r>
        <w:t xml:space="preserve">. The UK’s non-residential EPC program covers </w:t>
      </w:r>
      <w:r w:rsidRPr="003F5F13">
        <w:rPr>
          <w:i/>
        </w:rPr>
        <w:t>all</w:t>
      </w:r>
      <w:r>
        <w:t xml:space="preserve"> buildings including factories, offices, retail premises and public sector buildings</w:t>
      </w:r>
      <w:r w:rsidR="00F41AEB">
        <w:t>,</w:t>
      </w:r>
      <w:r>
        <w:t xml:space="preserve"> regardless of size.</w:t>
      </w:r>
    </w:p>
    <w:p w14:paraId="67E2F5E9" w14:textId="77777777" w:rsidR="00344F17" w:rsidRDefault="00344F17" w:rsidP="00344F17">
      <w:pPr>
        <w:pStyle w:val="Heading2"/>
        <w:numPr>
          <w:ilvl w:val="1"/>
          <w:numId w:val="20"/>
        </w:numPr>
      </w:pPr>
      <w:bookmarkStart w:id="110" w:name="_Toc414439512"/>
      <w:bookmarkStart w:id="111" w:name="_Toc414443017"/>
      <w:bookmarkStart w:id="112" w:name="_Toc415660856"/>
      <w:bookmarkEnd w:id="110"/>
      <w:bookmarkEnd w:id="111"/>
      <w:r>
        <w:t>Assessment of the appropriateness of the CBD program</w:t>
      </w:r>
      <w:bookmarkEnd w:id="112"/>
    </w:p>
    <w:p w14:paraId="0900CCFB" w14:textId="77777777" w:rsidR="00344F17" w:rsidRDefault="00344F17" w:rsidP="00344F17">
      <w:pPr>
        <w:pStyle w:val="BodyText"/>
      </w:pPr>
      <w:r>
        <w:t>In October 2008, the Council of Australian Governments (COAG) agreed to develop a National Strategy for Energy Efficiency (the Strategy) to accelerate energy efficiency efforts, to streamline roles and responsibilities across levels of governments, and to help households and businesses prepare for the introduction of the Carbon Pollution Reduction Scheme (the Scheme)</w:t>
      </w:r>
      <w:r w:rsidR="00CB3EC7">
        <w:t xml:space="preserve">. </w:t>
      </w:r>
      <w:r>
        <w:t>COAG agreed to the 10-year Strategy in July 2009, which was updated in July 2010.</w:t>
      </w:r>
    </w:p>
    <w:p w14:paraId="7EC46AC8" w14:textId="77777777" w:rsidR="00344F17" w:rsidRDefault="00344F17" w:rsidP="00344F17">
      <w:pPr>
        <w:pStyle w:val="BodyText"/>
      </w:pPr>
      <w:r>
        <w:t>The Strategy was designed to substantially improve minimum standards for energy efficiency and accelerate the introduction of new technologies through improving regulatory processes and addressing the barriers to uptake of new energy-efficient products and technologies</w:t>
      </w:r>
      <w:r w:rsidR="00CB3EC7">
        <w:t xml:space="preserve">. </w:t>
      </w:r>
      <w:r>
        <w:t>The Strategy aimed to encourage and support innovation in energy efficiency technologies and approaches</w:t>
      </w:r>
      <w:r w:rsidR="00CB3EC7">
        <w:t xml:space="preserve">. </w:t>
      </w:r>
      <w:r>
        <w:t>The Strategy incorporated and built on measures already agreed by COAG and the Ministerial Council on Energy through the National Framework on Energy Efficiency.</w:t>
      </w:r>
    </w:p>
    <w:p w14:paraId="5041844D" w14:textId="77777777" w:rsidR="00344F17" w:rsidRDefault="00344F17" w:rsidP="00344F17">
      <w:pPr>
        <w:pStyle w:val="BodyText"/>
      </w:pPr>
      <w:r>
        <w:t>The measures in the Strategy are framed around the following four key themes:</w:t>
      </w:r>
    </w:p>
    <w:p w14:paraId="7C7D4B5F" w14:textId="77777777" w:rsidR="00344F17" w:rsidRDefault="00344F17" w:rsidP="00B871D4">
      <w:pPr>
        <w:pStyle w:val="ListNumber"/>
        <w:numPr>
          <w:ilvl w:val="0"/>
          <w:numId w:val="41"/>
        </w:numPr>
      </w:pPr>
      <w:r>
        <w:t>Assisting households and businesses to transition to a low-carbon future</w:t>
      </w:r>
    </w:p>
    <w:p w14:paraId="6DC16DB3" w14:textId="77777777" w:rsidR="00344F17" w:rsidRDefault="00344F17" w:rsidP="00344F17">
      <w:pPr>
        <w:pStyle w:val="ListNumber"/>
        <w:numPr>
          <w:ilvl w:val="0"/>
          <w:numId w:val="30"/>
        </w:numPr>
      </w:pPr>
      <w:r>
        <w:t>Reducing impediments to the uptake of energy efficiency</w:t>
      </w:r>
    </w:p>
    <w:p w14:paraId="309A6556" w14:textId="77777777" w:rsidR="00344F17" w:rsidRDefault="00344F17" w:rsidP="00344F17">
      <w:pPr>
        <w:pStyle w:val="ListNumber"/>
        <w:numPr>
          <w:ilvl w:val="0"/>
          <w:numId w:val="30"/>
        </w:numPr>
      </w:pPr>
      <w:r>
        <w:t>Making buildings more energy efficient</w:t>
      </w:r>
    </w:p>
    <w:p w14:paraId="2E2E7114" w14:textId="77777777" w:rsidR="00344F17" w:rsidRDefault="00344F17" w:rsidP="00344F17">
      <w:pPr>
        <w:pStyle w:val="ListNumber"/>
        <w:numPr>
          <w:ilvl w:val="0"/>
          <w:numId w:val="30"/>
        </w:numPr>
      </w:pPr>
      <w:r>
        <w:t>Government working in partnership and leading the way.</w:t>
      </w:r>
    </w:p>
    <w:p w14:paraId="46B4E821" w14:textId="77777777" w:rsidR="00344F17" w:rsidRDefault="00344F17" w:rsidP="00344F17">
      <w:pPr>
        <w:pStyle w:val="BodyText"/>
      </w:pPr>
      <w:r>
        <w:t>In relation to the third theme (‘Making buildings more energy efficient’), the Strategy was designed to drive significant improvement in minimum energy efficiency standards to deliver substantial growth in the number of highly energy efficient homes and commercial buildings, reflecting international best practice</w:t>
      </w:r>
      <w:r w:rsidR="00CB3EC7">
        <w:t xml:space="preserve">. </w:t>
      </w:r>
      <w:r>
        <w:t>The transformation was to be achieved through a combination of measures addressing both new buildings construction and the existing building stock.</w:t>
      </w:r>
    </w:p>
    <w:p w14:paraId="253A07FE" w14:textId="166D95DA" w:rsidR="00344F17" w:rsidRDefault="00344F17" w:rsidP="00344F17">
      <w:pPr>
        <w:pStyle w:val="BodyText"/>
      </w:pPr>
      <w:r>
        <w:t xml:space="preserve">New buildings would be constructed according to increasingly stringent energy efficiency standards that lead to a reduction in energy consumption, starting with the 2010 version of the </w:t>
      </w:r>
      <w:r w:rsidRPr="00292522">
        <w:rPr>
          <w:i/>
        </w:rPr>
        <w:t>Building Code of Australia</w:t>
      </w:r>
      <w:r>
        <w:t xml:space="preserve"> (BCA)</w:t>
      </w:r>
      <w:r w:rsidR="00CB3EC7">
        <w:t xml:space="preserve">. </w:t>
      </w:r>
      <w:r>
        <w:t>These standards account for climatic variation</w:t>
      </w:r>
      <w:r w:rsidR="00CB3EC7">
        <w:t xml:space="preserve">. </w:t>
      </w:r>
      <w:r>
        <w:t>Major renovations are subject to the same standards</w:t>
      </w:r>
      <w:r w:rsidR="00CB3EC7">
        <w:t xml:space="preserve">. </w:t>
      </w:r>
      <w:r>
        <w:t>There would also be new efficiency provisions for heating, ventilation and air conditioning systems</w:t>
      </w:r>
      <w:r w:rsidR="00821C95">
        <w:t>, as well as</w:t>
      </w:r>
      <w:r>
        <w:t xml:space="preserve"> artificial lighting.</w:t>
      </w:r>
    </w:p>
    <w:p w14:paraId="3E51521F" w14:textId="77777777" w:rsidR="00344F17" w:rsidRDefault="00344F17" w:rsidP="00344F17">
      <w:pPr>
        <w:pStyle w:val="BodyText"/>
      </w:pPr>
      <w:r>
        <w:t>The Strategy also included measures to help raise the energy efficiency of the existing building stock through voluntary action in response to better information about building energy use</w:t>
      </w:r>
      <w:r w:rsidR="00821C95">
        <w:t>.</w:t>
      </w:r>
      <w:r>
        <w:t xml:space="preserve"> In particular, people seeking to buy or lease properties would be provided with information about the energy efficiency of the buildings through proposed new mandatory disclosure provisions</w:t>
      </w:r>
      <w:r w:rsidR="00CB3EC7">
        <w:t xml:space="preserve">. </w:t>
      </w:r>
      <w:r>
        <w:t xml:space="preserve">Armed with this information, </w:t>
      </w:r>
      <w:r>
        <w:lastRenderedPageBreak/>
        <w:t>consumers and businesses would be able to make informed choices about the energy efficiency of the buildings they buy and lease – and builders and building owners would respond to those market signals by investing in energy efficiency.</w:t>
      </w:r>
    </w:p>
    <w:p w14:paraId="50C8479A" w14:textId="051A8F8F" w:rsidR="00344F17" w:rsidRDefault="00344F17" w:rsidP="00344F17">
      <w:pPr>
        <w:pStyle w:val="BodyText"/>
      </w:pPr>
      <w:r>
        <w:t>The CBD program, which applies to existing buildings in addition to new buildings, is thus a complement to the measure of increasing the stringency of energy efficiency provisions for new commercial buildings</w:t>
      </w:r>
      <w:r w:rsidR="00CB3EC7">
        <w:t xml:space="preserve">. </w:t>
      </w:r>
      <w:r>
        <w:t>Collectively, these two measures relating to the energy efficiency of buildings constitute a logical part of a broader suite of measures contained in the overarching National Strategy to bring about significant gains in energy efficiency throughout Australia.</w:t>
      </w:r>
    </w:p>
    <w:p w14:paraId="2E6FBEB4" w14:textId="77777777" w:rsidR="00344F17" w:rsidRDefault="00344F17" w:rsidP="00344F17">
      <w:pPr>
        <w:pStyle w:val="BodyText"/>
      </w:pPr>
      <w:r>
        <w:t xml:space="preserve">In addition, as reviewed briefly in Section </w:t>
      </w:r>
      <w:r w:rsidR="00492194">
        <w:fldChar w:fldCharType="begin"/>
      </w:r>
      <w:r>
        <w:instrText xml:space="preserve"> REF _Ref409463427 \r \h </w:instrText>
      </w:r>
      <w:r w:rsidR="00492194">
        <w:fldChar w:fldCharType="separate"/>
      </w:r>
      <w:r w:rsidR="006A273E">
        <w:t>3.3.1</w:t>
      </w:r>
      <w:r w:rsidR="00492194">
        <w:fldChar w:fldCharType="end"/>
      </w:r>
      <w:r>
        <w:t xml:space="preserve"> and will be elaborated upon in the upcoming Sections </w:t>
      </w:r>
      <w:r w:rsidR="00492194">
        <w:fldChar w:fldCharType="begin"/>
      </w:r>
      <w:r>
        <w:instrText xml:space="preserve"> REF _Ref409091171 \r \h </w:instrText>
      </w:r>
      <w:r w:rsidR="00492194">
        <w:fldChar w:fldCharType="separate"/>
      </w:r>
      <w:r w:rsidR="006A273E">
        <w:t>4.9</w:t>
      </w:r>
      <w:r w:rsidR="00492194">
        <w:fldChar w:fldCharType="end"/>
      </w:r>
      <w:r>
        <w:t xml:space="preserve"> and </w:t>
      </w:r>
      <w:r w:rsidR="00492194">
        <w:fldChar w:fldCharType="begin"/>
      </w:r>
      <w:r>
        <w:instrText xml:space="preserve"> REF _Ref409091325 \r \h </w:instrText>
      </w:r>
      <w:r w:rsidR="00492194">
        <w:fldChar w:fldCharType="separate"/>
      </w:r>
      <w:r w:rsidR="006A273E">
        <w:t>5.5</w:t>
      </w:r>
      <w:r w:rsidR="00492194">
        <w:fldChar w:fldCharType="end"/>
      </w:r>
      <w:r>
        <w:t xml:space="preserve"> of the report, the CBD program is complementary to a significant number of programs enacted by the Commonwealth, State/Territory and local governments that target building energy efficiency</w:t>
      </w:r>
      <w:r w:rsidR="00CB3EC7">
        <w:t xml:space="preserve">. </w:t>
      </w:r>
      <w:r>
        <w:t xml:space="preserve">While there is partial overlap between the CBD program and a small number of other programs in terms of scope and/or objectives (see </w:t>
      </w:r>
      <w:r w:rsidR="00492194">
        <w:fldChar w:fldCharType="begin"/>
      </w:r>
      <w:r>
        <w:instrText xml:space="preserve"> REF _Ref409089748 \h </w:instrText>
      </w:r>
      <w:r w:rsidR="00492194">
        <w:fldChar w:fldCharType="separate"/>
      </w:r>
      <w:r w:rsidR="006A273E">
        <w:t xml:space="preserve">Table </w:t>
      </w:r>
      <w:r w:rsidR="006A273E">
        <w:rPr>
          <w:noProof/>
        </w:rPr>
        <w:t>3</w:t>
      </w:r>
      <w:r w:rsidR="00492194">
        <w:fldChar w:fldCharType="end"/>
      </w:r>
      <w:r>
        <w:t xml:space="preserve"> shown previously), there is no inefficient or wasteful duplication between the CBD program and other energy efficiency programs in Australia.</w:t>
      </w:r>
    </w:p>
    <w:p w14:paraId="0FF3DE7A" w14:textId="7AFADCAB" w:rsidR="00AF3E60" w:rsidRDefault="00344F17" w:rsidP="00344F17">
      <w:pPr>
        <w:pStyle w:val="BodyText"/>
      </w:pPr>
      <w:r>
        <w:t>ACIL Allen therefore considers the CBD program to be an appropriate one that aligns strategically (and in practice) with relevant government policies and programs</w:t>
      </w:r>
      <w:r w:rsidR="00821C95">
        <w:t>,</w:t>
      </w:r>
      <w:r w:rsidR="00DD4C49">
        <w:t xml:space="preserve"> such as construction codes, minimum energy performance standards, </w:t>
      </w:r>
      <w:r w:rsidR="004E2633">
        <w:t xml:space="preserve">energy efficiency </w:t>
      </w:r>
      <w:r w:rsidR="00DD4C49">
        <w:t>certificate schemes and carbon reduction programs</w:t>
      </w:r>
      <w:r w:rsidR="00CB3EC7">
        <w:t xml:space="preserve">. </w:t>
      </w:r>
      <w:r w:rsidR="00AF3E60">
        <w:t xml:space="preserve">The </w:t>
      </w:r>
      <w:r w:rsidR="005661A5">
        <w:t>design</w:t>
      </w:r>
      <w:r w:rsidR="00AF3E60">
        <w:t xml:space="preserve"> of the </w:t>
      </w:r>
      <w:r w:rsidR="005661A5">
        <w:t>program</w:t>
      </w:r>
      <w:r w:rsidR="00AF3E60">
        <w:t xml:space="preserve"> is also broadly in line with international best practice</w:t>
      </w:r>
      <w:r w:rsidR="00BD51AC">
        <w:t xml:space="preserve">, although it is more light-handed than some programs in Europe and North America (as discussed previously in Section </w:t>
      </w:r>
      <w:r w:rsidR="00BD51AC">
        <w:fldChar w:fldCharType="begin"/>
      </w:r>
      <w:r w:rsidR="00BD51AC">
        <w:instrText xml:space="preserve"> REF _Ref415575536 \r \h </w:instrText>
      </w:r>
      <w:r w:rsidR="00BD51AC">
        <w:fldChar w:fldCharType="separate"/>
      </w:r>
      <w:r w:rsidR="00BD51AC">
        <w:t>3.4</w:t>
      </w:r>
      <w:r w:rsidR="00BD51AC">
        <w:fldChar w:fldCharType="end"/>
      </w:r>
      <w:r w:rsidR="00BD51AC">
        <w:t>)</w:t>
      </w:r>
      <w:r w:rsidR="00AF3E60">
        <w:t>.</w:t>
      </w:r>
    </w:p>
    <w:p w14:paraId="19AAB50E" w14:textId="77777777" w:rsidR="00344F17" w:rsidRPr="00AE5E08" w:rsidRDefault="00344F17" w:rsidP="00344F17">
      <w:pPr>
        <w:pStyle w:val="BodyText"/>
      </w:pPr>
      <w:r>
        <w:t>With expected robust growth in the number of commercial buildings in major cities around the country (commensurate with projected population and economic growth) and an urgent need to address the climate change challenge, the program is as relevant to Australia’s needs today and in the future as it was conceived more than half a decade ago.</w:t>
      </w:r>
    </w:p>
    <w:p w14:paraId="44F09F8B" w14:textId="77777777" w:rsidR="00516CE3" w:rsidRDefault="00516CE3" w:rsidP="007C12E4">
      <w:pPr>
        <w:pStyle w:val="ListDash"/>
        <w:numPr>
          <w:ilvl w:val="0"/>
          <w:numId w:val="0"/>
        </w:numPr>
        <w:ind w:left="284" w:hanging="284"/>
      </w:pPr>
    </w:p>
    <w:p w14:paraId="5E257FF2" w14:textId="77777777" w:rsidR="007C12E4" w:rsidRDefault="007C12E4" w:rsidP="007C12E4">
      <w:pPr>
        <w:pStyle w:val="ListDash"/>
        <w:numPr>
          <w:ilvl w:val="0"/>
          <w:numId w:val="0"/>
        </w:numPr>
        <w:ind w:left="284" w:hanging="284"/>
      </w:pPr>
    </w:p>
    <w:p w14:paraId="5FAA48B2" w14:textId="77777777" w:rsidR="0044688F" w:rsidRDefault="00093BDE" w:rsidP="0044688F">
      <w:pPr>
        <w:pStyle w:val="Heading1"/>
      </w:pPr>
      <w:bookmarkStart w:id="113" w:name="_Ref409622673"/>
      <w:bookmarkStart w:id="114" w:name="_Toc415660857"/>
      <w:r>
        <w:lastRenderedPageBreak/>
        <w:t xml:space="preserve">Assessment of </w:t>
      </w:r>
      <w:r w:rsidR="00566515">
        <w:t xml:space="preserve">CBD </w:t>
      </w:r>
      <w:r>
        <w:t>costs and benefits to date</w:t>
      </w:r>
      <w:bookmarkEnd w:id="113"/>
      <w:bookmarkEnd w:id="114"/>
    </w:p>
    <w:p w14:paraId="22B3B014" w14:textId="77777777" w:rsidR="0032582C" w:rsidRDefault="0032582C" w:rsidP="00E53090">
      <w:pPr>
        <w:pStyle w:val="Heading2"/>
      </w:pPr>
      <w:bookmarkStart w:id="115" w:name="_Toc415660858"/>
      <w:bookmarkStart w:id="116" w:name="_Ref408828497"/>
      <w:r>
        <w:t>The challenge</w:t>
      </w:r>
      <w:bookmarkEnd w:id="115"/>
    </w:p>
    <w:p w14:paraId="6276B9D1" w14:textId="0D8F987A" w:rsidR="0032582C" w:rsidRDefault="0032582C" w:rsidP="00A90AF4">
      <w:pPr>
        <w:pStyle w:val="BodyText"/>
      </w:pPr>
      <w:r>
        <w:t xml:space="preserve">According to the NSW Office of Environment and Heritage, which administers NABERS, an analysis of 1,207 </w:t>
      </w:r>
      <w:r w:rsidR="00692C85">
        <w:t xml:space="preserve">commercial </w:t>
      </w:r>
      <w:r>
        <w:t xml:space="preserve">buildings </w:t>
      </w:r>
      <w:r w:rsidR="00692C85">
        <w:t>across Australia</w:t>
      </w:r>
      <w:r w:rsidR="005120C7">
        <w:t>,</w:t>
      </w:r>
      <w:r w:rsidR="00692C85">
        <w:t xml:space="preserve"> </w:t>
      </w:r>
      <w:r w:rsidR="005120C7">
        <w:t>which have</w:t>
      </w:r>
      <w:r>
        <w:t xml:space="preserve"> obtained two or more ratings since July 2010 (representing a total area of approximately 15 million m</w:t>
      </w:r>
      <w:r w:rsidRPr="00A90AF4">
        <w:rPr>
          <w:vertAlign w:val="superscript"/>
        </w:rPr>
        <w:t>2</w:t>
      </w:r>
      <w:r>
        <w:t xml:space="preserve"> of NLA)</w:t>
      </w:r>
      <w:r w:rsidR="005120C7">
        <w:t>,</w:t>
      </w:r>
      <w:r>
        <w:t xml:space="preserve"> showed a 16 per cent reduction in </w:t>
      </w:r>
      <w:r w:rsidR="00692C85">
        <w:t xml:space="preserve">overall </w:t>
      </w:r>
      <w:r>
        <w:t>energy use from 8,616TJ in 2010-11 to 7,246TJ in 201</w:t>
      </w:r>
      <w:r w:rsidR="00692C85">
        <w:t>3</w:t>
      </w:r>
      <w:r>
        <w:t>-1</w:t>
      </w:r>
      <w:r w:rsidR="00692C85">
        <w:t>4</w:t>
      </w:r>
      <w:r w:rsidR="00893FDB">
        <w:t>, resulting in annual energy cost savings of $57.5 million</w:t>
      </w:r>
      <w:r w:rsidR="00CB3EC7">
        <w:t xml:space="preserve">. </w:t>
      </w:r>
      <w:r w:rsidR="007F14CC">
        <w:t>Over this period, total economic activity in Australia grew by 9.0 per cent in real terms, as measured by Gross Domestic Product (GDP).</w:t>
      </w:r>
    </w:p>
    <w:p w14:paraId="7FC37CDC" w14:textId="77777777" w:rsidR="003A1646" w:rsidRDefault="00692C85" w:rsidP="00A90AF4">
      <w:pPr>
        <w:pStyle w:val="BodyText"/>
      </w:pPr>
      <w:r>
        <w:t>The key challenge facing ACIL Allen is determining what proportion of this improvement in energy efficiency (and concomitant reduction in GHG emissions) is attributable to the CBD program.</w:t>
      </w:r>
      <w:r w:rsidR="002E0E3F">
        <w:t xml:space="preserve"> The next challenge is to predict what further gains in energy efficiency and GHG emission reduction could be achieved if the program were to continue</w:t>
      </w:r>
    </w:p>
    <w:p w14:paraId="099A0062" w14:textId="77777777" w:rsidR="003A1646" w:rsidRDefault="003A1646" w:rsidP="00A90AF4">
      <w:pPr>
        <w:pStyle w:val="BodyText"/>
      </w:pPr>
      <w:r>
        <w:t xml:space="preserve">This chapter first describes the </w:t>
      </w:r>
      <w:r w:rsidR="00C27B18">
        <w:t xml:space="preserve">foundations of the overall </w:t>
      </w:r>
      <w:r>
        <w:t>framework adopted for both assessments (the assessment of benefits of the program to date and the assessment of future benefits)</w:t>
      </w:r>
      <w:r w:rsidR="00CB3EC7">
        <w:t xml:space="preserve">. </w:t>
      </w:r>
      <w:r w:rsidR="00151837">
        <w:t xml:space="preserve">The </w:t>
      </w:r>
      <w:r w:rsidR="000221E9">
        <w:t xml:space="preserve">remaining </w:t>
      </w:r>
      <w:r w:rsidR="00151837">
        <w:t>sections then set out:</w:t>
      </w:r>
    </w:p>
    <w:p w14:paraId="740D57D6" w14:textId="77777777" w:rsidR="000221E9" w:rsidRDefault="00151837" w:rsidP="003F5F13">
      <w:pPr>
        <w:pStyle w:val="ListDash"/>
      </w:pPr>
      <w:r>
        <w:t xml:space="preserve">The methodology developed </w:t>
      </w:r>
      <w:r w:rsidR="000221E9">
        <w:t xml:space="preserve">to meet the </w:t>
      </w:r>
      <w:r w:rsidR="002E0E3F">
        <w:t xml:space="preserve">first </w:t>
      </w:r>
      <w:r w:rsidR="000221E9">
        <w:t xml:space="preserve">challenge described above (determining what proportion of </w:t>
      </w:r>
      <w:r w:rsidR="00C27B18">
        <w:t xml:space="preserve">the historical </w:t>
      </w:r>
      <w:r w:rsidR="000221E9">
        <w:t>improvement in energy efficiency</w:t>
      </w:r>
      <w:r w:rsidR="00C27B18">
        <w:t xml:space="preserve"> is attributable to the CBD</w:t>
      </w:r>
      <w:r w:rsidR="000221E9">
        <w:t>)</w:t>
      </w:r>
      <w:r w:rsidR="00172374">
        <w:t>.</w:t>
      </w:r>
    </w:p>
    <w:p w14:paraId="3EEF9B56" w14:textId="77777777" w:rsidR="0032582C" w:rsidRDefault="000221E9" w:rsidP="003F5F13">
      <w:pPr>
        <w:pStyle w:val="ListDash"/>
      </w:pPr>
      <w:r>
        <w:t>T</w:t>
      </w:r>
      <w:r w:rsidR="00692C85">
        <w:t>he results of ACIL Allen’s cost-benefit analysis of the program to date.</w:t>
      </w:r>
    </w:p>
    <w:p w14:paraId="09270FFB" w14:textId="77777777" w:rsidR="001F054B" w:rsidRDefault="003D2213" w:rsidP="001F054B">
      <w:pPr>
        <w:pStyle w:val="Heading2"/>
      </w:pPr>
      <w:bookmarkStart w:id="117" w:name="_Ref414003390"/>
      <w:bookmarkStart w:id="118" w:name="_Toc415660859"/>
      <w:r>
        <w:t xml:space="preserve">Framework </w:t>
      </w:r>
      <w:r w:rsidR="003A1646">
        <w:t xml:space="preserve">adopted for </w:t>
      </w:r>
      <w:r w:rsidR="00157436">
        <w:t>a</w:t>
      </w:r>
      <w:r w:rsidR="00DD5378">
        <w:t xml:space="preserve">ssessment of benefits to date and </w:t>
      </w:r>
      <w:r>
        <w:t xml:space="preserve">assessment of </w:t>
      </w:r>
      <w:r w:rsidR="00DD5378">
        <w:t>future benefits</w:t>
      </w:r>
      <w:bookmarkEnd w:id="117"/>
      <w:bookmarkEnd w:id="118"/>
      <w:r w:rsidR="00DD5378">
        <w:t xml:space="preserve"> </w:t>
      </w:r>
    </w:p>
    <w:p w14:paraId="3A9CCC94" w14:textId="77777777" w:rsidR="00DD5378" w:rsidRPr="006B732D" w:rsidRDefault="00DD5378" w:rsidP="003F5F13">
      <w:pPr>
        <w:pStyle w:val="Heading3"/>
      </w:pPr>
      <w:bookmarkStart w:id="119" w:name="_Toc415660860"/>
      <w:r w:rsidRPr="005609B3">
        <w:t xml:space="preserve">Application of </w:t>
      </w:r>
      <w:r>
        <w:t>cost-benefit analysis</w:t>
      </w:r>
      <w:bookmarkEnd w:id="119"/>
    </w:p>
    <w:p w14:paraId="2C610CAE" w14:textId="77777777" w:rsidR="00DD5378" w:rsidRDefault="00DD5378" w:rsidP="00DD5378">
      <w:pPr>
        <w:pStyle w:val="BodyText"/>
      </w:pPr>
      <w:r>
        <w:t>A major part of the review was assessing whether the CBD program has delivered net benefits to Australia during the period of operation and whether it is expected to continue to deliver net benefits in its current or a modified form</w:t>
      </w:r>
      <w:r w:rsidR="00CB3EC7">
        <w:t xml:space="preserve">. </w:t>
      </w:r>
      <w:r>
        <w:t>Cost-benefit analysis (CBA) was the main tool used to perform this assessment.</w:t>
      </w:r>
    </w:p>
    <w:p w14:paraId="22302A8E" w14:textId="578877BD" w:rsidR="00DD5378" w:rsidRDefault="00DD5378" w:rsidP="00DD5378">
      <w:pPr>
        <w:pStyle w:val="BodyText"/>
      </w:pPr>
      <w:r>
        <w:t>A CBA involves systematically estimating all</w:t>
      </w:r>
      <w:r w:rsidR="005120C7">
        <w:t xml:space="preserve"> </w:t>
      </w:r>
      <w:r>
        <w:t>costs and benefits that have or are expected to result from a policy or program</w:t>
      </w:r>
      <w:r w:rsidR="00CB3EC7">
        <w:t xml:space="preserve">. </w:t>
      </w:r>
      <w:r>
        <w:t>Cost and benefit items include economic benefits</w:t>
      </w:r>
      <w:r w:rsidR="005120C7">
        <w:t>,</w:t>
      </w:r>
      <w:r>
        <w:t xml:space="preserve"> whose value can be estimated through market prices, as well as environmental and social benefits that need to be ‘monetised’ if market prices are not available.</w:t>
      </w:r>
    </w:p>
    <w:p w14:paraId="2CDD5E08" w14:textId="77777777" w:rsidR="001F054B" w:rsidRDefault="00DD5378" w:rsidP="00DD5378">
      <w:pPr>
        <w:pStyle w:val="BodyText"/>
      </w:pPr>
      <w:r>
        <w:t xml:space="preserve">A CBA measures only </w:t>
      </w:r>
      <w:r w:rsidRPr="00487E6D">
        <w:rPr>
          <w:i/>
        </w:rPr>
        <w:t>incremental</w:t>
      </w:r>
      <w:r>
        <w:t xml:space="preserve"> costs and benefits, that is, only the costs and benefits that accrue due to the program being in place (and not the cost and benefits that would have accrued anyway).</w:t>
      </w:r>
    </w:p>
    <w:p w14:paraId="436D2795" w14:textId="77777777" w:rsidR="00DD5378" w:rsidRDefault="00DD5378" w:rsidP="003F5F13">
      <w:pPr>
        <w:pStyle w:val="Heading3"/>
      </w:pPr>
      <w:bookmarkStart w:id="120" w:name="_Toc415660861"/>
      <w:r w:rsidRPr="005609B3">
        <w:lastRenderedPageBreak/>
        <w:t>Cost and benefit items estimated</w:t>
      </w:r>
      <w:bookmarkEnd w:id="120"/>
    </w:p>
    <w:p w14:paraId="4D944E54" w14:textId="490937D3" w:rsidR="00DD5378" w:rsidRDefault="00492194" w:rsidP="00DD5378">
      <w:pPr>
        <w:pStyle w:val="BodyText"/>
      </w:pPr>
      <w:r>
        <w:fldChar w:fldCharType="begin"/>
      </w:r>
      <w:r w:rsidR="002E0E3F">
        <w:instrText xml:space="preserve"> REF _Ref414395314 \h </w:instrText>
      </w:r>
      <w:r>
        <w:fldChar w:fldCharType="separate"/>
      </w:r>
      <w:r w:rsidR="006A273E">
        <w:t xml:space="preserve">Table </w:t>
      </w:r>
      <w:r w:rsidR="006A273E">
        <w:rPr>
          <w:noProof/>
        </w:rPr>
        <w:t>4</w:t>
      </w:r>
      <w:r>
        <w:fldChar w:fldCharType="end"/>
      </w:r>
      <w:r w:rsidR="00BD51AC">
        <w:t xml:space="preserve"> </w:t>
      </w:r>
      <w:r w:rsidR="00DD5378">
        <w:t>below summarises the costs and benefits that have been taken into account in the CBA</w:t>
      </w:r>
      <w:r w:rsidR="00CB3EC7">
        <w:t xml:space="preserve">. </w:t>
      </w:r>
      <w:r w:rsidR="00DD5378">
        <w:t>More information of the assumptions used to develop cost and benefit</w:t>
      </w:r>
      <w:r w:rsidR="002E0E3F">
        <w:t xml:space="preserve"> estimates</w:t>
      </w:r>
      <w:r w:rsidR="00DD5378">
        <w:t xml:space="preserve"> is provided in</w:t>
      </w:r>
      <w:r w:rsidR="002E0E3F">
        <w:t xml:space="preserve"> Section</w:t>
      </w:r>
      <w:r w:rsidR="00DD5378">
        <w:t xml:space="preserve"> </w:t>
      </w:r>
      <w:r w:rsidR="003346C7">
        <w:fldChar w:fldCharType="begin"/>
      </w:r>
      <w:r w:rsidR="003346C7">
        <w:instrText xml:space="preserve"> REF _Ref408832308 \n \h  \* MERGEFORMAT </w:instrText>
      </w:r>
      <w:r w:rsidR="003346C7">
        <w:fldChar w:fldCharType="separate"/>
      </w:r>
      <w:r w:rsidR="006A273E">
        <w:t>A.1</w:t>
      </w:r>
      <w:r w:rsidR="003346C7">
        <w:fldChar w:fldCharType="end"/>
      </w:r>
      <w:r w:rsidR="002E0E3F">
        <w:t xml:space="preserve"> of Appendix A</w:t>
      </w:r>
      <w:r w:rsidR="00DD5378" w:rsidRPr="00BA18E0">
        <w:t>.</w:t>
      </w:r>
    </w:p>
    <w:p w14:paraId="4D8DC621" w14:textId="77777777" w:rsidR="00DD5378" w:rsidRDefault="00DD5378" w:rsidP="00DD5378">
      <w:pPr>
        <w:pStyle w:val="Caption"/>
        <w:rPr>
          <w:rStyle w:val="CaptionLabel"/>
          <w:rFonts w:asciiTheme="minorHAnsi" w:hAnsiTheme="minorHAnsi" w:cs="Times New Roman"/>
          <w:sz w:val="22"/>
          <w:szCs w:val="22"/>
          <w:lang w:eastAsia="en-AU"/>
        </w:rPr>
      </w:pPr>
      <w:bookmarkStart w:id="121" w:name="_Ref414395314"/>
      <w:bookmarkStart w:id="122" w:name="_Toc415661011"/>
      <w:r>
        <w:t xml:space="preserve">Table </w:t>
      </w:r>
      <w:r w:rsidR="00492194">
        <w:fldChar w:fldCharType="begin"/>
      </w:r>
      <w:r w:rsidR="0044208C">
        <w:instrText xml:space="preserve"> SEQ Table \* ARABIC </w:instrText>
      </w:r>
      <w:r w:rsidR="00492194">
        <w:fldChar w:fldCharType="separate"/>
      </w:r>
      <w:r w:rsidR="006A273E">
        <w:rPr>
          <w:noProof/>
        </w:rPr>
        <w:t>4</w:t>
      </w:r>
      <w:r w:rsidR="00492194">
        <w:rPr>
          <w:noProof/>
        </w:rPr>
        <w:fldChar w:fldCharType="end"/>
      </w:r>
      <w:bookmarkEnd w:id="121"/>
      <w:r w:rsidRPr="008357FB">
        <w:rPr>
          <w:rStyle w:val="CaptionLabel"/>
        </w:rPr>
        <w:tab/>
      </w:r>
      <w:r>
        <w:rPr>
          <w:rStyle w:val="CaptionLabel"/>
        </w:rPr>
        <w:t>Cost and benefit items included in CBA</w:t>
      </w:r>
      <w:bookmarkEnd w:id="122"/>
    </w:p>
    <w:tbl>
      <w:tblPr>
        <w:tblStyle w:val="ACILAllenTable"/>
        <w:tblW w:w="0" w:type="auto"/>
        <w:tblLook w:val="04A0" w:firstRow="1" w:lastRow="0" w:firstColumn="1" w:lastColumn="0" w:noHBand="0" w:noVBand="1"/>
        <w:tblCaption w:val="Cost and benefit items included in CBA"/>
        <w:tblDescription w:val="Cost and benefit items included in CBA"/>
      </w:tblPr>
      <w:tblGrid>
        <w:gridCol w:w="1985"/>
        <w:gridCol w:w="1276"/>
        <w:gridCol w:w="3969"/>
      </w:tblGrid>
      <w:tr w:rsidR="00DD5378" w14:paraId="68DF55E2" w14:textId="77777777" w:rsidTr="00CF4527">
        <w:trPr>
          <w:cnfStyle w:val="100000000000" w:firstRow="1" w:lastRow="0" w:firstColumn="0" w:lastColumn="0" w:oddVBand="0" w:evenVBand="0" w:oddHBand="0" w:evenHBand="0" w:firstRowFirstColumn="0" w:firstRowLastColumn="0" w:lastRowFirstColumn="0" w:lastRowLastColumn="0"/>
          <w:tblHeader/>
        </w:trPr>
        <w:tc>
          <w:tcPr>
            <w:tcW w:w="1985" w:type="dxa"/>
          </w:tcPr>
          <w:p w14:paraId="52F6C31E" w14:textId="77777777" w:rsidR="00DD5378" w:rsidRPr="00487E6D" w:rsidRDefault="00DD5378" w:rsidP="003A1646">
            <w:pPr>
              <w:pStyle w:val="Tabletext"/>
              <w:rPr>
                <w:color w:val="FFFFFF" w:themeColor="background1"/>
              </w:rPr>
            </w:pPr>
            <w:r w:rsidRPr="00487E6D">
              <w:rPr>
                <w:color w:val="FFFFFF" w:themeColor="background1"/>
              </w:rPr>
              <w:t>Item</w:t>
            </w:r>
          </w:p>
        </w:tc>
        <w:tc>
          <w:tcPr>
            <w:tcW w:w="1276" w:type="dxa"/>
          </w:tcPr>
          <w:p w14:paraId="5FA83BA6" w14:textId="77777777" w:rsidR="00DD5378" w:rsidRPr="00487E6D" w:rsidRDefault="00DD5378" w:rsidP="003A1646">
            <w:pPr>
              <w:pStyle w:val="Tabletext"/>
              <w:rPr>
                <w:color w:val="FFFFFF" w:themeColor="background1"/>
              </w:rPr>
            </w:pPr>
            <w:r w:rsidRPr="00487E6D">
              <w:rPr>
                <w:color w:val="FFFFFF" w:themeColor="background1"/>
              </w:rPr>
              <w:t>Cost or Benefit</w:t>
            </w:r>
          </w:p>
        </w:tc>
        <w:tc>
          <w:tcPr>
            <w:tcW w:w="3969" w:type="dxa"/>
          </w:tcPr>
          <w:p w14:paraId="540542C5" w14:textId="77777777" w:rsidR="00DD5378" w:rsidRPr="00487E6D" w:rsidRDefault="00DD5378" w:rsidP="003A1646">
            <w:pPr>
              <w:pStyle w:val="Tabletext"/>
              <w:rPr>
                <w:color w:val="FFFFFF" w:themeColor="background1"/>
              </w:rPr>
            </w:pPr>
            <w:r w:rsidRPr="00487E6D">
              <w:rPr>
                <w:color w:val="FFFFFF" w:themeColor="background1"/>
              </w:rPr>
              <w:t>Description</w:t>
            </w:r>
          </w:p>
        </w:tc>
      </w:tr>
      <w:tr w:rsidR="00DD5378" w14:paraId="051D9A44" w14:textId="77777777">
        <w:tc>
          <w:tcPr>
            <w:tcW w:w="1985" w:type="dxa"/>
          </w:tcPr>
          <w:p w14:paraId="5AEEA288" w14:textId="77777777" w:rsidR="00DD5378" w:rsidRDefault="00DD5378" w:rsidP="003A1646">
            <w:pPr>
              <w:pStyle w:val="Tabletext"/>
            </w:pPr>
            <w:r>
              <w:t>Government costs</w:t>
            </w:r>
          </w:p>
        </w:tc>
        <w:tc>
          <w:tcPr>
            <w:tcW w:w="1276" w:type="dxa"/>
          </w:tcPr>
          <w:p w14:paraId="0FDE16AC" w14:textId="77777777" w:rsidR="00DD5378" w:rsidRDefault="00DD5378" w:rsidP="003A1646">
            <w:pPr>
              <w:pStyle w:val="Tabletext"/>
            </w:pPr>
            <w:r>
              <w:t>Cost</w:t>
            </w:r>
          </w:p>
        </w:tc>
        <w:tc>
          <w:tcPr>
            <w:tcW w:w="3969" w:type="dxa"/>
          </w:tcPr>
          <w:p w14:paraId="5618811A" w14:textId="77777777" w:rsidR="00DD5378" w:rsidRDefault="00DD5378" w:rsidP="003A1646">
            <w:pPr>
              <w:pStyle w:val="Tabletext"/>
            </w:pPr>
            <w:r w:rsidRPr="008D6DAF">
              <w:t>The costs to government of administering the program</w:t>
            </w:r>
          </w:p>
        </w:tc>
      </w:tr>
      <w:tr w:rsidR="00DD5378" w14:paraId="0A0B8E56" w14:textId="77777777">
        <w:tc>
          <w:tcPr>
            <w:tcW w:w="1985" w:type="dxa"/>
          </w:tcPr>
          <w:p w14:paraId="5BB3D1AF" w14:textId="77777777" w:rsidR="00DD5378" w:rsidRDefault="00DD5378" w:rsidP="003A1646">
            <w:pPr>
              <w:pStyle w:val="Tabletext"/>
            </w:pPr>
            <w:r>
              <w:t>Industry burden</w:t>
            </w:r>
          </w:p>
        </w:tc>
        <w:tc>
          <w:tcPr>
            <w:tcW w:w="1276" w:type="dxa"/>
          </w:tcPr>
          <w:p w14:paraId="1C7FFC25" w14:textId="77777777" w:rsidR="00DD5378" w:rsidRDefault="00DD5378" w:rsidP="003A1646">
            <w:pPr>
              <w:pStyle w:val="Tabletext"/>
            </w:pPr>
            <w:r>
              <w:t>Cost</w:t>
            </w:r>
          </w:p>
        </w:tc>
        <w:tc>
          <w:tcPr>
            <w:tcW w:w="3969" w:type="dxa"/>
          </w:tcPr>
          <w:p w14:paraId="74F8DB8C" w14:textId="77777777" w:rsidR="00DD5378" w:rsidRDefault="00DD5378" w:rsidP="003A1646">
            <w:pPr>
              <w:pStyle w:val="Tabletext"/>
            </w:pPr>
            <w:r w:rsidRPr="008D6DAF">
              <w:t>The costs to building owners to prepare for and undertake NABERS and TLA assessments and lodgement fees associated with lodging a NABERS rating with the NSW OEH</w:t>
            </w:r>
            <w:r w:rsidR="00CB3EC7" w:rsidRPr="008D6DAF">
              <w:t>.</w:t>
            </w:r>
            <w:r w:rsidR="00CB3EC7">
              <w:t xml:space="preserve"> </w:t>
            </w:r>
            <w:r w:rsidRPr="008D6DAF">
              <w:t>This is referred to in this report as the ‘industry burden’</w:t>
            </w:r>
          </w:p>
        </w:tc>
      </w:tr>
      <w:tr w:rsidR="00DD5378" w14:paraId="3C222989" w14:textId="77777777">
        <w:tc>
          <w:tcPr>
            <w:tcW w:w="1985" w:type="dxa"/>
          </w:tcPr>
          <w:p w14:paraId="7860321C" w14:textId="77777777" w:rsidR="00DD5378" w:rsidRDefault="00DD5378" w:rsidP="003A1646">
            <w:pPr>
              <w:pStyle w:val="Tabletext"/>
            </w:pPr>
            <w:r>
              <w:t>Upgrade costs</w:t>
            </w:r>
          </w:p>
        </w:tc>
        <w:tc>
          <w:tcPr>
            <w:tcW w:w="1276" w:type="dxa"/>
          </w:tcPr>
          <w:p w14:paraId="1D6F5735" w14:textId="77777777" w:rsidR="00DD5378" w:rsidRDefault="00DD5378" w:rsidP="003A1646">
            <w:pPr>
              <w:pStyle w:val="Tabletext"/>
            </w:pPr>
            <w:r>
              <w:t>Cost</w:t>
            </w:r>
          </w:p>
        </w:tc>
        <w:tc>
          <w:tcPr>
            <w:tcW w:w="3969" w:type="dxa"/>
          </w:tcPr>
          <w:p w14:paraId="5371499F" w14:textId="5D071858" w:rsidR="00DD5378" w:rsidRDefault="00DD5378" w:rsidP="005120C7">
            <w:pPr>
              <w:pStyle w:val="Tabletext"/>
            </w:pPr>
            <w:r w:rsidRPr="008D6DAF">
              <w:t xml:space="preserve">The costs to building owners to upgrade base building energy efficiency performance, lighting power density and lighting control systems </w:t>
            </w:r>
          </w:p>
        </w:tc>
      </w:tr>
      <w:tr w:rsidR="00DD5378" w14:paraId="68D5C8D9" w14:textId="77777777">
        <w:tc>
          <w:tcPr>
            <w:tcW w:w="1985" w:type="dxa"/>
          </w:tcPr>
          <w:p w14:paraId="05A03F45" w14:textId="77777777" w:rsidR="00DD5378" w:rsidRDefault="00DD5378" w:rsidP="003A1646">
            <w:pPr>
              <w:pStyle w:val="Tabletext"/>
            </w:pPr>
            <w:r>
              <w:t>Avoided energy use</w:t>
            </w:r>
          </w:p>
        </w:tc>
        <w:tc>
          <w:tcPr>
            <w:tcW w:w="1276" w:type="dxa"/>
          </w:tcPr>
          <w:p w14:paraId="6FA7ED04" w14:textId="77777777" w:rsidR="00DD5378" w:rsidRDefault="00DD5378" w:rsidP="003A1646">
            <w:pPr>
              <w:pStyle w:val="Tabletext"/>
            </w:pPr>
            <w:r>
              <w:t>Benefit</w:t>
            </w:r>
          </w:p>
        </w:tc>
        <w:tc>
          <w:tcPr>
            <w:tcW w:w="3969" w:type="dxa"/>
          </w:tcPr>
          <w:p w14:paraId="183CA013" w14:textId="77777777" w:rsidR="00DD5378" w:rsidRPr="008D6DAF" w:rsidRDefault="00DD5378" w:rsidP="003A1646">
            <w:pPr>
              <w:pStyle w:val="Tabletext"/>
            </w:pPr>
            <w:r w:rsidRPr="001A5B71">
              <w:t>The economic costs avoided through reduced energy consumption</w:t>
            </w:r>
          </w:p>
        </w:tc>
      </w:tr>
      <w:tr w:rsidR="00DD5378" w14:paraId="5A83A0FA" w14:textId="77777777">
        <w:tc>
          <w:tcPr>
            <w:tcW w:w="1985" w:type="dxa"/>
          </w:tcPr>
          <w:p w14:paraId="6C8725C4" w14:textId="77777777" w:rsidR="00DD5378" w:rsidRDefault="00DD5378" w:rsidP="003A1646">
            <w:pPr>
              <w:pStyle w:val="Tabletext"/>
            </w:pPr>
            <w:r>
              <w:t>GHG reduction</w:t>
            </w:r>
          </w:p>
        </w:tc>
        <w:tc>
          <w:tcPr>
            <w:tcW w:w="1276" w:type="dxa"/>
          </w:tcPr>
          <w:p w14:paraId="17C0B07D" w14:textId="77777777" w:rsidR="00DD5378" w:rsidRDefault="00DD5378" w:rsidP="003A1646">
            <w:pPr>
              <w:pStyle w:val="Tabletext"/>
            </w:pPr>
            <w:r>
              <w:t>Benefit</w:t>
            </w:r>
          </w:p>
        </w:tc>
        <w:tc>
          <w:tcPr>
            <w:tcW w:w="3969" w:type="dxa"/>
          </w:tcPr>
          <w:p w14:paraId="563F6E9F" w14:textId="77777777" w:rsidR="00DD5378" w:rsidRDefault="00DD5378" w:rsidP="003A1646">
            <w:pPr>
              <w:pStyle w:val="Tabletext"/>
            </w:pPr>
            <w:r>
              <w:t xml:space="preserve">Avoided GHG emissions </w:t>
            </w:r>
          </w:p>
        </w:tc>
      </w:tr>
      <w:tr w:rsidR="00DD5378" w14:paraId="44E26382" w14:textId="77777777">
        <w:tc>
          <w:tcPr>
            <w:tcW w:w="1985" w:type="dxa"/>
          </w:tcPr>
          <w:p w14:paraId="06C38126" w14:textId="77777777" w:rsidR="00DD5378" w:rsidRDefault="00DD5378" w:rsidP="003A1646">
            <w:pPr>
              <w:pStyle w:val="Tabletext"/>
            </w:pPr>
            <w:r>
              <w:t>Increased productivity</w:t>
            </w:r>
          </w:p>
        </w:tc>
        <w:tc>
          <w:tcPr>
            <w:tcW w:w="1276" w:type="dxa"/>
          </w:tcPr>
          <w:p w14:paraId="153E389E" w14:textId="77777777" w:rsidR="00DD5378" w:rsidRDefault="00DD5378" w:rsidP="003A1646">
            <w:pPr>
              <w:pStyle w:val="Tabletext"/>
            </w:pPr>
            <w:r>
              <w:t>Benefit</w:t>
            </w:r>
          </w:p>
        </w:tc>
        <w:tc>
          <w:tcPr>
            <w:tcW w:w="3969" w:type="dxa"/>
          </w:tcPr>
          <w:p w14:paraId="0F0EC684" w14:textId="77777777" w:rsidR="00DD5378" w:rsidRDefault="00DD5378" w:rsidP="003A1646">
            <w:pPr>
              <w:pStyle w:val="Tabletext"/>
            </w:pPr>
            <w:r>
              <w:t>The higher output from office workers associated with working in a more energy efficient building</w:t>
            </w:r>
          </w:p>
        </w:tc>
      </w:tr>
    </w:tbl>
    <w:p w14:paraId="3C105CDA" w14:textId="04B060CB" w:rsidR="00DD5378" w:rsidRDefault="00826DEF" w:rsidP="00DD5378">
      <w:pPr>
        <w:pStyle w:val="Note"/>
      </w:pPr>
      <w:r w:rsidRPr="00487E6D">
        <w:rPr>
          <w:i/>
        </w:rPr>
        <w:t>Note:</w:t>
      </w:r>
      <w:r w:rsidRPr="00921870">
        <w:t xml:space="preserve"> </w:t>
      </w:r>
      <w:r w:rsidR="00DD5378">
        <w:t>In this analysis, upgrade costs and avoided energy use are aggregated into a single value labelled ‘net benefit of energy efficiency’</w:t>
      </w:r>
      <w:r w:rsidR="005237CD">
        <w:t>.</w:t>
      </w:r>
    </w:p>
    <w:p w14:paraId="5AC6DCE1" w14:textId="77777777" w:rsidR="00DD5378" w:rsidRDefault="00DD5378" w:rsidP="00DD5378">
      <w:pPr>
        <w:pStyle w:val="Source"/>
      </w:pPr>
      <w:r>
        <w:t>Source</w:t>
      </w:r>
      <w:r w:rsidRPr="00B85543">
        <w:t xml:space="preserve">: </w:t>
      </w:r>
      <w:r>
        <w:t>ACIL Allen</w:t>
      </w:r>
    </w:p>
    <w:p w14:paraId="1A147ABC" w14:textId="77777777" w:rsidR="00DD5378" w:rsidRDefault="00DD5378" w:rsidP="003F5F13">
      <w:pPr>
        <w:pStyle w:val="Heading3"/>
      </w:pPr>
      <w:bookmarkStart w:id="123" w:name="_Toc415660862"/>
      <w:r w:rsidRPr="005609B3">
        <w:t>Backward</w:t>
      </w:r>
      <w:r w:rsidR="00211147">
        <w:t>-</w:t>
      </w:r>
      <w:r w:rsidRPr="005609B3">
        <w:t xml:space="preserve"> and </w:t>
      </w:r>
      <w:r w:rsidR="002D3877">
        <w:t>forward-looking</w:t>
      </w:r>
      <w:r w:rsidRPr="005609B3">
        <w:t xml:space="preserve"> assessments</w:t>
      </w:r>
      <w:bookmarkEnd w:id="123"/>
    </w:p>
    <w:p w14:paraId="1EB52D5B" w14:textId="77777777" w:rsidR="00DD5378" w:rsidRPr="00C05F54" w:rsidRDefault="00DD5378" w:rsidP="00DD5378">
      <w:pPr>
        <w:pStyle w:val="BodyText"/>
      </w:pPr>
      <w:r>
        <w:t>The review was required to separately assess what the cost/benefit outcomes had been to date (for industry and government), as well as the merits of continuing based on future costs and benefits</w:t>
      </w:r>
      <w:r w:rsidR="00CB3EC7">
        <w:t xml:space="preserve">. </w:t>
      </w:r>
    </w:p>
    <w:p w14:paraId="2799B23C" w14:textId="77777777" w:rsidR="00DD5378" w:rsidRDefault="00DD5378" w:rsidP="00DD5378">
      <w:pPr>
        <w:pStyle w:val="BodyText"/>
      </w:pPr>
      <w:r>
        <w:t xml:space="preserve">Therefore, two separate CBAs were undertaken, including a </w:t>
      </w:r>
      <w:r w:rsidR="002D3877">
        <w:t>backward-looking</w:t>
      </w:r>
      <w:r>
        <w:t xml:space="preserve"> (or ‘ex-post’) CBA assessing the net benefit of the program to date and a </w:t>
      </w:r>
      <w:r w:rsidR="002D3877">
        <w:t>forward-looking</w:t>
      </w:r>
      <w:r>
        <w:t xml:space="preserve"> (or ‘ex-ante’) CBA assessing the estimated benefits of retaining the program in its current or a modified form</w:t>
      </w:r>
      <w:r w:rsidR="00CB3EC7">
        <w:t xml:space="preserve">. </w:t>
      </w:r>
    </w:p>
    <w:p w14:paraId="4E5767C9" w14:textId="77777777" w:rsidR="00DD5378" w:rsidRDefault="00DD5378" w:rsidP="00DD5378">
      <w:pPr>
        <w:pStyle w:val="BodyText"/>
      </w:pPr>
      <w:r>
        <w:t xml:space="preserve">The </w:t>
      </w:r>
      <w:r w:rsidR="002D3877">
        <w:t>backward-looking</w:t>
      </w:r>
      <w:r>
        <w:t xml:space="preserve"> CBA compares the present values</w:t>
      </w:r>
      <w:r>
        <w:rPr>
          <w:rStyle w:val="FootnoteReference"/>
        </w:rPr>
        <w:footnoteReference w:id="17"/>
      </w:r>
      <w:r>
        <w:t xml:space="preserve"> (PVs) of government costs, industry burden, avoided energy use net of upgrade costs (‘net benefits of energy efficiency’) and GHG reductions</w:t>
      </w:r>
      <w:r w:rsidR="00CB3EC7">
        <w:t xml:space="preserve">. </w:t>
      </w:r>
      <w:r>
        <w:t>Increased productivity benefits are also estimated, however, they are not included in the core results as data limitations prevent a precise estimation and therefore the magnitude of benefits is highly uncertain.</w:t>
      </w:r>
    </w:p>
    <w:p w14:paraId="0A356882" w14:textId="77777777" w:rsidR="00DD5378" w:rsidRDefault="00DD5378" w:rsidP="00DD5378">
      <w:pPr>
        <w:pStyle w:val="BodyText"/>
      </w:pPr>
      <w:r>
        <w:t xml:space="preserve">The </w:t>
      </w:r>
      <w:r w:rsidR="002D3877">
        <w:t>forward-looking</w:t>
      </w:r>
      <w:r>
        <w:t xml:space="preserve"> CBA compares the PVs of government costs, industry burden and net benefits of energy efficiency</w:t>
      </w:r>
      <w:r w:rsidR="00CB3EC7">
        <w:t xml:space="preserve">. </w:t>
      </w:r>
      <w:r>
        <w:t>GHG reductions are quantified (in tonnes of CO</w:t>
      </w:r>
      <w:r w:rsidRPr="0024777E">
        <w:rPr>
          <w:vertAlign w:val="subscript"/>
        </w:rPr>
        <w:t>2</w:t>
      </w:r>
      <w:r>
        <w:t xml:space="preserve"> equivalent) but not monetised</w:t>
      </w:r>
      <w:r w:rsidR="00CB3EC7">
        <w:t xml:space="preserve">. </w:t>
      </w:r>
      <w:r>
        <w:t xml:space="preserve">Unlike the </w:t>
      </w:r>
      <w:r w:rsidR="002D3877">
        <w:t>backward-looking</w:t>
      </w:r>
      <w:r>
        <w:t xml:space="preserve"> CBA (where a market price for GHG reductions was in place and known), the market price of GHG emissions (or value of GHG reductions) is not yet known and will be contingent on the final design and outcomes of the Australian government’s Direct Action Policy (DAP)</w:t>
      </w:r>
      <w:r w:rsidR="00CB3EC7">
        <w:t xml:space="preserve">. </w:t>
      </w:r>
      <w:r>
        <w:t>However, scenario analysis of possible economic value of GHG reductions may be applied to the projected tCO</w:t>
      </w:r>
      <w:r w:rsidRPr="0024777E">
        <w:rPr>
          <w:vertAlign w:val="subscript"/>
        </w:rPr>
        <w:t>2</w:t>
      </w:r>
      <w:r w:rsidRPr="00487E6D">
        <w:rPr>
          <w:vertAlign w:val="subscript"/>
        </w:rPr>
        <w:t>e</w:t>
      </w:r>
      <w:r>
        <w:t xml:space="preserve"> reductions attributable to the program.</w:t>
      </w:r>
    </w:p>
    <w:p w14:paraId="3DF6F893" w14:textId="77777777" w:rsidR="00DD5378" w:rsidRDefault="00DD5378" w:rsidP="003F5F13">
      <w:pPr>
        <w:pStyle w:val="Heading3"/>
      </w:pPr>
      <w:bookmarkStart w:id="124" w:name="_Toc415660863"/>
      <w:r>
        <w:lastRenderedPageBreak/>
        <w:t>Common c</w:t>
      </w:r>
      <w:r w:rsidRPr="005D1365">
        <w:t>onceptual approach to estimating benefits</w:t>
      </w:r>
      <w:r>
        <w:t xml:space="preserve"> </w:t>
      </w:r>
      <w:r w:rsidR="00211147">
        <w:t xml:space="preserve">in </w:t>
      </w:r>
      <w:r>
        <w:t>both backward</w:t>
      </w:r>
      <w:r w:rsidR="00211147">
        <w:t>-</w:t>
      </w:r>
      <w:r>
        <w:t xml:space="preserve"> and </w:t>
      </w:r>
      <w:r w:rsidR="002D3877">
        <w:t>forward-looking</w:t>
      </w:r>
      <w:r>
        <w:t xml:space="preserve"> assessments</w:t>
      </w:r>
      <w:bookmarkEnd w:id="124"/>
    </w:p>
    <w:p w14:paraId="46AB05D4" w14:textId="77777777" w:rsidR="00DD5378" w:rsidRDefault="00DD5378" w:rsidP="00DD5378">
      <w:pPr>
        <w:pStyle w:val="BodyText"/>
      </w:pPr>
      <w:r>
        <w:t xml:space="preserve">Both the </w:t>
      </w:r>
      <w:r w:rsidR="002D3877">
        <w:t>backward-looking</w:t>
      </w:r>
      <w:r>
        <w:t xml:space="preserve"> and </w:t>
      </w:r>
      <w:r w:rsidR="002D3877">
        <w:t>forward-looking</w:t>
      </w:r>
      <w:r>
        <w:t xml:space="preserve"> assessments adopt the same broad approach to estimating the benefits delivered by the program</w:t>
      </w:r>
      <w:r w:rsidR="00CB3EC7">
        <w:t xml:space="preserve">. </w:t>
      </w:r>
      <w:r>
        <w:t>The approach was applied separately for each component of disclosure (base building efficiency and tenancy lighting)</w:t>
      </w:r>
      <w:r w:rsidR="00CB3EC7">
        <w:t xml:space="preserve">. </w:t>
      </w:r>
      <w:r>
        <w:t xml:space="preserve">The steps to estimate the net benefits of requiring disclosure of NABERS rating and TLA components for both the </w:t>
      </w:r>
      <w:r w:rsidR="002D3877">
        <w:t>backward-looking</w:t>
      </w:r>
      <w:r>
        <w:t xml:space="preserve"> and </w:t>
      </w:r>
      <w:r w:rsidR="002D3877">
        <w:t>forward-looking</w:t>
      </w:r>
      <w:r>
        <w:t xml:space="preserve"> assessments were:</w:t>
      </w:r>
    </w:p>
    <w:p w14:paraId="2A0B7B78" w14:textId="77777777" w:rsidR="00DD5378" w:rsidRDefault="00DD5378" w:rsidP="00DD5378">
      <w:pPr>
        <w:pStyle w:val="ListNumber"/>
        <w:numPr>
          <w:ilvl w:val="0"/>
          <w:numId w:val="32"/>
        </w:numPr>
      </w:pPr>
      <w:r>
        <w:t xml:space="preserve">Estimate the quantum of improvement already delivered (for the </w:t>
      </w:r>
      <w:r w:rsidR="002D3877">
        <w:t>backward-looking</w:t>
      </w:r>
      <w:r>
        <w:t xml:space="preserve"> analysis) or likely to be delivered (for the </w:t>
      </w:r>
      <w:r w:rsidR="002D3877">
        <w:t>forward-looking</w:t>
      </w:r>
      <w:r>
        <w:t xml:space="preserve"> analysis).</w:t>
      </w:r>
    </w:p>
    <w:p w14:paraId="158C8230" w14:textId="77777777" w:rsidR="00DD5378" w:rsidRDefault="00C1070E" w:rsidP="00DD5378">
      <w:pPr>
        <w:pStyle w:val="ListDash2"/>
      </w:pPr>
      <w:r>
        <w:t>t</w:t>
      </w:r>
      <w:r w:rsidR="00DD5378">
        <w:t>he quantum is measured using star improvements, energy intensity and tCO</w:t>
      </w:r>
      <w:r w:rsidR="00DD5378" w:rsidRPr="0024777E">
        <w:rPr>
          <w:vertAlign w:val="subscript"/>
        </w:rPr>
        <w:t>2</w:t>
      </w:r>
      <w:r w:rsidR="00DD5378" w:rsidRPr="00487E6D">
        <w:rPr>
          <w:vertAlign w:val="subscript"/>
        </w:rPr>
        <w:t>e</w:t>
      </w:r>
      <w:r w:rsidR="00DD5378">
        <w:rPr>
          <w:vertAlign w:val="subscript"/>
        </w:rPr>
        <w:t xml:space="preserve"> </w:t>
      </w:r>
      <w:r w:rsidR="00DD5378" w:rsidRPr="00487E6D">
        <w:t>for</w:t>
      </w:r>
      <w:r w:rsidR="00DD5378">
        <w:t xml:space="preserve"> the assessment of the NABERS component</w:t>
      </w:r>
    </w:p>
    <w:p w14:paraId="4A6B2BE0" w14:textId="77777777" w:rsidR="00DD5378" w:rsidRDefault="00C1070E" w:rsidP="00DD5378">
      <w:pPr>
        <w:pStyle w:val="ListDash2"/>
      </w:pPr>
      <w:r>
        <w:t>t</w:t>
      </w:r>
      <w:r w:rsidR="00DD5378">
        <w:t>he quantum is measured in Watts (or equivalently W/m</w:t>
      </w:r>
      <w:r w:rsidR="00DD5378" w:rsidRPr="00487E6D">
        <w:rPr>
          <w:vertAlign w:val="superscript"/>
        </w:rPr>
        <w:t>2</w:t>
      </w:r>
      <w:r w:rsidR="00DD5378">
        <w:t xml:space="preserve"> combined with total m</w:t>
      </w:r>
      <w:r w:rsidR="00DD5378" w:rsidRPr="00487E6D">
        <w:rPr>
          <w:vertAlign w:val="superscript"/>
        </w:rPr>
        <w:t>2</w:t>
      </w:r>
      <w:r w:rsidR="00DD5378">
        <w:t xml:space="preserve"> of floor space) for the TLA component.</w:t>
      </w:r>
    </w:p>
    <w:p w14:paraId="0C7F124F" w14:textId="77777777" w:rsidR="00DD5378" w:rsidRDefault="00DD5378" w:rsidP="00DD5378">
      <w:pPr>
        <w:pStyle w:val="ListNumber"/>
        <w:numPr>
          <w:ilvl w:val="0"/>
          <w:numId w:val="12"/>
        </w:numPr>
      </w:pPr>
      <w:r>
        <w:t>Estimate the value of that improvement, by applying:</w:t>
      </w:r>
    </w:p>
    <w:p w14:paraId="01EE23B0" w14:textId="77777777" w:rsidR="00DD5378" w:rsidRDefault="00C1070E" w:rsidP="00DD5378">
      <w:pPr>
        <w:pStyle w:val="ListDash2"/>
      </w:pPr>
      <w:r>
        <w:t>t</w:t>
      </w:r>
      <w:r w:rsidR="00DD5378">
        <w:t>he estimated $ per tCO</w:t>
      </w:r>
      <w:r w:rsidR="00DD5378" w:rsidRPr="0024777E">
        <w:rPr>
          <w:vertAlign w:val="subscript"/>
        </w:rPr>
        <w:t>2</w:t>
      </w:r>
      <w:r w:rsidR="00DD5378" w:rsidRPr="00EA61AB">
        <w:rPr>
          <w:vertAlign w:val="subscript"/>
        </w:rPr>
        <w:t>e</w:t>
      </w:r>
      <w:r w:rsidR="00DD5378">
        <w:t xml:space="preserve"> value of the estimated tCO</w:t>
      </w:r>
      <w:r w:rsidR="00DD5378" w:rsidRPr="0024777E">
        <w:rPr>
          <w:vertAlign w:val="subscript"/>
        </w:rPr>
        <w:t>2e</w:t>
      </w:r>
      <w:r w:rsidR="00DD5378">
        <w:t xml:space="preserve"> reduced through the NABERS component</w:t>
      </w:r>
    </w:p>
    <w:p w14:paraId="27DBD940" w14:textId="77777777" w:rsidR="00DD5378" w:rsidRDefault="00C1070E" w:rsidP="00DD5378">
      <w:pPr>
        <w:pStyle w:val="ListDash2"/>
      </w:pPr>
      <w:r>
        <w:t>t</w:t>
      </w:r>
      <w:r w:rsidR="00DD5378">
        <w:t>he estimated $ per W value of the estimated Watts reduced through the TLA component.</w:t>
      </w:r>
    </w:p>
    <w:p w14:paraId="382A3C94" w14:textId="77777777" w:rsidR="00DD5378" w:rsidRDefault="00DD5378" w:rsidP="00DD5378">
      <w:pPr>
        <w:pStyle w:val="ListNumber"/>
        <w:numPr>
          <w:ilvl w:val="0"/>
          <w:numId w:val="12"/>
        </w:numPr>
      </w:pPr>
      <w:r>
        <w:t>Subtracting the government costs and industry burden from this value to arrive at a net value for the program.</w:t>
      </w:r>
    </w:p>
    <w:p w14:paraId="4762B974" w14:textId="77777777" w:rsidR="00DD5378" w:rsidRDefault="00DD5378" w:rsidP="00DD5378">
      <w:pPr>
        <w:pStyle w:val="ListNumber"/>
        <w:numPr>
          <w:ilvl w:val="0"/>
          <w:numId w:val="12"/>
        </w:numPr>
      </w:pPr>
      <w:r>
        <w:t>Conducting extensive sensitivity analysis for assumptions that are uncertain but materially relevant to the analysis.</w:t>
      </w:r>
    </w:p>
    <w:p w14:paraId="3171801E" w14:textId="77777777" w:rsidR="00DD5378" w:rsidRDefault="00DD5378" w:rsidP="00DD5378">
      <w:pPr>
        <w:pStyle w:val="BodyText"/>
      </w:pPr>
      <w:r>
        <w:t>Prior to the introduction of mandatory disclosure</w:t>
      </w:r>
      <w:r w:rsidR="00C1070E">
        <w:t>,</w:t>
      </w:r>
      <w:r>
        <w:t xml:space="preserve"> a growing number of buildings voluntarily participated in the NABERS scheme</w:t>
      </w:r>
      <w:r w:rsidR="00CB3EC7">
        <w:t xml:space="preserve">. </w:t>
      </w:r>
      <w:r>
        <w:t xml:space="preserve">Therefore, to estimate the incremental effect of disclosure requires an analysis of the improvements attained by these buildings prior to the introduction of CBD </w:t>
      </w:r>
      <w:r w:rsidR="00C1070E">
        <w:t xml:space="preserve">in order </w:t>
      </w:r>
      <w:r>
        <w:t>to develop insights into the likely improvements they would have continued to achieve in the absence of the program.</w:t>
      </w:r>
    </w:p>
    <w:p w14:paraId="6A4CC4BB" w14:textId="77777777" w:rsidR="00DD5378" w:rsidRDefault="00DD5378" w:rsidP="00DD5378">
      <w:pPr>
        <w:pStyle w:val="BodyText"/>
      </w:pPr>
      <w:r>
        <w:t>To estimate the quantum of improvement from the NABERS component of mandatory disclosure, the total commercial building floor space covered by the CBD was segregated into three broad groups, including:</w:t>
      </w:r>
    </w:p>
    <w:p w14:paraId="1E241EDD" w14:textId="77777777" w:rsidR="00DD5378" w:rsidRDefault="00DD5378" w:rsidP="00DD5378">
      <w:pPr>
        <w:pStyle w:val="ListDash"/>
      </w:pPr>
      <w:r w:rsidRPr="00487E6D">
        <w:rPr>
          <w:b/>
        </w:rPr>
        <w:t xml:space="preserve">‘Voluntary’ </w:t>
      </w:r>
      <w:proofErr w:type="spellStart"/>
      <w:r w:rsidRPr="00487E6D">
        <w:rPr>
          <w:b/>
        </w:rPr>
        <w:t>raters</w:t>
      </w:r>
      <w:proofErr w:type="spellEnd"/>
      <w:r>
        <w:t>: NABERS rated floor space belonging to the group of buildings that are likely to have rated without mandatory disclosure (evidenced by their voluntary participation in NABERS prior to the introduction of mandatory disclosure);</w:t>
      </w:r>
    </w:p>
    <w:p w14:paraId="6AC0D176" w14:textId="77777777" w:rsidR="00DD5378" w:rsidRDefault="00DD5378" w:rsidP="00DD5378">
      <w:pPr>
        <w:pStyle w:val="ListDash"/>
      </w:pPr>
      <w:r>
        <w:rPr>
          <w:b/>
        </w:rPr>
        <w:t xml:space="preserve">‘Mandatory’ </w:t>
      </w:r>
      <w:proofErr w:type="spellStart"/>
      <w:r>
        <w:rPr>
          <w:b/>
        </w:rPr>
        <w:t>raters</w:t>
      </w:r>
      <w:proofErr w:type="spellEnd"/>
      <w:r w:rsidRPr="00A31DAB">
        <w:t>:</w:t>
      </w:r>
      <w:r>
        <w:t xml:space="preserve"> NABERS rated floor space belonging to the group of buildings that are deemed to have only rated due to the obligations of mandatory disclosure; and</w:t>
      </w:r>
    </w:p>
    <w:p w14:paraId="02307928" w14:textId="77777777" w:rsidR="00DD5378" w:rsidRDefault="00DD5378" w:rsidP="00DD5378">
      <w:pPr>
        <w:pStyle w:val="ListDash"/>
      </w:pPr>
      <w:r>
        <w:rPr>
          <w:b/>
        </w:rPr>
        <w:t>‘Yet</w:t>
      </w:r>
      <w:r w:rsidRPr="00A31DAB">
        <w:t>-</w:t>
      </w:r>
      <w:r w:rsidRPr="00487E6D">
        <w:rPr>
          <w:b/>
        </w:rPr>
        <w:t>to-rate</w:t>
      </w:r>
      <w:r>
        <w:t>’: Floor space belonging to buildings that have not yet been NABERS rated, however, they may rate if a sales or lease event triggers disclosure in the future.</w:t>
      </w:r>
    </w:p>
    <w:p w14:paraId="18A4AC7B" w14:textId="77777777" w:rsidR="00DD5378" w:rsidRDefault="00DD5378" w:rsidP="00DD5378">
      <w:pPr>
        <w:pStyle w:val="BodyText"/>
      </w:pPr>
      <w:r>
        <w:t xml:space="preserve">Anecdotal evidence presented to </w:t>
      </w:r>
      <w:r w:rsidR="00C1070E">
        <w:t>ACIL Allen</w:t>
      </w:r>
      <w:r>
        <w:t xml:space="preserve"> suggested that these groups were not homogenous with respect to energy efficiency behaviour</w:t>
      </w:r>
      <w:r w:rsidR="00CB3EC7">
        <w:t xml:space="preserve">. </w:t>
      </w:r>
      <w:r>
        <w:t>Some building owners incorporate energy efficiency as a key element of their marketing, others may have had a lower emphasis on energy efficiency but still implemented highly cost effective upgrades</w:t>
      </w:r>
      <w:r w:rsidR="00C1070E">
        <w:t>,</w:t>
      </w:r>
      <w:r>
        <w:t xml:space="preserve"> while still others were known to be ‘laggards’ and were not even </w:t>
      </w:r>
      <w:r>
        <w:lastRenderedPageBreak/>
        <w:t>participating in very generous government energy efficiency schemes</w:t>
      </w:r>
      <w:r w:rsidR="00CB3EC7">
        <w:t xml:space="preserve">. </w:t>
      </w:r>
      <w:r>
        <w:t xml:space="preserve">Furthermore, some building owners may have responded to mandatory disclosure by undertaking major upgrades </w:t>
      </w:r>
      <w:r w:rsidR="00C1070E">
        <w:t>(</w:t>
      </w:r>
      <w:r>
        <w:t>resulting in a step change in energy performance</w:t>
      </w:r>
      <w:r w:rsidR="00C1070E">
        <w:t>)</w:t>
      </w:r>
      <w:r>
        <w:t>, while others may have responded more gradually</w:t>
      </w:r>
      <w:r w:rsidR="00CB3EC7">
        <w:t xml:space="preserve">. </w:t>
      </w:r>
    </w:p>
    <w:p w14:paraId="00799FF7" w14:textId="77777777" w:rsidR="00DD5378" w:rsidRDefault="00DD5378" w:rsidP="00DD5378">
      <w:pPr>
        <w:pStyle w:val="BodyText"/>
      </w:pPr>
      <w:r>
        <w:t xml:space="preserve">To capture this diversity in underlying behaviour and likely response to mandatory disclosure, the voluntary and mandatory </w:t>
      </w:r>
      <w:proofErr w:type="spellStart"/>
      <w:r>
        <w:t>raters</w:t>
      </w:r>
      <w:proofErr w:type="spellEnd"/>
      <w:r>
        <w:t xml:space="preserve"> were further segmented into quartiles (refer to </w:t>
      </w:r>
      <w:r w:rsidRPr="000505E8">
        <w:t xml:space="preserve">Section </w:t>
      </w:r>
      <w:r w:rsidR="003346C7">
        <w:fldChar w:fldCharType="begin"/>
      </w:r>
      <w:r w:rsidR="003346C7">
        <w:instrText xml:space="preserve"> REF _Ref408832483 \r \h  \* MERGEFORMAT </w:instrText>
      </w:r>
      <w:r w:rsidR="003346C7">
        <w:fldChar w:fldCharType="separate"/>
      </w:r>
      <w:r w:rsidR="006A273E">
        <w:t>4.3.1</w:t>
      </w:r>
      <w:r w:rsidR="003346C7">
        <w:fldChar w:fldCharType="end"/>
      </w:r>
      <w:r>
        <w:t>)</w:t>
      </w:r>
      <w:r w:rsidR="00CB3EC7">
        <w:t xml:space="preserve">. </w:t>
      </w:r>
      <w:r>
        <w:t xml:space="preserve">The trend in average star ratings and energy intensity of floor space for each quartile was used as a basis for measuring </w:t>
      </w:r>
      <w:r w:rsidR="00992F06">
        <w:t xml:space="preserve">the </w:t>
      </w:r>
      <w:r>
        <w:t>response to mandatory disclosure and likely behaviour if the scheme is retained or discontinued.</w:t>
      </w:r>
    </w:p>
    <w:p w14:paraId="54FA7077" w14:textId="77777777" w:rsidR="000040F8" w:rsidRDefault="001F054B" w:rsidP="00E53090">
      <w:pPr>
        <w:pStyle w:val="Heading2"/>
      </w:pPr>
      <w:bookmarkStart w:id="125" w:name="_Toc414439521"/>
      <w:bookmarkStart w:id="126" w:name="_Toc414443026"/>
      <w:bookmarkStart w:id="127" w:name="_Ref409774850"/>
      <w:bookmarkStart w:id="128" w:name="_Toc415660864"/>
      <w:bookmarkEnd w:id="125"/>
      <w:bookmarkEnd w:id="126"/>
      <w:r>
        <w:t>Overview of m</w:t>
      </w:r>
      <w:r w:rsidR="000040F8">
        <w:t>ethodology</w:t>
      </w:r>
      <w:bookmarkEnd w:id="116"/>
      <w:bookmarkEnd w:id="127"/>
      <w:r>
        <w:t xml:space="preserve"> for </w:t>
      </w:r>
      <w:r w:rsidR="002D3877">
        <w:t>backward-looking</w:t>
      </w:r>
      <w:r>
        <w:t xml:space="preserve"> assessment</w:t>
      </w:r>
      <w:bookmarkEnd w:id="128"/>
    </w:p>
    <w:p w14:paraId="26B965BE" w14:textId="77777777" w:rsidR="005D1365" w:rsidRDefault="0057601B">
      <w:pPr>
        <w:pStyle w:val="Heading3"/>
      </w:pPr>
      <w:bookmarkStart w:id="129" w:name="_Toc414439527"/>
      <w:bookmarkStart w:id="130" w:name="_Toc414443032"/>
      <w:bookmarkStart w:id="131" w:name="_Toc414439528"/>
      <w:bookmarkStart w:id="132" w:name="_Toc414443033"/>
      <w:bookmarkStart w:id="133" w:name="_Toc414439529"/>
      <w:bookmarkStart w:id="134" w:name="_Toc414443034"/>
      <w:bookmarkStart w:id="135" w:name="_Toc414439530"/>
      <w:bookmarkStart w:id="136" w:name="_Toc414443035"/>
      <w:bookmarkStart w:id="137" w:name="_Toc414439560"/>
      <w:bookmarkStart w:id="138" w:name="_Toc414443065"/>
      <w:bookmarkStart w:id="139" w:name="_Toc414439561"/>
      <w:bookmarkStart w:id="140" w:name="_Toc414443066"/>
      <w:bookmarkStart w:id="141" w:name="_Toc414439562"/>
      <w:bookmarkStart w:id="142" w:name="_Toc414443067"/>
      <w:bookmarkStart w:id="143" w:name="_Toc414439564"/>
      <w:bookmarkStart w:id="144" w:name="_Toc414443069"/>
      <w:bookmarkStart w:id="145" w:name="_Toc414439565"/>
      <w:bookmarkStart w:id="146" w:name="_Toc414443070"/>
      <w:bookmarkStart w:id="147" w:name="_Toc414439566"/>
      <w:bookmarkStart w:id="148" w:name="_Toc414443071"/>
      <w:bookmarkStart w:id="149" w:name="_Toc414439581"/>
      <w:bookmarkStart w:id="150" w:name="_Toc414443086"/>
      <w:bookmarkStart w:id="151" w:name="_Ref408832483"/>
      <w:bookmarkStart w:id="152" w:name="_Toc415660865"/>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57601B">
        <w:t>Building segmentation</w:t>
      </w:r>
      <w:bookmarkEnd w:id="151"/>
      <w:bookmarkEnd w:id="152"/>
    </w:p>
    <w:p w14:paraId="3180E72B" w14:textId="77777777" w:rsidR="007760A7" w:rsidRDefault="007760A7" w:rsidP="007760A7">
      <w:pPr>
        <w:pStyle w:val="Heading4"/>
      </w:pPr>
      <w:r>
        <w:t xml:space="preserve">Assignment of buildings to voluntary and mandatory </w:t>
      </w:r>
      <w:proofErr w:type="spellStart"/>
      <w:r>
        <w:t>rater</w:t>
      </w:r>
      <w:proofErr w:type="spellEnd"/>
      <w:r>
        <w:t xml:space="preserve"> groups</w:t>
      </w:r>
    </w:p>
    <w:p w14:paraId="3931187D" w14:textId="77777777" w:rsidR="005D1365" w:rsidRPr="007F73AD" w:rsidRDefault="005D1365" w:rsidP="005D1365">
      <w:pPr>
        <w:pStyle w:val="BodyText"/>
      </w:pPr>
      <w:r>
        <w:t xml:space="preserve">The analysis distinguishes between ‘voluntary </w:t>
      </w:r>
      <w:proofErr w:type="spellStart"/>
      <w:r>
        <w:t>raters’</w:t>
      </w:r>
      <w:proofErr w:type="spellEnd"/>
      <w:r>
        <w:t xml:space="preserve"> and ‘mandatory </w:t>
      </w:r>
      <w:proofErr w:type="spellStart"/>
      <w:r>
        <w:t>raters’</w:t>
      </w:r>
      <w:proofErr w:type="spellEnd"/>
      <w:r w:rsidR="00E2081C">
        <w:t xml:space="preserve"> as defined above</w:t>
      </w:r>
      <w:r w:rsidR="00CB3EC7">
        <w:t xml:space="preserve">. </w:t>
      </w:r>
    </w:p>
    <w:p w14:paraId="2B855245" w14:textId="77777777" w:rsidR="005D1365" w:rsidRDefault="005D1365" w:rsidP="005D1365">
      <w:pPr>
        <w:pStyle w:val="BodyText"/>
      </w:pPr>
      <w:r>
        <w:t>The voluntary uptake of NABERS has increased rapidly since 2006</w:t>
      </w:r>
      <w:r w:rsidR="00D550AA">
        <w:t>,</w:t>
      </w:r>
      <w:r>
        <w:t xml:space="preserve"> with the annual rated volume growing at </w:t>
      </w:r>
      <w:r w:rsidR="00B344E1" w:rsidRPr="003F5F13">
        <w:t>38.2 per cent</w:t>
      </w:r>
      <w:r w:rsidRPr="003F5F13">
        <w:t xml:space="preserve"> </w:t>
      </w:r>
      <w:r w:rsidR="00E96AC1" w:rsidRPr="003F5F13">
        <w:t>Compound Annual Growth Rate (</w:t>
      </w:r>
      <w:r w:rsidRPr="003F5F13">
        <w:t>CAGR</w:t>
      </w:r>
      <w:r w:rsidR="00E96AC1" w:rsidRPr="003F5F13">
        <w:t>)</w:t>
      </w:r>
      <w:r>
        <w:t xml:space="preserve"> between 2006 and 201</w:t>
      </w:r>
      <w:r w:rsidR="00B344E1">
        <w:t>0</w:t>
      </w:r>
      <w:r w:rsidR="00CB3EC7">
        <w:t xml:space="preserve">. </w:t>
      </w:r>
      <w:r>
        <w:t xml:space="preserve">Motivations to </w:t>
      </w:r>
      <w:r w:rsidR="00E2081C">
        <w:t xml:space="preserve">voluntarily </w:t>
      </w:r>
      <w:r>
        <w:t>participate in the NABERS scheme include marketing advantage, corporate responsibility and energy cost reduction</w:t>
      </w:r>
      <w:r w:rsidR="00CB3EC7">
        <w:t xml:space="preserve">. </w:t>
      </w:r>
      <w:r>
        <w:t>Stakeholder consultations revealed that the listed property sector</w:t>
      </w:r>
      <w:r w:rsidR="00D550AA">
        <w:t>,</w:t>
      </w:r>
      <w:r>
        <w:t xml:space="preserve"> in particular, have been utilising NABERS has a key element of marketing </w:t>
      </w:r>
      <w:r w:rsidR="00B96E43">
        <w:t xml:space="preserve">of </w:t>
      </w:r>
      <w:r>
        <w:t>particular buildings</w:t>
      </w:r>
      <w:r w:rsidR="00CB3EC7">
        <w:t xml:space="preserve">. </w:t>
      </w:r>
    </w:p>
    <w:p w14:paraId="34B1F942" w14:textId="1DB53AF3" w:rsidR="005D1365" w:rsidRDefault="005D1365" w:rsidP="005D1365">
      <w:pPr>
        <w:pStyle w:val="BodyText"/>
      </w:pPr>
      <w:r>
        <w:t xml:space="preserve">The introduction of mandatory disclosure has required those that would </w:t>
      </w:r>
      <w:r w:rsidR="00E2081C">
        <w:t xml:space="preserve">probably </w:t>
      </w:r>
      <w:r>
        <w:t>not otherwise have voluntary disclosed, to obtain a NABERS rating on a disclosure event</w:t>
      </w:r>
      <w:r w:rsidR="00CB3EC7">
        <w:t xml:space="preserve">. </w:t>
      </w:r>
      <w:r>
        <w:t>These buildings can be identified in the data as those registering a first NABERS rating after the policy had taken effect</w:t>
      </w:r>
      <w:r w:rsidR="00CB3EC7">
        <w:t xml:space="preserve">. </w:t>
      </w:r>
      <w:r>
        <w:t>However, the point in time the policy had taken effect is uncertain</w:t>
      </w:r>
      <w:r w:rsidR="00CB3EC7">
        <w:t xml:space="preserve">. </w:t>
      </w:r>
      <w:r>
        <w:t>On the one hand, CBD legislation commenced on 1 November 2010</w:t>
      </w:r>
      <w:r w:rsidR="00CB3EC7">
        <w:t xml:space="preserve">. </w:t>
      </w:r>
      <w:r>
        <w:t>However, the policy was announced by then Minister Garrett in November 2009, which may have prompted some building owners to obtain NABERS ratings in anticipation of the scheme</w:t>
      </w:r>
      <w:r w:rsidR="00CB3EC7">
        <w:t xml:space="preserve">. </w:t>
      </w:r>
      <w:r w:rsidR="00B96E43">
        <w:t>T</w:t>
      </w:r>
      <w:r>
        <w:t xml:space="preserve">he act was assented </w:t>
      </w:r>
      <w:r w:rsidR="00D550AA">
        <w:t>o</w:t>
      </w:r>
      <w:r>
        <w:t>n 28 June 2010.</w:t>
      </w:r>
    </w:p>
    <w:p w14:paraId="2AB42ACD" w14:textId="77777777" w:rsidR="005D1365" w:rsidRDefault="005D1365" w:rsidP="005D1365">
      <w:pPr>
        <w:pStyle w:val="BodyText"/>
      </w:pPr>
      <w:r>
        <w:t xml:space="preserve">The assumption of when the policy took effect represents a trade-off between the risk of classifying voluntary </w:t>
      </w:r>
      <w:proofErr w:type="spellStart"/>
      <w:r>
        <w:t>raters</w:t>
      </w:r>
      <w:proofErr w:type="spellEnd"/>
      <w:r>
        <w:t xml:space="preserve"> as mandatory (which arises from assuming a relatively early date) and the risk of classifying mandatory </w:t>
      </w:r>
      <w:proofErr w:type="spellStart"/>
      <w:r>
        <w:t>raters</w:t>
      </w:r>
      <w:proofErr w:type="spellEnd"/>
      <w:r>
        <w:t xml:space="preserve"> as voluntary (which arises from assuming a relatively later date).</w:t>
      </w:r>
    </w:p>
    <w:p w14:paraId="5CDABB6F" w14:textId="2F9920AD" w:rsidR="005D1365" w:rsidRDefault="005D1365" w:rsidP="005D1365">
      <w:pPr>
        <w:pStyle w:val="BodyText"/>
      </w:pPr>
      <w:r>
        <w:t>For segmentation purposes the policy was assumed to take effect on 1 July 2010</w:t>
      </w:r>
      <w:r w:rsidR="00CB3EC7">
        <w:t xml:space="preserve">. </w:t>
      </w:r>
      <w:r>
        <w:t>That is, buildings with their first NABERS prior to 1</w:t>
      </w:r>
      <w:r w:rsidR="00B96E43">
        <w:t xml:space="preserve"> July 2010 were classifi</w:t>
      </w:r>
      <w:r w:rsidR="00FE4833">
        <w:t>ed</w:t>
      </w:r>
      <w:r w:rsidR="00B96E43">
        <w:t xml:space="preserve"> as </w:t>
      </w:r>
      <w:r>
        <w:t xml:space="preserve">voluntary </w:t>
      </w:r>
      <w:proofErr w:type="spellStart"/>
      <w:r>
        <w:t>raters</w:t>
      </w:r>
      <w:proofErr w:type="spellEnd"/>
      <w:r w:rsidR="00E137D6">
        <w:t>,</w:t>
      </w:r>
      <w:r>
        <w:t xml:space="preserve"> </w:t>
      </w:r>
      <w:r w:rsidR="00FE4833">
        <w:t>while</w:t>
      </w:r>
      <w:r>
        <w:t xml:space="preserve"> building</w:t>
      </w:r>
      <w:r w:rsidR="00FE4833">
        <w:t>s</w:t>
      </w:r>
      <w:r>
        <w:t xml:space="preserve"> with their first NABERS ratings on or after this date were classif</w:t>
      </w:r>
      <w:r w:rsidR="00FE4833">
        <w:t>ied as</w:t>
      </w:r>
      <w:r>
        <w:t xml:space="preserve"> mandatory </w:t>
      </w:r>
      <w:proofErr w:type="spellStart"/>
      <w:r>
        <w:t>raters</w:t>
      </w:r>
      <w:proofErr w:type="spellEnd"/>
      <w:r>
        <w:t>.</w:t>
      </w:r>
    </w:p>
    <w:p w14:paraId="4E557DAC" w14:textId="208767BD" w:rsidR="005D1365" w:rsidRDefault="005D1365" w:rsidP="005D1365">
      <w:pPr>
        <w:pStyle w:val="BodyText"/>
      </w:pPr>
      <w:r>
        <w:t>Buildings which post</w:t>
      </w:r>
      <w:r w:rsidR="00FE4833">
        <w:t>ed</w:t>
      </w:r>
      <w:r>
        <w:t xml:space="preserve"> a first rating on or after 1 July 2011 were excluded from the mandatory </w:t>
      </w:r>
      <w:proofErr w:type="spellStart"/>
      <w:r>
        <w:t>raters</w:t>
      </w:r>
      <w:proofErr w:type="spellEnd"/>
      <w:r>
        <w:t xml:space="preserve"> group</w:t>
      </w:r>
      <w:r w:rsidR="00CB3EC7">
        <w:t xml:space="preserve">. </w:t>
      </w:r>
      <w:r>
        <w:t xml:space="preserve">There were found to be a high proportion of higher NABERS rated buildings in </w:t>
      </w:r>
      <w:r w:rsidR="009E09B4">
        <w:t xml:space="preserve">this </w:t>
      </w:r>
      <w:r>
        <w:t>group</w:t>
      </w:r>
      <w:r w:rsidR="009E09B4">
        <w:t xml:space="preserve"> (and therefore possibly relatively new buildings)</w:t>
      </w:r>
      <w:r>
        <w:t>, which risked ‘corrupting’ the analysis of mandatory group performance</w:t>
      </w:r>
      <w:r w:rsidR="00B96E43">
        <w:t xml:space="preserve"> with new buildings of a high NABERS rating</w:t>
      </w:r>
      <w:r>
        <w:t>.</w:t>
      </w:r>
    </w:p>
    <w:p w14:paraId="40C2FBFD" w14:textId="6C1DE787" w:rsidR="005D1365" w:rsidRDefault="005D1365" w:rsidP="005D1365">
      <w:pPr>
        <w:pStyle w:val="BodyText"/>
      </w:pPr>
      <w:r>
        <w:lastRenderedPageBreak/>
        <w:t>The effect of alternative timing assumptions was tested</w:t>
      </w:r>
      <w:r w:rsidR="00CB3EC7">
        <w:t xml:space="preserve">. </w:t>
      </w:r>
      <w:r>
        <w:t xml:space="preserve">The assumed timing window for mandatory </w:t>
      </w:r>
      <w:proofErr w:type="spellStart"/>
      <w:r>
        <w:t>raters</w:t>
      </w:r>
      <w:proofErr w:type="spellEnd"/>
      <w:r>
        <w:t xml:space="preserve"> (</w:t>
      </w:r>
      <w:r w:rsidR="00930C53">
        <w:t>that is,</w:t>
      </w:r>
      <w:r w:rsidR="00CB3EC7">
        <w:t xml:space="preserve"> </w:t>
      </w:r>
      <w:r>
        <w:t xml:space="preserve">first rating between 1 July 2010 and 1 July 2011) was found </w:t>
      </w:r>
      <w:r w:rsidR="006803A9">
        <w:t xml:space="preserve">to </w:t>
      </w:r>
      <w:r>
        <w:t>be appropriate as alter</w:t>
      </w:r>
      <w:r w:rsidR="006803A9">
        <w:t>n</w:t>
      </w:r>
      <w:r>
        <w:t>ative assumptions tended to result in energy performance trends for the segments that were counterintuitive (e.g</w:t>
      </w:r>
      <w:r w:rsidR="00CB3EC7">
        <w:t xml:space="preserve">. </w:t>
      </w:r>
      <w:r>
        <w:t>fluctuating year on year</w:t>
      </w:r>
      <w:r w:rsidR="00B96E43">
        <w:t xml:space="preserve"> as opposed to monotonically improving</w:t>
      </w:r>
      <w:r>
        <w:t>)</w:t>
      </w:r>
      <w:r w:rsidR="00CB3EC7">
        <w:t xml:space="preserve">. </w:t>
      </w:r>
      <w:r w:rsidR="00B96E43">
        <w:t>Alternative timing assumptions also yielded similar estimates of overall rate</w:t>
      </w:r>
      <w:r w:rsidR="0057558B">
        <w:t>s</w:t>
      </w:r>
      <w:r w:rsidR="00B96E43">
        <w:t xml:space="preserve"> of improvement (despite higher year-on-year fluctuations).</w:t>
      </w:r>
    </w:p>
    <w:p w14:paraId="1349DDD9" w14:textId="52481FE0" w:rsidR="005D1365" w:rsidRDefault="0057601B" w:rsidP="005D1365">
      <w:pPr>
        <w:pStyle w:val="BodyText"/>
      </w:pPr>
      <w:r>
        <w:t>B</w:t>
      </w:r>
      <w:r w:rsidR="005D1365">
        <w:t>uildings with energy intensities below the 5</w:t>
      </w:r>
      <w:r w:rsidR="005D1365" w:rsidRPr="00487E6D">
        <w:rPr>
          <w:vertAlign w:val="superscript"/>
        </w:rPr>
        <w:t>th</w:t>
      </w:r>
      <w:r w:rsidR="005D1365">
        <w:t xml:space="preserve"> percentile or above the 95</w:t>
      </w:r>
      <w:r w:rsidR="005D1365" w:rsidRPr="00487E6D">
        <w:rPr>
          <w:vertAlign w:val="superscript"/>
        </w:rPr>
        <w:t>th</w:t>
      </w:r>
      <w:r w:rsidR="005D1365">
        <w:t xml:space="preserve"> percentile of all buildings of the same star rating were excluded from the analysis</w:t>
      </w:r>
      <w:r w:rsidR="00CB3EC7">
        <w:t xml:space="preserve">. </w:t>
      </w:r>
      <w:r w:rsidR="005D1365">
        <w:t xml:space="preserve">This was done to remove buildings with anomalous energy intensities, likely to have been the result of error in </w:t>
      </w:r>
      <w:r w:rsidR="0057558B">
        <w:t xml:space="preserve">manual </w:t>
      </w:r>
      <w:r w:rsidR="005D1365">
        <w:t>recording by energy performance assessors</w:t>
      </w:r>
      <w:r w:rsidR="00E92F20">
        <w:t>.</w:t>
      </w:r>
      <w:r w:rsidR="009E09B4">
        <w:rPr>
          <w:rStyle w:val="FootnoteReference"/>
        </w:rPr>
        <w:footnoteReference w:id="18"/>
      </w:r>
    </w:p>
    <w:p w14:paraId="13D08582" w14:textId="77777777" w:rsidR="007760A7" w:rsidRDefault="007760A7" w:rsidP="007760A7">
      <w:pPr>
        <w:pStyle w:val="Heading4"/>
      </w:pPr>
      <w:r>
        <w:t>Assignment of buildings to quartiles</w:t>
      </w:r>
    </w:p>
    <w:p w14:paraId="419E7E21" w14:textId="33FBBBB4" w:rsidR="007760A7" w:rsidRPr="006B732D" w:rsidRDefault="007760A7" w:rsidP="007444A0">
      <w:pPr>
        <w:pStyle w:val="BodyText"/>
      </w:pPr>
      <w:r>
        <w:t xml:space="preserve">The analysis of CBD impacts was conducted by segments, with each segment representing a quartile of the voluntary and mandatory </w:t>
      </w:r>
      <w:proofErr w:type="spellStart"/>
      <w:r>
        <w:t>raters</w:t>
      </w:r>
      <w:proofErr w:type="spellEnd"/>
      <w:r w:rsidR="005D1041">
        <w:t>,</w:t>
      </w:r>
      <w:r>
        <w:t xml:space="preserve"> respectively (therefore with 8 segments </w:t>
      </w:r>
      <w:r w:rsidR="005D1041">
        <w:t>i</w:t>
      </w:r>
      <w:r>
        <w:t>n total).</w:t>
      </w:r>
    </w:p>
    <w:p w14:paraId="785990C6" w14:textId="5B5CAE5F" w:rsidR="007760A7" w:rsidRDefault="007760A7" w:rsidP="007760A7">
      <w:pPr>
        <w:pStyle w:val="BodyText"/>
      </w:pPr>
      <w:r w:rsidRPr="00C70E98">
        <w:t>To establish quartiles, buildings within each group (voluntary and mandatory) were ranked in order of star rating</w:t>
      </w:r>
      <w:r w:rsidR="00CB3EC7" w:rsidRPr="00C70E98">
        <w:t>.</w:t>
      </w:r>
      <w:r w:rsidR="00CB3EC7">
        <w:t xml:space="preserve"> </w:t>
      </w:r>
      <w:r w:rsidRPr="00C70E98">
        <w:t>The top 25</w:t>
      </w:r>
      <w:r w:rsidR="00B66D63">
        <w:t xml:space="preserve"> per cent</w:t>
      </w:r>
      <w:r w:rsidRPr="00C70E98">
        <w:t xml:space="preserve"> of buildings in each group were assigned to quartile 1, the next 25</w:t>
      </w:r>
      <w:r w:rsidR="00B66D63">
        <w:t xml:space="preserve"> per cent</w:t>
      </w:r>
      <w:r w:rsidRPr="00C70E98">
        <w:t xml:space="preserve"> to quartile 2 and so on</w:t>
      </w:r>
      <w:r w:rsidR="00CB3EC7" w:rsidRPr="00C70E98">
        <w:t>.</w:t>
      </w:r>
      <w:r w:rsidR="00CB3EC7">
        <w:t xml:space="preserve"> </w:t>
      </w:r>
      <w:r w:rsidRPr="00C70E98">
        <w:t xml:space="preserve">As star ratings are discrete </w:t>
      </w:r>
      <w:r>
        <w:t xml:space="preserve">rather than </w:t>
      </w:r>
      <w:r w:rsidRPr="00C70E98">
        <w:t xml:space="preserve">continuous, </w:t>
      </w:r>
      <w:r>
        <w:t>all buildings of the same star rating are assigned to the same quartile (as opposed to dividing this group further into relatively better or worse performing buildings)</w:t>
      </w:r>
      <w:r w:rsidR="00CB3EC7">
        <w:t xml:space="preserve">. </w:t>
      </w:r>
      <w:r>
        <w:t xml:space="preserve">This results in an </w:t>
      </w:r>
      <w:r w:rsidRPr="00C70E98">
        <w:t xml:space="preserve">unequal number of buildings </w:t>
      </w:r>
      <w:r>
        <w:t>for quartiles within the same group</w:t>
      </w:r>
      <w:r w:rsidR="00CB3EC7">
        <w:t xml:space="preserve">. </w:t>
      </w:r>
      <w:r>
        <w:t xml:space="preserve">The approach also results in an unequal quantum of </w:t>
      </w:r>
      <w:r w:rsidR="003E7C13">
        <w:t>floor space</w:t>
      </w:r>
      <w:r>
        <w:t xml:space="preserve"> in each quartile (see </w:t>
      </w:r>
      <w:r w:rsidR="003346C7">
        <w:fldChar w:fldCharType="begin"/>
      </w:r>
      <w:r w:rsidR="003346C7">
        <w:instrText xml:space="preserve"> REF _Ref406763904 \h  \* MERGEFORMAT </w:instrText>
      </w:r>
      <w:r w:rsidR="003346C7">
        <w:fldChar w:fldCharType="separate"/>
      </w:r>
      <w:r w:rsidR="006A273E">
        <w:t>Table 5</w:t>
      </w:r>
      <w:r w:rsidR="003346C7">
        <w:fldChar w:fldCharType="end"/>
      </w:r>
      <w:r>
        <w:t>).</w:t>
      </w:r>
    </w:p>
    <w:p w14:paraId="1F140580" w14:textId="77777777" w:rsidR="007760A7" w:rsidRDefault="007760A7" w:rsidP="007760A7">
      <w:pPr>
        <w:pStyle w:val="Caption"/>
        <w:rPr>
          <w:rStyle w:val="CaptionLabel"/>
          <w:rFonts w:asciiTheme="minorHAnsi" w:hAnsiTheme="minorHAnsi" w:cs="Times New Roman"/>
          <w:sz w:val="22"/>
          <w:szCs w:val="22"/>
          <w:lang w:eastAsia="en-AU"/>
        </w:rPr>
      </w:pPr>
      <w:bookmarkStart w:id="153" w:name="_Ref406763904"/>
      <w:bookmarkStart w:id="154" w:name="_Toc415661012"/>
      <w:r>
        <w:t xml:space="preserve">Table </w:t>
      </w:r>
      <w:r w:rsidR="00492194">
        <w:fldChar w:fldCharType="begin"/>
      </w:r>
      <w:r w:rsidR="0044208C">
        <w:instrText xml:space="preserve"> SEQ Table \* ARABIC </w:instrText>
      </w:r>
      <w:r w:rsidR="00492194">
        <w:fldChar w:fldCharType="separate"/>
      </w:r>
      <w:r w:rsidR="006A273E">
        <w:rPr>
          <w:noProof/>
        </w:rPr>
        <w:t>5</w:t>
      </w:r>
      <w:r w:rsidR="00492194">
        <w:rPr>
          <w:noProof/>
        </w:rPr>
        <w:fldChar w:fldCharType="end"/>
      </w:r>
      <w:bookmarkEnd w:id="153"/>
      <w:r w:rsidRPr="008357FB">
        <w:rPr>
          <w:rStyle w:val="CaptionLabel"/>
        </w:rPr>
        <w:tab/>
      </w:r>
      <w:r>
        <w:rPr>
          <w:rStyle w:val="CaptionLabel"/>
        </w:rPr>
        <w:t>Building segmentation</w:t>
      </w:r>
      <w:bookmarkEnd w:id="154"/>
    </w:p>
    <w:tbl>
      <w:tblPr>
        <w:tblStyle w:val="ACILAllenTable"/>
        <w:tblW w:w="0" w:type="auto"/>
        <w:tblLook w:val="04A0" w:firstRow="1" w:lastRow="0" w:firstColumn="1" w:lastColumn="0" w:noHBand="0" w:noVBand="1"/>
        <w:tblCaption w:val="Building segmentation"/>
        <w:tblDescription w:val="Building segmentation"/>
      </w:tblPr>
      <w:tblGrid>
        <w:gridCol w:w="1276"/>
        <w:gridCol w:w="2031"/>
        <w:gridCol w:w="2032"/>
        <w:gridCol w:w="2032"/>
      </w:tblGrid>
      <w:tr w:rsidR="007760A7" w:rsidRPr="00804536" w14:paraId="2B1003CA" w14:textId="77777777" w:rsidTr="00CF4527">
        <w:trPr>
          <w:cnfStyle w:val="100000000000" w:firstRow="1" w:lastRow="0" w:firstColumn="0" w:lastColumn="0" w:oddVBand="0" w:evenVBand="0" w:oddHBand="0" w:evenHBand="0" w:firstRowFirstColumn="0" w:firstRowLastColumn="0" w:lastRowFirstColumn="0" w:lastRowLastColumn="0"/>
          <w:tblHeader/>
        </w:trPr>
        <w:tc>
          <w:tcPr>
            <w:tcW w:w="1276" w:type="dxa"/>
          </w:tcPr>
          <w:p w14:paraId="5E23C5DB" w14:textId="77777777" w:rsidR="007760A7" w:rsidRPr="0095682B" w:rsidRDefault="007760A7" w:rsidP="00D406F8">
            <w:pPr>
              <w:pStyle w:val="Tabletext"/>
              <w:rPr>
                <w:color w:val="FFFFFF" w:themeColor="background1"/>
              </w:rPr>
            </w:pPr>
            <w:r w:rsidRPr="0095682B">
              <w:rPr>
                <w:color w:val="FFFFFF" w:themeColor="background1"/>
              </w:rPr>
              <w:t>Group</w:t>
            </w:r>
          </w:p>
        </w:tc>
        <w:tc>
          <w:tcPr>
            <w:tcW w:w="2031" w:type="dxa"/>
          </w:tcPr>
          <w:p w14:paraId="1D6A51E8" w14:textId="77777777" w:rsidR="007760A7" w:rsidRPr="0095682B" w:rsidRDefault="007760A7" w:rsidP="00D406F8">
            <w:pPr>
              <w:pStyle w:val="Tabletext"/>
              <w:jc w:val="center"/>
              <w:rPr>
                <w:color w:val="FFFFFF" w:themeColor="background1"/>
              </w:rPr>
            </w:pPr>
            <w:r w:rsidRPr="0095682B">
              <w:rPr>
                <w:color w:val="FFFFFF" w:themeColor="background1"/>
              </w:rPr>
              <w:t>Segment</w:t>
            </w:r>
          </w:p>
        </w:tc>
        <w:tc>
          <w:tcPr>
            <w:tcW w:w="2032" w:type="dxa"/>
          </w:tcPr>
          <w:p w14:paraId="12D4E19D" w14:textId="77777777" w:rsidR="007760A7" w:rsidRPr="0095682B" w:rsidRDefault="007760A7" w:rsidP="00D406F8">
            <w:pPr>
              <w:pStyle w:val="Tabletext"/>
              <w:jc w:val="center"/>
              <w:rPr>
                <w:color w:val="FFFFFF" w:themeColor="background1"/>
              </w:rPr>
            </w:pPr>
            <w:r w:rsidRPr="0095682B">
              <w:rPr>
                <w:color w:val="FFFFFF" w:themeColor="background1"/>
              </w:rPr>
              <w:t>Number of buildings</w:t>
            </w:r>
          </w:p>
        </w:tc>
        <w:tc>
          <w:tcPr>
            <w:tcW w:w="2032" w:type="dxa"/>
          </w:tcPr>
          <w:p w14:paraId="0BDFFD95" w14:textId="0D9A6561" w:rsidR="007760A7" w:rsidRPr="0095682B" w:rsidRDefault="007760A7" w:rsidP="00D406F8">
            <w:pPr>
              <w:pStyle w:val="Tabletext"/>
              <w:jc w:val="center"/>
              <w:rPr>
                <w:color w:val="FFFFFF" w:themeColor="background1"/>
              </w:rPr>
            </w:pPr>
            <w:r w:rsidRPr="0095682B">
              <w:rPr>
                <w:color w:val="FFFFFF" w:themeColor="background1"/>
              </w:rPr>
              <w:t xml:space="preserve">Total </w:t>
            </w:r>
            <w:r w:rsidR="003E7C13">
              <w:rPr>
                <w:color w:val="FFFFFF" w:themeColor="background1"/>
              </w:rPr>
              <w:t>floor space</w:t>
            </w:r>
            <w:r>
              <w:rPr>
                <w:color w:val="FFFFFF" w:themeColor="background1"/>
              </w:rPr>
              <w:t xml:space="preserve"> (m</w:t>
            </w:r>
            <w:r w:rsidRPr="0095682B">
              <w:rPr>
                <w:color w:val="FFFFFF" w:themeColor="background1"/>
                <w:vertAlign w:val="superscript"/>
              </w:rPr>
              <w:t>2</w:t>
            </w:r>
            <w:r>
              <w:rPr>
                <w:color w:val="FFFFFF" w:themeColor="background1"/>
              </w:rPr>
              <w:t>)</w:t>
            </w:r>
          </w:p>
        </w:tc>
      </w:tr>
      <w:tr w:rsidR="007760A7" w14:paraId="3A6C708D" w14:textId="77777777">
        <w:tc>
          <w:tcPr>
            <w:tcW w:w="1276" w:type="dxa"/>
            <w:shd w:val="clear" w:color="auto" w:fill="EADDED" w:themeFill="text2" w:themeFillTint="33"/>
          </w:tcPr>
          <w:p w14:paraId="206E1AE0" w14:textId="77777777" w:rsidR="007760A7" w:rsidRDefault="007760A7" w:rsidP="00D406F8">
            <w:pPr>
              <w:pStyle w:val="Tabletext"/>
            </w:pPr>
            <w:r>
              <w:t>Voluntary</w:t>
            </w:r>
          </w:p>
        </w:tc>
        <w:tc>
          <w:tcPr>
            <w:tcW w:w="2031" w:type="dxa"/>
            <w:shd w:val="clear" w:color="auto" w:fill="EADDED" w:themeFill="text2" w:themeFillTint="33"/>
          </w:tcPr>
          <w:p w14:paraId="3B09C995" w14:textId="77777777" w:rsidR="007760A7" w:rsidRDefault="007760A7" w:rsidP="00D406F8">
            <w:pPr>
              <w:pStyle w:val="Tabletext"/>
              <w:jc w:val="center"/>
            </w:pPr>
            <w:r>
              <w:t>Voluntary 1</w:t>
            </w:r>
            <w:r w:rsidRPr="0095682B">
              <w:rPr>
                <w:vertAlign w:val="superscript"/>
              </w:rPr>
              <w:t>st</w:t>
            </w:r>
            <w:r>
              <w:t xml:space="preserve"> quartile</w:t>
            </w:r>
          </w:p>
        </w:tc>
        <w:tc>
          <w:tcPr>
            <w:tcW w:w="2032" w:type="dxa"/>
            <w:shd w:val="clear" w:color="auto" w:fill="EADDED" w:themeFill="text2" w:themeFillTint="33"/>
          </w:tcPr>
          <w:p w14:paraId="01873A8A" w14:textId="77777777" w:rsidR="007760A7" w:rsidRDefault="007760A7" w:rsidP="00D406F8">
            <w:pPr>
              <w:pStyle w:val="Tabletext"/>
              <w:jc w:val="center"/>
            </w:pPr>
            <w:r w:rsidRPr="00130558">
              <w:t>1</w:t>
            </w:r>
            <w:r>
              <w:t>36</w:t>
            </w:r>
          </w:p>
        </w:tc>
        <w:tc>
          <w:tcPr>
            <w:tcW w:w="2032" w:type="dxa"/>
            <w:shd w:val="clear" w:color="auto" w:fill="EADDED" w:themeFill="text2" w:themeFillTint="33"/>
          </w:tcPr>
          <w:p w14:paraId="3BDD78B4" w14:textId="77777777" w:rsidR="007760A7" w:rsidRDefault="007760A7" w:rsidP="00D406F8">
            <w:pPr>
              <w:pStyle w:val="Tabletext"/>
              <w:jc w:val="center"/>
            </w:pPr>
            <w:r w:rsidRPr="006E17E9">
              <w:t xml:space="preserve"> 2,893,629 </w:t>
            </w:r>
          </w:p>
        </w:tc>
      </w:tr>
      <w:tr w:rsidR="007760A7" w14:paraId="685B1E33" w14:textId="77777777">
        <w:tc>
          <w:tcPr>
            <w:tcW w:w="1276" w:type="dxa"/>
            <w:shd w:val="clear" w:color="auto" w:fill="EADDED" w:themeFill="text2" w:themeFillTint="33"/>
          </w:tcPr>
          <w:p w14:paraId="6D26AA63" w14:textId="77777777" w:rsidR="007760A7" w:rsidRDefault="007760A7" w:rsidP="00D406F8">
            <w:pPr>
              <w:pStyle w:val="Tabletext"/>
            </w:pPr>
            <w:r>
              <w:t>Voluntary</w:t>
            </w:r>
          </w:p>
        </w:tc>
        <w:tc>
          <w:tcPr>
            <w:tcW w:w="2031" w:type="dxa"/>
            <w:shd w:val="clear" w:color="auto" w:fill="EADDED" w:themeFill="text2" w:themeFillTint="33"/>
          </w:tcPr>
          <w:p w14:paraId="7F6377A5" w14:textId="77777777" w:rsidR="007760A7" w:rsidRDefault="007760A7" w:rsidP="00D406F8">
            <w:pPr>
              <w:pStyle w:val="Tabletext"/>
              <w:jc w:val="center"/>
            </w:pPr>
            <w:r w:rsidRPr="002212B2">
              <w:t xml:space="preserve">Voluntary  </w:t>
            </w:r>
            <w:r>
              <w:t>2</w:t>
            </w:r>
            <w:r w:rsidRPr="0095682B">
              <w:rPr>
                <w:vertAlign w:val="superscript"/>
              </w:rPr>
              <w:t>nd</w:t>
            </w:r>
            <w:r>
              <w:t xml:space="preserve"> </w:t>
            </w:r>
            <w:r w:rsidRPr="002212B2">
              <w:t>quartile</w:t>
            </w:r>
          </w:p>
        </w:tc>
        <w:tc>
          <w:tcPr>
            <w:tcW w:w="2032" w:type="dxa"/>
            <w:shd w:val="clear" w:color="auto" w:fill="EADDED" w:themeFill="text2" w:themeFillTint="33"/>
          </w:tcPr>
          <w:p w14:paraId="25F1F37F" w14:textId="77777777" w:rsidR="007760A7" w:rsidRDefault="007760A7" w:rsidP="00D406F8">
            <w:pPr>
              <w:pStyle w:val="Tabletext"/>
              <w:jc w:val="center"/>
            </w:pPr>
            <w:r>
              <w:t>208</w:t>
            </w:r>
          </w:p>
        </w:tc>
        <w:tc>
          <w:tcPr>
            <w:tcW w:w="2032" w:type="dxa"/>
            <w:shd w:val="clear" w:color="auto" w:fill="EADDED" w:themeFill="text2" w:themeFillTint="33"/>
          </w:tcPr>
          <w:p w14:paraId="4E172108" w14:textId="77777777" w:rsidR="007760A7" w:rsidRDefault="007760A7" w:rsidP="00D406F8">
            <w:pPr>
              <w:pStyle w:val="Tabletext"/>
              <w:jc w:val="center"/>
            </w:pPr>
            <w:r w:rsidRPr="006E17E9">
              <w:t xml:space="preserve"> 3,404,947 </w:t>
            </w:r>
          </w:p>
        </w:tc>
      </w:tr>
      <w:tr w:rsidR="007760A7" w14:paraId="28AB984A" w14:textId="77777777">
        <w:tc>
          <w:tcPr>
            <w:tcW w:w="1276" w:type="dxa"/>
            <w:shd w:val="clear" w:color="auto" w:fill="EADDED" w:themeFill="text2" w:themeFillTint="33"/>
          </w:tcPr>
          <w:p w14:paraId="0AA272C2" w14:textId="77777777" w:rsidR="007760A7" w:rsidRDefault="007760A7" w:rsidP="00D406F8">
            <w:pPr>
              <w:pStyle w:val="Tabletext"/>
            </w:pPr>
            <w:r>
              <w:t>Voluntary</w:t>
            </w:r>
          </w:p>
        </w:tc>
        <w:tc>
          <w:tcPr>
            <w:tcW w:w="2031" w:type="dxa"/>
            <w:shd w:val="clear" w:color="auto" w:fill="EADDED" w:themeFill="text2" w:themeFillTint="33"/>
          </w:tcPr>
          <w:p w14:paraId="151922FE" w14:textId="77777777" w:rsidR="007760A7" w:rsidRDefault="007760A7" w:rsidP="00D406F8">
            <w:pPr>
              <w:pStyle w:val="Tabletext"/>
              <w:jc w:val="center"/>
            </w:pPr>
            <w:r w:rsidRPr="002212B2">
              <w:t xml:space="preserve">Voluntary  </w:t>
            </w:r>
            <w:r>
              <w:t>3</w:t>
            </w:r>
            <w:r w:rsidRPr="0095682B">
              <w:rPr>
                <w:vertAlign w:val="superscript"/>
              </w:rPr>
              <w:t>rd</w:t>
            </w:r>
            <w:r>
              <w:t xml:space="preserve"> </w:t>
            </w:r>
            <w:r w:rsidRPr="002212B2">
              <w:t>quartile</w:t>
            </w:r>
          </w:p>
        </w:tc>
        <w:tc>
          <w:tcPr>
            <w:tcW w:w="2032" w:type="dxa"/>
            <w:shd w:val="clear" w:color="auto" w:fill="EADDED" w:themeFill="text2" w:themeFillTint="33"/>
          </w:tcPr>
          <w:p w14:paraId="00602BB1" w14:textId="77777777" w:rsidR="007760A7" w:rsidRDefault="007760A7" w:rsidP="00D406F8">
            <w:pPr>
              <w:pStyle w:val="Tabletext"/>
              <w:jc w:val="center"/>
            </w:pPr>
            <w:r>
              <w:t>81</w:t>
            </w:r>
          </w:p>
        </w:tc>
        <w:tc>
          <w:tcPr>
            <w:tcW w:w="2032" w:type="dxa"/>
            <w:shd w:val="clear" w:color="auto" w:fill="EADDED" w:themeFill="text2" w:themeFillTint="33"/>
          </w:tcPr>
          <w:p w14:paraId="0478C85F" w14:textId="77777777" w:rsidR="007760A7" w:rsidRDefault="007760A7" w:rsidP="00D406F8">
            <w:pPr>
              <w:pStyle w:val="Tabletext"/>
              <w:jc w:val="center"/>
            </w:pPr>
            <w:r w:rsidRPr="006E17E9">
              <w:t xml:space="preserve"> 1,281,180 </w:t>
            </w:r>
          </w:p>
        </w:tc>
      </w:tr>
      <w:tr w:rsidR="007760A7" w14:paraId="7C6FE66F" w14:textId="77777777">
        <w:tc>
          <w:tcPr>
            <w:tcW w:w="1276" w:type="dxa"/>
            <w:shd w:val="clear" w:color="auto" w:fill="EADDED" w:themeFill="text2" w:themeFillTint="33"/>
          </w:tcPr>
          <w:p w14:paraId="59FE2470" w14:textId="77777777" w:rsidR="007760A7" w:rsidRDefault="007760A7" w:rsidP="00D406F8">
            <w:pPr>
              <w:pStyle w:val="Tabletext"/>
            </w:pPr>
            <w:r>
              <w:t>Voluntary</w:t>
            </w:r>
          </w:p>
        </w:tc>
        <w:tc>
          <w:tcPr>
            <w:tcW w:w="2031" w:type="dxa"/>
            <w:shd w:val="clear" w:color="auto" w:fill="EADDED" w:themeFill="text2" w:themeFillTint="33"/>
          </w:tcPr>
          <w:p w14:paraId="05C8B046" w14:textId="77777777" w:rsidR="007760A7" w:rsidRDefault="007760A7" w:rsidP="00D406F8">
            <w:pPr>
              <w:pStyle w:val="Tabletext"/>
              <w:jc w:val="center"/>
            </w:pPr>
            <w:r w:rsidRPr="002212B2">
              <w:t xml:space="preserve">Voluntary  </w:t>
            </w:r>
            <w:r>
              <w:t>4</w:t>
            </w:r>
            <w:r w:rsidRPr="0095682B">
              <w:rPr>
                <w:vertAlign w:val="superscript"/>
              </w:rPr>
              <w:t>th</w:t>
            </w:r>
            <w:r>
              <w:t xml:space="preserve"> </w:t>
            </w:r>
            <w:r w:rsidRPr="002212B2">
              <w:t>quartile</w:t>
            </w:r>
          </w:p>
        </w:tc>
        <w:tc>
          <w:tcPr>
            <w:tcW w:w="2032" w:type="dxa"/>
            <w:shd w:val="clear" w:color="auto" w:fill="EADDED" w:themeFill="text2" w:themeFillTint="33"/>
          </w:tcPr>
          <w:p w14:paraId="7F1F2579" w14:textId="77777777" w:rsidR="007760A7" w:rsidRDefault="007760A7" w:rsidP="00D406F8">
            <w:pPr>
              <w:pStyle w:val="Tabletext"/>
              <w:jc w:val="center"/>
            </w:pPr>
            <w:r>
              <w:t>178</w:t>
            </w:r>
          </w:p>
        </w:tc>
        <w:tc>
          <w:tcPr>
            <w:tcW w:w="2032" w:type="dxa"/>
            <w:shd w:val="clear" w:color="auto" w:fill="EADDED" w:themeFill="text2" w:themeFillTint="33"/>
          </w:tcPr>
          <w:p w14:paraId="68ED8E10" w14:textId="77777777" w:rsidR="007760A7" w:rsidRDefault="007760A7" w:rsidP="00D406F8">
            <w:pPr>
              <w:pStyle w:val="Tabletext"/>
              <w:jc w:val="center"/>
            </w:pPr>
            <w:r w:rsidRPr="006E17E9">
              <w:t xml:space="preserve"> 2,140,845 </w:t>
            </w:r>
          </w:p>
        </w:tc>
      </w:tr>
      <w:tr w:rsidR="007760A7" w14:paraId="1EA6FA1A" w14:textId="77777777">
        <w:tc>
          <w:tcPr>
            <w:tcW w:w="1276" w:type="dxa"/>
            <w:shd w:val="clear" w:color="auto" w:fill="DBDBDB" w:themeFill="accent3" w:themeFillTint="66"/>
          </w:tcPr>
          <w:p w14:paraId="6BE81C5E" w14:textId="77777777" w:rsidR="007760A7" w:rsidRDefault="007760A7" w:rsidP="00D406F8">
            <w:pPr>
              <w:pStyle w:val="Tabletext"/>
            </w:pPr>
            <w:r>
              <w:t>Mandatory</w:t>
            </w:r>
          </w:p>
        </w:tc>
        <w:tc>
          <w:tcPr>
            <w:tcW w:w="2031" w:type="dxa"/>
            <w:shd w:val="clear" w:color="auto" w:fill="DBDBDB" w:themeFill="accent3" w:themeFillTint="66"/>
          </w:tcPr>
          <w:p w14:paraId="42953FA7" w14:textId="77777777" w:rsidR="007760A7" w:rsidRDefault="007760A7" w:rsidP="00D406F8">
            <w:pPr>
              <w:pStyle w:val="Tabletext"/>
              <w:jc w:val="center"/>
            </w:pPr>
            <w:r>
              <w:t>Mandatory 1</w:t>
            </w:r>
            <w:r w:rsidRPr="0095682B">
              <w:rPr>
                <w:vertAlign w:val="superscript"/>
              </w:rPr>
              <w:t>st</w:t>
            </w:r>
            <w:r>
              <w:t xml:space="preserve"> </w:t>
            </w:r>
            <w:r w:rsidRPr="002212B2">
              <w:t>quartile</w:t>
            </w:r>
          </w:p>
        </w:tc>
        <w:tc>
          <w:tcPr>
            <w:tcW w:w="2032" w:type="dxa"/>
            <w:shd w:val="clear" w:color="auto" w:fill="DBDBDB" w:themeFill="accent3" w:themeFillTint="66"/>
          </w:tcPr>
          <w:p w14:paraId="72B7CD18" w14:textId="77777777" w:rsidR="007760A7" w:rsidRDefault="007760A7" w:rsidP="00D406F8">
            <w:pPr>
              <w:pStyle w:val="Tabletext"/>
              <w:jc w:val="center"/>
            </w:pPr>
            <w:r>
              <w:t>108</w:t>
            </w:r>
          </w:p>
        </w:tc>
        <w:tc>
          <w:tcPr>
            <w:tcW w:w="2032" w:type="dxa"/>
            <w:shd w:val="clear" w:color="auto" w:fill="DBDBDB" w:themeFill="accent3" w:themeFillTint="66"/>
          </w:tcPr>
          <w:p w14:paraId="10441359" w14:textId="77777777" w:rsidR="007760A7" w:rsidRDefault="007760A7" w:rsidP="00D406F8">
            <w:pPr>
              <w:pStyle w:val="Tabletext"/>
              <w:jc w:val="center"/>
            </w:pPr>
            <w:r w:rsidRPr="0059167F">
              <w:t xml:space="preserve"> 1,220,562 </w:t>
            </w:r>
          </w:p>
        </w:tc>
      </w:tr>
      <w:tr w:rsidR="007760A7" w14:paraId="23FB510B" w14:textId="77777777">
        <w:tc>
          <w:tcPr>
            <w:tcW w:w="1276" w:type="dxa"/>
            <w:shd w:val="clear" w:color="auto" w:fill="DBDBDB" w:themeFill="accent3" w:themeFillTint="66"/>
          </w:tcPr>
          <w:p w14:paraId="06D576D7" w14:textId="77777777" w:rsidR="007760A7" w:rsidRDefault="007760A7" w:rsidP="00D406F8">
            <w:pPr>
              <w:pStyle w:val="Tabletext"/>
            </w:pPr>
            <w:r>
              <w:t>Mandatory</w:t>
            </w:r>
          </w:p>
        </w:tc>
        <w:tc>
          <w:tcPr>
            <w:tcW w:w="2031" w:type="dxa"/>
            <w:shd w:val="clear" w:color="auto" w:fill="DBDBDB" w:themeFill="accent3" w:themeFillTint="66"/>
          </w:tcPr>
          <w:p w14:paraId="463CBCD8" w14:textId="77777777" w:rsidR="007760A7" w:rsidRDefault="007760A7" w:rsidP="00D406F8">
            <w:pPr>
              <w:pStyle w:val="Tabletext"/>
              <w:jc w:val="center"/>
            </w:pPr>
            <w:r w:rsidRPr="0015030C">
              <w:t xml:space="preserve">Mandatory </w:t>
            </w:r>
            <w:r>
              <w:t>2</w:t>
            </w:r>
            <w:r w:rsidRPr="0095682B">
              <w:rPr>
                <w:vertAlign w:val="superscript"/>
              </w:rPr>
              <w:t>nd</w:t>
            </w:r>
            <w:r>
              <w:t xml:space="preserve"> </w:t>
            </w:r>
            <w:r w:rsidRPr="0015030C">
              <w:t>quartile</w:t>
            </w:r>
          </w:p>
        </w:tc>
        <w:tc>
          <w:tcPr>
            <w:tcW w:w="2032" w:type="dxa"/>
            <w:shd w:val="clear" w:color="auto" w:fill="DBDBDB" w:themeFill="accent3" w:themeFillTint="66"/>
          </w:tcPr>
          <w:p w14:paraId="232580CA" w14:textId="77777777" w:rsidR="007760A7" w:rsidRDefault="007760A7" w:rsidP="00D406F8">
            <w:pPr>
              <w:pStyle w:val="Tabletext"/>
              <w:jc w:val="center"/>
            </w:pPr>
            <w:r>
              <w:t>122</w:t>
            </w:r>
          </w:p>
        </w:tc>
        <w:tc>
          <w:tcPr>
            <w:tcW w:w="2032" w:type="dxa"/>
            <w:shd w:val="clear" w:color="auto" w:fill="DBDBDB" w:themeFill="accent3" w:themeFillTint="66"/>
          </w:tcPr>
          <w:p w14:paraId="70CA8272" w14:textId="77777777" w:rsidR="007760A7" w:rsidRDefault="007760A7" w:rsidP="00D406F8">
            <w:pPr>
              <w:pStyle w:val="Tabletext"/>
              <w:jc w:val="center"/>
            </w:pPr>
            <w:r w:rsidRPr="0059167F">
              <w:t xml:space="preserve"> 1,079,105 </w:t>
            </w:r>
          </w:p>
        </w:tc>
      </w:tr>
      <w:tr w:rsidR="007760A7" w14:paraId="40462C06" w14:textId="77777777">
        <w:tc>
          <w:tcPr>
            <w:tcW w:w="1276" w:type="dxa"/>
            <w:shd w:val="clear" w:color="auto" w:fill="DBDBDB" w:themeFill="accent3" w:themeFillTint="66"/>
          </w:tcPr>
          <w:p w14:paraId="7B60CFC2" w14:textId="77777777" w:rsidR="007760A7" w:rsidRDefault="007760A7" w:rsidP="00D406F8">
            <w:pPr>
              <w:pStyle w:val="Tabletext"/>
            </w:pPr>
            <w:r>
              <w:t>Mandatory</w:t>
            </w:r>
          </w:p>
        </w:tc>
        <w:tc>
          <w:tcPr>
            <w:tcW w:w="2031" w:type="dxa"/>
            <w:shd w:val="clear" w:color="auto" w:fill="DBDBDB" w:themeFill="accent3" w:themeFillTint="66"/>
          </w:tcPr>
          <w:p w14:paraId="4C0F5198" w14:textId="77777777" w:rsidR="007760A7" w:rsidRDefault="007760A7" w:rsidP="00D406F8">
            <w:pPr>
              <w:pStyle w:val="Tabletext"/>
              <w:jc w:val="center"/>
            </w:pPr>
            <w:r w:rsidRPr="0015030C">
              <w:t xml:space="preserve">Mandatory </w:t>
            </w:r>
            <w:r>
              <w:t>3</w:t>
            </w:r>
            <w:r w:rsidRPr="0095682B">
              <w:rPr>
                <w:vertAlign w:val="superscript"/>
              </w:rPr>
              <w:t>rd</w:t>
            </w:r>
            <w:r>
              <w:t xml:space="preserve"> </w:t>
            </w:r>
            <w:r w:rsidRPr="0015030C">
              <w:t>quartile</w:t>
            </w:r>
          </w:p>
        </w:tc>
        <w:tc>
          <w:tcPr>
            <w:tcW w:w="2032" w:type="dxa"/>
            <w:shd w:val="clear" w:color="auto" w:fill="DBDBDB" w:themeFill="accent3" w:themeFillTint="66"/>
          </w:tcPr>
          <w:p w14:paraId="02BA0179" w14:textId="77777777" w:rsidR="007760A7" w:rsidRDefault="007760A7" w:rsidP="00D406F8">
            <w:pPr>
              <w:pStyle w:val="Tabletext"/>
              <w:jc w:val="center"/>
            </w:pPr>
            <w:r>
              <w:t>152</w:t>
            </w:r>
          </w:p>
        </w:tc>
        <w:tc>
          <w:tcPr>
            <w:tcW w:w="2032" w:type="dxa"/>
            <w:shd w:val="clear" w:color="auto" w:fill="DBDBDB" w:themeFill="accent3" w:themeFillTint="66"/>
          </w:tcPr>
          <w:p w14:paraId="34D73CD9" w14:textId="77777777" w:rsidR="007760A7" w:rsidRDefault="007760A7" w:rsidP="00D406F8">
            <w:pPr>
              <w:pStyle w:val="Tabletext"/>
              <w:jc w:val="center"/>
            </w:pPr>
            <w:r w:rsidRPr="0059167F">
              <w:t xml:space="preserve"> 1,269,416 </w:t>
            </w:r>
          </w:p>
        </w:tc>
      </w:tr>
      <w:tr w:rsidR="007760A7" w14:paraId="1CA2C0D7" w14:textId="77777777">
        <w:tc>
          <w:tcPr>
            <w:tcW w:w="1276" w:type="dxa"/>
            <w:shd w:val="clear" w:color="auto" w:fill="DBDBDB" w:themeFill="accent3" w:themeFillTint="66"/>
          </w:tcPr>
          <w:p w14:paraId="5F13AED4" w14:textId="77777777" w:rsidR="007760A7" w:rsidRDefault="007760A7" w:rsidP="00D406F8">
            <w:pPr>
              <w:pStyle w:val="Tabletext"/>
            </w:pPr>
            <w:r>
              <w:t>Mandatory</w:t>
            </w:r>
          </w:p>
        </w:tc>
        <w:tc>
          <w:tcPr>
            <w:tcW w:w="2031" w:type="dxa"/>
            <w:shd w:val="clear" w:color="auto" w:fill="DBDBDB" w:themeFill="accent3" w:themeFillTint="66"/>
          </w:tcPr>
          <w:p w14:paraId="1126F441" w14:textId="77777777" w:rsidR="007760A7" w:rsidRDefault="007760A7" w:rsidP="00D406F8">
            <w:pPr>
              <w:pStyle w:val="Tabletext"/>
              <w:jc w:val="center"/>
            </w:pPr>
            <w:r w:rsidRPr="0015030C">
              <w:t xml:space="preserve">Mandatory </w:t>
            </w:r>
            <w:r>
              <w:t>4</w:t>
            </w:r>
            <w:r w:rsidRPr="0095682B">
              <w:rPr>
                <w:vertAlign w:val="superscript"/>
              </w:rPr>
              <w:t>th</w:t>
            </w:r>
            <w:r>
              <w:t xml:space="preserve"> </w:t>
            </w:r>
            <w:r w:rsidRPr="0015030C">
              <w:t>quartile</w:t>
            </w:r>
          </w:p>
        </w:tc>
        <w:tc>
          <w:tcPr>
            <w:tcW w:w="2032" w:type="dxa"/>
            <w:shd w:val="clear" w:color="auto" w:fill="DBDBDB" w:themeFill="accent3" w:themeFillTint="66"/>
          </w:tcPr>
          <w:p w14:paraId="1E75110C" w14:textId="77777777" w:rsidR="007760A7" w:rsidRDefault="007760A7" w:rsidP="00D406F8">
            <w:pPr>
              <w:pStyle w:val="Tabletext"/>
              <w:jc w:val="center"/>
            </w:pPr>
            <w:r>
              <w:t>121</w:t>
            </w:r>
          </w:p>
        </w:tc>
        <w:tc>
          <w:tcPr>
            <w:tcW w:w="2032" w:type="dxa"/>
            <w:shd w:val="clear" w:color="auto" w:fill="DBDBDB" w:themeFill="accent3" w:themeFillTint="66"/>
          </w:tcPr>
          <w:p w14:paraId="0C1BAC04" w14:textId="77777777" w:rsidR="007760A7" w:rsidRDefault="007760A7" w:rsidP="00D406F8">
            <w:pPr>
              <w:pStyle w:val="Tabletext"/>
              <w:jc w:val="center"/>
            </w:pPr>
            <w:r w:rsidRPr="0059167F">
              <w:t xml:space="preserve"> 882,767 </w:t>
            </w:r>
          </w:p>
        </w:tc>
      </w:tr>
    </w:tbl>
    <w:p w14:paraId="2ACCB21A" w14:textId="772FFF2B" w:rsidR="007760A7" w:rsidRDefault="007760A7" w:rsidP="007760A7">
      <w:pPr>
        <w:pStyle w:val="Note"/>
      </w:pPr>
      <w:r w:rsidRPr="00B85543">
        <w:rPr>
          <w:i/>
        </w:rPr>
        <w:t>Note:</w:t>
      </w:r>
      <w:r w:rsidRPr="00B85543">
        <w:t xml:space="preserve"> </w:t>
      </w:r>
      <w:r>
        <w:t xml:space="preserve">Excludes buildings </w:t>
      </w:r>
      <w:r w:rsidRPr="00CE62F3">
        <w:t>posting a first rating on or after 1 July 2011</w:t>
      </w:r>
      <w:r w:rsidR="003F7EC2">
        <w:t>.</w:t>
      </w:r>
      <w:r>
        <w:t xml:space="preserve"> </w:t>
      </w:r>
    </w:p>
    <w:p w14:paraId="09D9598E" w14:textId="77777777" w:rsidR="007760A7" w:rsidRPr="00B347D7" w:rsidRDefault="007760A7" w:rsidP="007760A7">
      <w:pPr>
        <w:pStyle w:val="Source"/>
      </w:pPr>
      <w:r w:rsidRPr="00B347D7">
        <w:t xml:space="preserve">Source: </w:t>
      </w:r>
      <w:r>
        <w:t>ACIL Allen analysis of NABERS data</w:t>
      </w:r>
    </w:p>
    <w:p w14:paraId="724D4259" w14:textId="77777777" w:rsidR="00152F66" w:rsidRDefault="00152F66" w:rsidP="00152F66">
      <w:pPr>
        <w:pStyle w:val="Heading3"/>
      </w:pPr>
      <w:bookmarkStart w:id="155" w:name="_Toc415660866"/>
      <w:r w:rsidRPr="00152F66">
        <w:t>Estimation of Net Lettable Area</w:t>
      </w:r>
      <w:bookmarkEnd w:id="155"/>
    </w:p>
    <w:p w14:paraId="18F73F27" w14:textId="77777777" w:rsidR="00152F66" w:rsidRDefault="00152F66" w:rsidP="00152F66">
      <w:pPr>
        <w:pStyle w:val="BodyText"/>
      </w:pPr>
      <w:r>
        <w:t xml:space="preserve">Building NLA is used </w:t>
      </w:r>
      <w:r w:rsidR="00CD4CB0">
        <w:t xml:space="preserve">as a weighting factor when calculating </w:t>
      </w:r>
      <w:r>
        <w:t>a</w:t>
      </w:r>
      <w:r w:rsidRPr="00152F66">
        <w:t>verage star ratings and energy intensities</w:t>
      </w:r>
      <w:r w:rsidR="00CD4CB0">
        <w:t>,</w:t>
      </w:r>
      <w:r>
        <w:t xml:space="preserve"> and for estimating the </w:t>
      </w:r>
      <w:r w:rsidR="00CD4CB0">
        <w:t xml:space="preserve">total </w:t>
      </w:r>
      <w:r>
        <w:t xml:space="preserve">magnitude over which </w:t>
      </w:r>
      <w:r w:rsidR="00CD4CB0">
        <w:t xml:space="preserve">benefits from </w:t>
      </w:r>
      <w:r>
        <w:t xml:space="preserve">performance </w:t>
      </w:r>
      <w:r w:rsidR="00CD4CB0">
        <w:t xml:space="preserve">improvement </w:t>
      </w:r>
      <w:r>
        <w:t>apply.</w:t>
      </w:r>
    </w:p>
    <w:p w14:paraId="603E8785" w14:textId="77777777" w:rsidR="00152F66" w:rsidRDefault="00CD4CB0" w:rsidP="007444A0">
      <w:pPr>
        <w:pStyle w:val="Heading4"/>
      </w:pPr>
      <w:r>
        <w:t>Estimating NLA from rated area</w:t>
      </w:r>
    </w:p>
    <w:p w14:paraId="59E1D6AD" w14:textId="075D1906" w:rsidR="00152F66" w:rsidRDefault="00152F66" w:rsidP="00152F66">
      <w:pPr>
        <w:pStyle w:val="BodyText"/>
      </w:pPr>
      <w:r>
        <w:t>The NABERS data only provides the rated area (as opposed to NLA) for individual NABERS ratings (</w:t>
      </w:r>
      <w:r w:rsidR="00930C53">
        <w:t>that is,</w:t>
      </w:r>
      <w:r w:rsidR="00CB3EC7">
        <w:t xml:space="preserve"> </w:t>
      </w:r>
      <w:r>
        <w:t xml:space="preserve">the volume of </w:t>
      </w:r>
      <w:r w:rsidR="003E7C13">
        <w:t>floor space</w:t>
      </w:r>
      <w:r>
        <w:t xml:space="preserve"> that was rated)</w:t>
      </w:r>
      <w:r w:rsidR="00CB3EC7">
        <w:t xml:space="preserve">. </w:t>
      </w:r>
      <w:r>
        <w:t xml:space="preserve">This can be </w:t>
      </w:r>
      <w:r>
        <w:lastRenderedPageBreak/>
        <w:t>lower than the available NLA of the building</w:t>
      </w:r>
      <w:r w:rsidR="000359B3">
        <w:t>,</w:t>
      </w:r>
      <w:r>
        <w:t xml:space="preserve"> given that it is possible to rate a subset of the building only</w:t>
      </w:r>
      <w:r w:rsidR="00CB3EC7">
        <w:t xml:space="preserve">. </w:t>
      </w:r>
      <w:r>
        <w:t>This can also be higher than the available NLA since it can include common areas such as lifts, stairwells and lobby</w:t>
      </w:r>
      <w:r w:rsidR="00CB3EC7">
        <w:t xml:space="preserve">. </w:t>
      </w:r>
      <w:r>
        <w:t xml:space="preserve">The maximum rated area across all ratings was used </w:t>
      </w:r>
      <w:r w:rsidR="00A50EF5">
        <w:t xml:space="preserve">as </w:t>
      </w:r>
      <w:r>
        <w:t>a proxy for the total building NLA</w:t>
      </w:r>
      <w:r w:rsidR="00CB3EC7">
        <w:t xml:space="preserve">. </w:t>
      </w:r>
      <w:r>
        <w:t>While it does not provide a precise estimate of the NLA, it does not introduce any known bias in the analysis.</w:t>
      </w:r>
    </w:p>
    <w:p w14:paraId="47F59120" w14:textId="1995AD29" w:rsidR="005F7592" w:rsidRDefault="005F7592" w:rsidP="005F7592">
      <w:pPr>
        <w:pStyle w:val="Heading4"/>
        <w:numPr>
          <w:ilvl w:val="3"/>
          <w:numId w:val="20"/>
        </w:numPr>
      </w:pPr>
      <w:r>
        <w:t xml:space="preserve">Total mandatory group </w:t>
      </w:r>
      <w:r w:rsidR="003E7C13">
        <w:t>floor space</w:t>
      </w:r>
      <w:r>
        <w:t>, including yet-to-rate floor space</w:t>
      </w:r>
    </w:p>
    <w:p w14:paraId="32CD5024" w14:textId="77777777" w:rsidR="003C1238" w:rsidRDefault="00D95B3E" w:rsidP="00DD5378">
      <w:pPr>
        <w:pStyle w:val="BodyText"/>
      </w:pPr>
      <w:r>
        <w:t>While this chapter</w:t>
      </w:r>
      <w:r w:rsidR="003C1238">
        <w:t xml:space="preserve"> describes the methodology and process </w:t>
      </w:r>
      <w:r>
        <w:t>for</w:t>
      </w:r>
      <w:r w:rsidR="003C1238">
        <w:t xml:space="preserve"> assess</w:t>
      </w:r>
      <w:r>
        <w:t>ing the</w:t>
      </w:r>
      <w:r w:rsidR="003C1238">
        <w:t xml:space="preserve"> benefits </w:t>
      </w:r>
      <w:r>
        <w:t xml:space="preserve">of the program </w:t>
      </w:r>
      <w:r w:rsidR="003C1238">
        <w:t>to date (</w:t>
      </w:r>
      <w:r>
        <w:t xml:space="preserve">the </w:t>
      </w:r>
      <w:r w:rsidR="002D3877">
        <w:t>backward-looking</w:t>
      </w:r>
      <w:r w:rsidR="003C1238">
        <w:t xml:space="preserve"> CBA)</w:t>
      </w:r>
      <w:r>
        <w:t>,</w:t>
      </w:r>
      <w:r w:rsidR="003C1238">
        <w:t xml:space="preserve"> some of the analysis required for th</w:t>
      </w:r>
      <w:r>
        <w:t>is</w:t>
      </w:r>
      <w:r w:rsidR="003C1238">
        <w:t xml:space="preserve"> assessment also underpins the assessment of future benefits</w:t>
      </w:r>
      <w:r w:rsidR="00CB3EC7">
        <w:t xml:space="preserve">. </w:t>
      </w:r>
      <w:r w:rsidR="00C971DF">
        <w:t>In particular</w:t>
      </w:r>
      <w:r w:rsidR="003C1238">
        <w:t>, the process of establishing a mandatory group, voluntary group and ‘yet-to-rate’ group (</w:t>
      </w:r>
      <w:r w:rsidR="00C971DF">
        <w:t xml:space="preserve">which </w:t>
      </w:r>
      <w:r w:rsidR="003C1238">
        <w:t>is described below) affects both analyses</w:t>
      </w:r>
      <w:r w:rsidR="00CB3EC7">
        <w:t xml:space="preserve">. </w:t>
      </w:r>
      <w:r w:rsidR="003C1238">
        <w:t>Therefore</w:t>
      </w:r>
      <w:r w:rsidR="003E7C13">
        <w:t>,</w:t>
      </w:r>
      <w:r w:rsidR="003C1238">
        <w:t xml:space="preserve"> the process is described once here and the resulting implications for both the backward and </w:t>
      </w:r>
      <w:r w:rsidR="002D3877">
        <w:t>forward-looking</w:t>
      </w:r>
      <w:r w:rsidR="003C1238">
        <w:t xml:space="preserve"> CBAs are </w:t>
      </w:r>
      <w:r w:rsidR="00D80649">
        <w:t xml:space="preserve">also </w:t>
      </w:r>
      <w:r w:rsidR="003C1238">
        <w:t>discussed</w:t>
      </w:r>
      <w:r w:rsidR="00D80649">
        <w:t xml:space="preserve"> here</w:t>
      </w:r>
      <w:r w:rsidR="00CB3EC7">
        <w:t xml:space="preserve">. </w:t>
      </w:r>
      <w:r w:rsidR="00FC0EC3">
        <w:t xml:space="preserve">A complete discussion of the methodology for the </w:t>
      </w:r>
      <w:r w:rsidR="002D3877">
        <w:t>forward-looking</w:t>
      </w:r>
      <w:r w:rsidR="00FC0EC3">
        <w:t xml:space="preserve"> assessment is provided in </w:t>
      </w:r>
      <w:r>
        <w:t>S</w:t>
      </w:r>
      <w:r w:rsidR="00FC0EC3">
        <w:t xml:space="preserve">ection </w:t>
      </w:r>
      <w:r w:rsidR="00492194">
        <w:fldChar w:fldCharType="begin"/>
      </w:r>
      <w:r w:rsidR="00FC0EC3">
        <w:instrText xml:space="preserve"> REF _Ref409782699 \r \h </w:instrText>
      </w:r>
      <w:r w:rsidR="00492194">
        <w:fldChar w:fldCharType="separate"/>
      </w:r>
      <w:r w:rsidR="006A273E">
        <w:t>5.1</w:t>
      </w:r>
      <w:r w:rsidR="00492194">
        <w:fldChar w:fldCharType="end"/>
      </w:r>
      <w:r w:rsidR="00FC0EC3">
        <w:t>).</w:t>
      </w:r>
    </w:p>
    <w:p w14:paraId="098854EA" w14:textId="77777777" w:rsidR="005F7592" w:rsidRDefault="005F7592" w:rsidP="005F7592">
      <w:pPr>
        <w:pStyle w:val="BodyText"/>
      </w:pPr>
      <w:r w:rsidRPr="00487E6D">
        <w:t xml:space="preserve">The </w:t>
      </w:r>
      <w:r>
        <w:t xml:space="preserve">primary purpose of the </w:t>
      </w:r>
      <w:r w:rsidRPr="00487E6D">
        <w:t>building s</w:t>
      </w:r>
      <w:r>
        <w:t xml:space="preserve">egmentation </w:t>
      </w:r>
      <w:r w:rsidR="002E5578">
        <w:t xml:space="preserve">exercise </w:t>
      </w:r>
      <w:r>
        <w:t>was to understand trends in energy performance for building floor space within each segment</w:t>
      </w:r>
      <w:r w:rsidR="00CB3EC7">
        <w:t xml:space="preserve">. </w:t>
      </w:r>
      <w:r>
        <w:t>As described</w:t>
      </w:r>
      <w:r w:rsidR="000359B3">
        <w:t xml:space="preserve"> previously</w:t>
      </w:r>
      <w:r>
        <w:t>, it was not possible to construct segments perfectly to ensure that:</w:t>
      </w:r>
    </w:p>
    <w:p w14:paraId="4E2E54B2" w14:textId="77777777" w:rsidR="005F7592" w:rsidRDefault="005F7592" w:rsidP="005F7592">
      <w:pPr>
        <w:pStyle w:val="ListDash"/>
      </w:pPr>
      <w:r>
        <w:t>the voluntary segments only included buildings where NABERS rating was obtained without any influence of (or in anticipation of) mandatory disclosure</w:t>
      </w:r>
    </w:p>
    <w:p w14:paraId="627419A3" w14:textId="77777777" w:rsidR="005F7592" w:rsidRDefault="005F7592" w:rsidP="005F7592">
      <w:pPr>
        <w:pStyle w:val="ListDash"/>
      </w:pPr>
      <w:r>
        <w:t>the mandatory segments only included buildings that obtained NABERS rating due to being forced by mandatory disclosure or in anticipation of it.</w:t>
      </w:r>
    </w:p>
    <w:p w14:paraId="1B086E6A" w14:textId="77777777" w:rsidR="005F7592" w:rsidRDefault="005F7592" w:rsidP="005F7592">
      <w:pPr>
        <w:pStyle w:val="BodyText"/>
      </w:pPr>
      <w:r>
        <w:t>Instead</w:t>
      </w:r>
      <w:r w:rsidR="000359B3">
        <w:t>,</w:t>
      </w:r>
      <w:r>
        <w:t xml:space="preserve"> trade-offs were made to arrive at an appropriate group (subset) of buildings that were deemed to represent the average energy performance of the true population of buildings for each segment.</w:t>
      </w:r>
    </w:p>
    <w:p w14:paraId="2D809713" w14:textId="1E20B74B" w:rsidR="00DD5378" w:rsidRDefault="005F7592" w:rsidP="005F7592">
      <w:pPr>
        <w:pStyle w:val="BodyText"/>
      </w:pPr>
      <w:r>
        <w:t xml:space="preserve">The implication of this approach is that the volume of </w:t>
      </w:r>
      <w:r w:rsidR="003E7C13">
        <w:t>floor space</w:t>
      </w:r>
      <w:r>
        <w:t xml:space="preserve"> needs to be scaled prior to being used in CBA calculations (as improvements in average performance need to be applied to the total affected population as opposed to just buildings used to determine the averages)</w:t>
      </w:r>
      <w:r w:rsidR="000A50BF">
        <w:t>.</w:t>
      </w:r>
    </w:p>
    <w:p w14:paraId="39308114" w14:textId="77777777" w:rsidR="005F7592" w:rsidRDefault="00A63948" w:rsidP="005F7592">
      <w:pPr>
        <w:pStyle w:val="BodyText"/>
      </w:pPr>
      <w:r>
        <w:t xml:space="preserve">The </w:t>
      </w:r>
      <w:r w:rsidR="005F7592">
        <w:t>mandatory segments comprised a total of 4.5 million m</w:t>
      </w:r>
      <w:r w:rsidR="005F7592" w:rsidRPr="00487E6D">
        <w:rPr>
          <w:vertAlign w:val="superscript"/>
        </w:rPr>
        <w:t>2</w:t>
      </w:r>
      <w:r w:rsidR="005F7592">
        <w:t xml:space="preserve"> of floor space and this was scaled for ea</w:t>
      </w:r>
      <w:r w:rsidR="005F7592" w:rsidRPr="00A45318">
        <w:t>c</w:t>
      </w:r>
      <w:r w:rsidR="005F7592">
        <w:t xml:space="preserve">h of the </w:t>
      </w:r>
      <w:r w:rsidR="002D3877">
        <w:t>backward-looking</w:t>
      </w:r>
      <w:r w:rsidR="005F7592">
        <w:t xml:space="preserve"> and </w:t>
      </w:r>
      <w:r w:rsidR="002D3877">
        <w:t>forward-looking</w:t>
      </w:r>
      <w:r w:rsidR="005F7592">
        <w:t xml:space="preserve"> CBAs.</w:t>
      </w:r>
    </w:p>
    <w:p w14:paraId="14D4B98E" w14:textId="682470F7" w:rsidR="005F7592" w:rsidRDefault="005F7592" w:rsidP="003F5F13">
      <w:pPr>
        <w:pStyle w:val="BodyText"/>
      </w:pPr>
      <w:r>
        <w:t xml:space="preserve">For the </w:t>
      </w:r>
      <w:r w:rsidR="002D3877">
        <w:t>backward-looking</w:t>
      </w:r>
      <w:r>
        <w:t xml:space="preserve"> CBA, the mandatory population affected to date was estimated by</w:t>
      </w:r>
      <w:r w:rsidR="000359B3">
        <w:t xml:space="preserve"> t</w:t>
      </w:r>
      <w:r>
        <w:t>aking the subset of 4.5 million m</w:t>
      </w:r>
      <w:r w:rsidRPr="00F847EB">
        <w:rPr>
          <w:vertAlign w:val="superscript"/>
        </w:rPr>
        <w:t>2</w:t>
      </w:r>
      <w:r>
        <w:rPr>
          <w:vertAlign w:val="subscript"/>
        </w:rPr>
        <w:t xml:space="preserve"> </w:t>
      </w:r>
      <w:r w:rsidRPr="00487E6D">
        <w:t>and</w:t>
      </w:r>
      <w:r>
        <w:rPr>
          <w:vertAlign w:val="subscript"/>
        </w:rPr>
        <w:t xml:space="preserve"> </w:t>
      </w:r>
      <w:r>
        <w:t>scaling this by 181</w:t>
      </w:r>
      <w:r w:rsidR="002E5578">
        <w:t xml:space="preserve"> per cent</w:t>
      </w:r>
      <w:r>
        <w:t xml:space="preserve"> (reflecting the estimated amount of buildings</w:t>
      </w:r>
      <w:r w:rsidR="00670D4B">
        <w:t>'</w:t>
      </w:r>
      <w:r>
        <w:t xml:space="preserve"> floor space that was excluded due to having a first rating on or after 1 July 2011 but </w:t>
      </w:r>
      <w:r w:rsidR="000359B3">
        <w:t xml:space="preserve">are </w:t>
      </w:r>
      <w:r>
        <w:t>still likely to be part of the mandatory segment population</w:t>
      </w:r>
      <w:r>
        <w:rPr>
          <w:rStyle w:val="FootnoteReference"/>
        </w:rPr>
        <w:footnoteReference w:id="19"/>
      </w:r>
      <w:r>
        <w:t>)</w:t>
      </w:r>
      <w:r w:rsidR="000359B3">
        <w:t xml:space="preserve">. </w:t>
      </w:r>
      <w:r>
        <w:t>This provides an estimate of 8.1 million m</w:t>
      </w:r>
      <w:r w:rsidRPr="00F847EB">
        <w:rPr>
          <w:vertAlign w:val="superscript"/>
        </w:rPr>
        <w:t>2</w:t>
      </w:r>
      <w:r>
        <w:t xml:space="preserve"> of floor space affected by mandatory disclosure to date.</w:t>
      </w:r>
    </w:p>
    <w:p w14:paraId="3FDF3588" w14:textId="77777777" w:rsidR="005F7592" w:rsidRDefault="005F7592" w:rsidP="005F7592">
      <w:pPr>
        <w:pStyle w:val="BodyText"/>
      </w:pPr>
      <w:r>
        <w:t xml:space="preserve">For the </w:t>
      </w:r>
      <w:r w:rsidR="002D3877">
        <w:t>forward-looking</w:t>
      </w:r>
      <w:r>
        <w:t xml:space="preserve"> CBA, this figure was increased further to </w:t>
      </w:r>
      <w:r w:rsidR="000359B3">
        <w:t>account for the fact</w:t>
      </w:r>
      <w:r>
        <w:t xml:space="preserve"> that a certain proportion of floor space that would eventually be obligated under mandatory disclosure (</w:t>
      </w:r>
      <w:r w:rsidR="00CB2AC4">
        <w:t xml:space="preserve">part of the total </w:t>
      </w:r>
      <w:r>
        <w:t>‘rateable floor space’) is not visible in the NABERS data as it has not triggered a disclosure event (sale or lease)</w:t>
      </w:r>
      <w:r w:rsidR="00CB3EC7">
        <w:t xml:space="preserve">. </w:t>
      </w:r>
      <w:r>
        <w:t xml:space="preserve">This volume </w:t>
      </w:r>
      <w:r>
        <w:lastRenderedPageBreak/>
        <w:t>needs to be included in estimates when considering the forward impacts of the scheme.</w:t>
      </w:r>
    </w:p>
    <w:p w14:paraId="71157E0A" w14:textId="77777777" w:rsidR="005F7592" w:rsidRDefault="005F7592" w:rsidP="005F7592">
      <w:pPr>
        <w:pStyle w:val="BodyText"/>
      </w:pPr>
      <w:r>
        <w:t xml:space="preserve">Various sources </w:t>
      </w:r>
      <w:r w:rsidR="00CB359A">
        <w:t>(</w:t>
      </w:r>
      <w:proofErr w:type="spellStart"/>
      <w:r w:rsidR="00CB359A">
        <w:t>pitt&amp;sherry</w:t>
      </w:r>
      <w:proofErr w:type="spellEnd"/>
      <w:r w:rsidR="00CB359A">
        <w:t xml:space="preserve">, 2012; Allen Consulting Group, 2009; City of Sydney data) </w:t>
      </w:r>
      <w:r>
        <w:t>estimating total building stock indicated that the amount of this ‘yet to rate’ floor space is approximately 50</w:t>
      </w:r>
      <w:r w:rsidR="002E5578">
        <w:t xml:space="preserve"> per cent</w:t>
      </w:r>
      <w:r>
        <w:t xml:space="preserve"> of the </w:t>
      </w:r>
      <w:r w:rsidRPr="00040DA3">
        <w:t>total mandatory rateable area</w:t>
      </w:r>
      <w:r w:rsidR="00CB3EC7" w:rsidRPr="00040DA3">
        <w:t>.</w:t>
      </w:r>
      <w:r w:rsidR="00CB3EC7">
        <w:t xml:space="preserve"> </w:t>
      </w:r>
      <w:r>
        <w:t xml:space="preserve">However, no source </w:t>
      </w:r>
      <w:r w:rsidR="00CB2AC4">
        <w:t xml:space="preserve">provided a perfect estimate as sources did not estimate </w:t>
      </w:r>
      <w:r w:rsidR="00CB2AC4" w:rsidRPr="007444A0">
        <w:rPr>
          <w:i/>
        </w:rPr>
        <w:t>only</w:t>
      </w:r>
      <w:r w:rsidR="00CB2AC4">
        <w:t xml:space="preserve"> </w:t>
      </w:r>
      <w:r>
        <w:t>the floor space where mandatory disclosure would apply (particularly as there is insufficient information on size distribution</w:t>
      </w:r>
      <w:r w:rsidR="00CB2AC4">
        <w:t>,</w:t>
      </w:r>
      <w:r>
        <w:t xml:space="preserve"> or buildings that may be exempted or excepted from mandatory disclosure)</w:t>
      </w:r>
      <w:r w:rsidR="00CB3EC7">
        <w:t xml:space="preserve">. </w:t>
      </w:r>
      <w:r>
        <w:t xml:space="preserve">Therefore the </w:t>
      </w:r>
      <w:r w:rsidRPr="00040DA3">
        <w:t>total mandatory rateable area</w:t>
      </w:r>
      <w:r>
        <w:t xml:space="preserve"> was estimated as 50</w:t>
      </w:r>
      <w:r w:rsidR="002E5578">
        <w:t xml:space="preserve"> per cent</w:t>
      </w:r>
      <w:r>
        <w:t xml:space="preserve"> and this is a k</w:t>
      </w:r>
      <w:r w:rsidR="002E5578">
        <w:t>e</w:t>
      </w:r>
      <w:r>
        <w:t>y factor subject to sensitivity testing.</w:t>
      </w:r>
    </w:p>
    <w:p w14:paraId="60914B74" w14:textId="77777777" w:rsidR="005F7592" w:rsidRDefault="005F7592" w:rsidP="005F7592">
      <w:pPr>
        <w:pStyle w:val="BodyText"/>
      </w:pPr>
      <w:r>
        <w:t xml:space="preserve">The volume of floor space of the </w:t>
      </w:r>
      <w:r w:rsidRPr="007444A0">
        <w:rPr>
          <w:i/>
        </w:rPr>
        <w:t>voluntary</w:t>
      </w:r>
      <w:r>
        <w:t xml:space="preserve"> segment was not scaled as it was considered that all buildings voluntarily participating in NABERS obtained ratings between 2006 and 1 June 2010.</w:t>
      </w:r>
    </w:p>
    <w:p w14:paraId="41088ADD" w14:textId="77777777" w:rsidR="005F7592" w:rsidRDefault="005F7592" w:rsidP="005F7592">
      <w:pPr>
        <w:pStyle w:val="BodyText"/>
      </w:pPr>
      <w:r>
        <w:t>The resulting estimates of volume and their use in the analysis is summarised in below.</w:t>
      </w:r>
    </w:p>
    <w:p w14:paraId="7FC4256F" w14:textId="77777777" w:rsidR="005F7592" w:rsidRDefault="005F7592" w:rsidP="005F7592">
      <w:pPr>
        <w:pStyle w:val="Caption"/>
      </w:pPr>
      <w:bookmarkStart w:id="156" w:name="_Toc415661013"/>
      <w:r>
        <w:t xml:space="preserve">Table </w:t>
      </w:r>
      <w:r w:rsidR="00366ADF">
        <w:fldChar w:fldCharType="begin"/>
      </w:r>
      <w:r w:rsidR="00366ADF">
        <w:instrText xml:space="preserve"> SEQ Table \* MERGEFORMAT </w:instrText>
      </w:r>
      <w:r w:rsidR="00366ADF">
        <w:fldChar w:fldCharType="separate"/>
      </w:r>
      <w:r w:rsidR="006A273E">
        <w:rPr>
          <w:noProof/>
        </w:rPr>
        <w:t>6</w:t>
      </w:r>
      <w:r w:rsidR="00366ADF">
        <w:rPr>
          <w:noProof/>
        </w:rPr>
        <w:fldChar w:fldCharType="end"/>
      </w:r>
      <w:r w:rsidRPr="00487E6D">
        <w:rPr>
          <w:b/>
          <w:color w:val="000000"/>
        </w:rPr>
        <w:tab/>
      </w:r>
      <w:r>
        <w:rPr>
          <w:b/>
          <w:color w:val="000000"/>
        </w:rPr>
        <w:t>Estimates of building floor space in the analysis</w:t>
      </w:r>
      <w:bookmarkEnd w:id="156"/>
    </w:p>
    <w:tbl>
      <w:tblPr>
        <w:tblW w:w="7343" w:type="dxa"/>
        <w:tblInd w:w="28"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2240"/>
        <w:gridCol w:w="1627"/>
        <w:gridCol w:w="3476"/>
      </w:tblGrid>
      <w:tr w:rsidR="005F7592" w14:paraId="0115F570" w14:textId="77777777" w:rsidTr="00104113">
        <w:trPr>
          <w:cantSplit/>
        </w:trPr>
        <w:tc>
          <w:tcPr>
            <w:tcW w:w="2240" w:type="dxa"/>
            <w:tcBorders>
              <w:top w:val="nil"/>
            </w:tcBorders>
            <w:shd w:val="solid" w:color="9757A6" w:fill="auto"/>
            <w:vAlign w:val="center"/>
          </w:tcPr>
          <w:p w14:paraId="22DD1BC5" w14:textId="77777777" w:rsidR="005F7592" w:rsidRDefault="005F7592" w:rsidP="00E4692A">
            <w:pPr>
              <w:pStyle w:val="Tablecolumnheadings"/>
            </w:pPr>
            <w:r>
              <w:t>Group of buildings</w:t>
            </w:r>
          </w:p>
        </w:tc>
        <w:tc>
          <w:tcPr>
            <w:tcW w:w="1627" w:type="dxa"/>
            <w:tcBorders>
              <w:top w:val="nil"/>
            </w:tcBorders>
            <w:shd w:val="solid" w:color="9757A6" w:fill="auto"/>
            <w:vAlign w:val="center"/>
          </w:tcPr>
          <w:p w14:paraId="177F2591" w14:textId="77777777" w:rsidR="005F7592" w:rsidRDefault="005F7592" w:rsidP="00E4692A">
            <w:pPr>
              <w:pStyle w:val="Tablecolumnheadings"/>
            </w:pPr>
            <w:r>
              <w:t>Estimate</w:t>
            </w:r>
            <w:r w:rsidR="00951DEA">
              <w:t>d floor area</w:t>
            </w:r>
            <w:r>
              <w:t xml:space="preserve"> (million m</w:t>
            </w:r>
            <w:r w:rsidRPr="00487E6D">
              <w:rPr>
                <w:vertAlign w:val="superscript"/>
              </w:rPr>
              <w:t>2</w:t>
            </w:r>
            <w:r>
              <w:t>)</w:t>
            </w:r>
          </w:p>
        </w:tc>
        <w:tc>
          <w:tcPr>
            <w:tcW w:w="3476" w:type="dxa"/>
            <w:tcBorders>
              <w:top w:val="nil"/>
            </w:tcBorders>
            <w:shd w:val="solid" w:color="9757A6" w:fill="auto"/>
            <w:vAlign w:val="center"/>
          </w:tcPr>
          <w:p w14:paraId="03D0ECB8" w14:textId="77777777" w:rsidR="005F7592" w:rsidRDefault="005F7592" w:rsidP="00E4692A">
            <w:pPr>
              <w:pStyle w:val="Tablecolumnheadings"/>
            </w:pPr>
            <w:r>
              <w:t>Used for</w:t>
            </w:r>
          </w:p>
        </w:tc>
      </w:tr>
      <w:tr w:rsidR="005F7592" w14:paraId="0F224A64" w14:textId="77777777" w:rsidTr="00104113">
        <w:trPr>
          <w:cantSplit/>
        </w:trPr>
        <w:tc>
          <w:tcPr>
            <w:tcW w:w="2240" w:type="dxa"/>
            <w:shd w:val="clear" w:color="auto" w:fill="auto"/>
            <w:vAlign w:val="center"/>
          </w:tcPr>
          <w:p w14:paraId="42756BB5" w14:textId="77777777" w:rsidR="005F7592" w:rsidRDefault="005F7592">
            <w:pPr>
              <w:pStyle w:val="Tabletext"/>
            </w:pPr>
            <w:r>
              <w:t>Voluntary segments</w:t>
            </w:r>
            <w:r w:rsidR="0034244A">
              <w:t xml:space="preserve"> </w:t>
            </w:r>
          </w:p>
        </w:tc>
        <w:tc>
          <w:tcPr>
            <w:tcW w:w="1627" w:type="dxa"/>
            <w:shd w:val="clear" w:color="auto" w:fill="auto"/>
            <w:vAlign w:val="center"/>
          </w:tcPr>
          <w:p w14:paraId="2DB1C411" w14:textId="1B27E7E2" w:rsidR="005F7592" w:rsidRDefault="005F7592" w:rsidP="00104113">
            <w:pPr>
              <w:pStyle w:val="Tabletext"/>
              <w:jc w:val="center"/>
            </w:pPr>
            <w:r>
              <w:t>9.7</w:t>
            </w:r>
          </w:p>
        </w:tc>
        <w:tc>
          <w:tcPr>
            <w:tcW w:w="3476" w:type="dxa"/>
            <w:shd w:val="clear" w:color="auto" w:fill="auto"/>
            <w:vAlign w:val="center"/>
          </w:tcPr>
          <w:p w14:paraId="17BB7FCB" w14:textId="77777777" w:rsidR="005F7592" w:rsidRDefault="005F7592" w:rsidP="00E4692A">
            <w:pPr>
              <w:pStyle w:val="Tabletext"/>
            </w:pPr>
            <w:r>
              <w:t>Understanding average energy performance improvements of buildings voluntarily participating in NABERS</w:t>
            </w:r>
          </w:p>
        </w:tc>
      </w:tr>
      <w:tr w:rsidR="005F7592" w14:paraId="520D0187" w14:textId="77777777" w:rsidTr="00104113">
        <w:trPr>
          <w:cantSplit/>
        </w:trPr>
        <w:tc>
          <w:tcPr>
            <w:tcW w:w="2240" w:type="dxa"/>
            <w:shd w:val="clear" w:color="auto" w:fill="auto"/>
            <w:vAlign w:val="center"/>
          </w:tcPr>
          <w:p w14:paraId="318CA849" w14:textId="77777777" w:rsidR="005F7592" w:rsidRDefault="008204DB" w:rsidP="008204DB">
            <w:pPr>
              <w:pStyle w:val="Tabletext"/>
            </w:pPr>
            <w:r>
              <w:t>Sample of m</w:t>
            </w:r>
            <w:r w:rsidR="00157DE8">
              <w:t xml:space="preserve">andatory population used for analysis (excludes first rating after 1 July </w:t>
            </w:r>
            <w:r w:rsidR="00822D87">
              <w:t>2011)</w:t>
            </w:r>
            <w:r w:rsidR="0034244A">
              <w:t xml:space="preserve"> </w:t>
            </w:r>
          </w:p>
        </w:tc>
        <w:tc>
          <w:tcPr>
            <w:tcW w:w="1627" w:type="dxa"/>
            <w:shd w:val="clear" w:color="auto" w:fill="auto"/>
            <w:vAlign w:val="center"/>
          </w:tcPr>
          <w:p w14:paraId="7C20B6B5" w14:textId="77777777" w:rsidR="005F7592" w:rsidRDefault="005F7592" w:rsidP="00104113">
            <w:pPr>
              <w:pStyle w:val="Tabletext"/>
              <w:jc w:val="center"/>
            </w:pPr>
            <w:r>
              <w:t>4.5</w:t>
            </w:r>
          </w:p>
        </w:tc>
        <w:tc>
          <w:tcPr>
            <w:tcW w:w="3476" w:type="dxa"/>
            <w:shd w:val="clear" w:color="auto" w:fill="auto"/>
            <w:vAlign w:val="center"/>
          </w:tcPr>
          <w:p w14:paraId="0E0E34D1" w14:textId="77777777" w:rsidR="005F7592" w:rsidRDefault="005F7592" w:rsidP="00E4692A">
            <w:pPr>
              <w:pStyle w:val="Tabletext"/>
            </w:pPr>
            <w:r>
              <w:t>Understanding average energy performance improvements of buildings obtaining NABERS ratings due to mandatory disclosure</w:t>
            </w:r>
          </w:p>
        </w:tc>
      </w:tr>
      <w:tr w:rsidR="005F7592" w14:paraId="2D76319B" w14:textId="77777777" w:rsidTr="00104113">
        <w:trPr>
          <w:cantSplit/>
        </w:trPr>
        <w:tc>
          <w:tcPr>
            <w:tcW w:w="2240" w:type="dxa"/>
            <w:shd w:val="clear" w:color="auto" w:fill="auto"/>
            <w:vAlign w:val="center"/>
          </w:tcPr>
          <w:p w14:paraId="58007C72" w14:textId="77777777" w:rsidR="005F7592" w:rsidRDefault="005F7592" w:rsidP="00E4692A">
            <w:pPr>
              <w:pStyle w:val="Tabletext"/>
            </w:pPr>
            <w:r>
              <w:t>Mandatory population affected to date</w:t>
            </w:r>
          </w:p>
        </w:tc>
        <w:tc>
          <w:tcPr>
            <w:tcW w:w="1627" w:type="dxa"/>
            <w:shd w:val="clear" w:color="auto" w:fill="auto"/>
            <w:vAlign w:val="center"/>
          </w:tcPr>
          <w:p w14:paraId="25B30A8A" w14:textId="77777777" w:rsidR="005F7592" w:rsidRDefault="005F7592" w:rsidP="00104113">
            <w:pPr>
              <w:pStyle w:val="Tabletext"/>
              <w:jc w:val="center"/>
            </w:pPr>
            <w:r>
              <w:t>8.1</w:t>
            </w:r>
          </w:p>
        </w:tc>
        <w:tc>
          <w:tcPr>
            <w:tcW w:w="3476" w:type="dxa"/>
            <w:shd w:val="clear" w:color="auto" w:fill="auto"/>
            <w:vAlign w:val="center"/>
          </w:tcPr>
          <w:p w14:paraId="60A823E7" w14:textId="77777777" w:rsidR="005F7592" w:rsidRDefault="005F7592" w:rsidP="00E4692A">
            <w:pPr>
              <w:pStyle w:val="Tabletext"/>
            </w:pPr>
            <w:r>
              <w:t>Estimating the magnitude of aggregate costs and benefits of the scheme to date</w:t>
            </w:r>
          </w:p>
        </w:tc>
      </w:tr>
      <w:tr w:rsidR="005F7592" w14:paraId="2FC0811B" w14:textId="77777777" w:rsidTr="00104113">
        <w:trPr>
          <w:cantSplit/>
        </w:trPr>
        <w:tc>
          <w:tcPr>
            <w:tcW w:w="2240" w:type="dxa"/>
            <w:tcBorders>
              <w:bottom w:val="single" w:sz="2" w:space="0" w:color="C0C0C0"/>
            </w:tcBorders>
            <w:shd w:val="clear" w:color="auto" w:fill="auto"/>
            <w:vAlign w:val="center"/>
          </w:tcPr>
          <w:p w14:paraId="2A59D53C" w14:textId="77777777" w:rsidR="005F7592" w:rsidRDefault="005F7592" w:rsidP="00E4692A">
            <w:pPr>
              <w:pStyle w:val="Tabletext"/>
            </w:pPr>
            <w:r>
              <w:t>Total mandatory rateable area</w:t>
            </w:r>
          </w:p>
        </w:tc>
        <w:tc>
          <w:tcPr>
            <w:tcW w:w="1627" w:type="dxa"/>
            <w:tcBorders>
              <w:bottom w:val="single" w:sz="2" w:space="0" w:color="C0C0C0"/>
            </w:tcBorders>
            <w:shd w:val="clear" w:color="auto" w:fill="auto"/>
            <w:vAlign w:val="center"/>
          </w:tcPr>
          <w:p w14:paraId="5356350A" w14:textId="77777777" w:rsidR="005F7592" w:rsidRDefault="005F7592" w:rsidP="00104113">
            <w:pPr>
              <w:pStyle w:val="Tabletext"/>
              <w:jc w:val="center"/>
            </w:pPr>
            <w:r>
              <w:t>16.1</w:t>
            </w:r>
          </w:p>
        </w:tc>
        <w:tc>
          <w:tcPr>
            <w:tcW w:w="3476" w:type="dxa"/>
            <w:tcBorders>
              <w:bottom w:val="single" w:sz="2" w:space="0" w:color="C0C0C0"/>
            </w:tcBorders>
            <w:shd w:val="clear" w:color="auto" w:fill="auto"/>
            <w:vAlign w:val="center"/>
          </w:tcPr>
          <w:p w14:paraId="2D3D9D19" w14:textId="77777777" w:rsidR="005F7592" w:rsidRDefault="005F7592" w:rsidP="00E4692A">
            <w:pPr>
              <w:pStyle w:val="Tabletext"/>
            </w:pPr>
            <w:r>
              <w:t>Estimating the magnitude of aggregate costs and benefits of retaining NABERS disclosure going forward</w:t>
            </w:r>
          </w:p>
        </w:tc>
      </w:tr>
      <w:tr w:rsidR="005F7592" w14:paraId="1A0DF8C1" w14:textId="77777777" w:rsidTr="00104113">
        <w:trPr>
          <w:cantSplit/>
        </w:trPr>
        <w:tc>
          <w:tcPr>
            <w:tcW w:w="2240" w:type="dxa"/>
            <w:tcBorders>
              <w:top w:val="single" w:sz="2" w:space="0" w:color="C0C0C0"/>
              <w:bottom w:val="single" w:sz="2" w:space="0" w:color="999999"/>
            </w:tcBorders>
            <w:shd w:val="clear" w:color="auto" w:fill="auto"/>
            <w:vAlign w:val="center"/>
          </w:tcPr>
          <w:p w14:paraId="0725A50E" w14:textId="77777777" w:rsidR="005F7592" w:rsidRDefault="005F7592" w:rsidP="00E4692A">
            <w:pPr>
              <w:pStyle w:val="Tabletext"/>
            </w:pPr>
            <w:r>
              <w:t>Total rateable area</w:t>
            </w:r>
          </w:p>
        </w:tc>
        <w:tc>
          <w:tcPr>
            <w:tcW w:w="1627" w:type="dxa"/>
            <w:tcBorders>
              <w:top w:val="single" w:sz="2" w:space="0" w:color="C0C0C0"/>
              <w:bottom w:val="single" w:sz="2" w:space="0" w:color="999999"/>
            </w:tcBorders>
            <w:shd w:val="clear" w:color="auto" w:fill="auto"/>
            <w:vAlign w:val="center"/>
          </w:tcPr>
          <w:p w14:paraId="4A39BF0F" w14:textId="77777777" w:rsidR="005F7592" w:rsidRDefault="005F7592" w:rsidP="00104113">
            <w:pPr>
              <w:pStyle w:val="Tabletext"/>
              <w:jc w:val="center"/>
            </w:pPr>
            <w:r>
              <w:t>25.8</w:t>
            </w:r>
          </w:p>
        </w:tc>
        <w:tc>
          <w:tcPr>
            <w:tcW w:w="3476" w:type="dxa"/>
            <w:tcBorders>
              <w:top w:val="single" w:sz="2" w:space="0" w:color="C0C0C0"/>
              <w:bottom w:val="single" w:sz="2" w:space="0" w:color="999999"/>
            </w:tcBorders>
            <w:shd w:val="clear" w:color="auto" w:fill="auto"/>
            <w:vAlign w:val="center"/>
          </w:tcPr>
          <w:p w14:paraId="24638C66" w14:textId="77777777" w:rsidR="005F7592" w:rsidRDefault="005F7592" w:rsidP="00E4692A">
            <w:pPr>
              <w:pStyle w:val="Tabletext"/>
            </w:pPr>
            <w:r>
              <w:t>Estimating the magnitude of costs and benefits of retaining the TLA component going forward</w:t>
            </w:r>
          </w:p>
        </w:tc>
      </w:tr>
    </w:tbl>
    <w:p w14:paraId="250CB378" w14:textId="77777777" w:rsidR="005F7592" w:rsidRDefault="005F7592" w:rsidP="005F7592">
      <w:pPr>
        <w:pStyle w:val="Note"/>
      </w:pPr>
      <w:r w:rsidRPr="00487E6D">
        <w:rPr>
          <w:i/>
        </w:rPr>
        <w:t>Note:</w:t>
      </w:r>
      <w:r w:rsidRPr="00921870">
        <w:t xml:space="preserve"> </w:t>
      </w:r>
      <w:r>
        <w:t>Total rateable area includes all floor space subject to mandatory disclosure including both voluntary (9.7 million m</w:t>
      </w:r>
      <w:r w:rsidRPr="00487E6D">
        <w:rPr>
          <w:vertAlign w:val="superscript"/>
        </w:rPr>
        <w:t>2</w:t>
      </w:r>
      <w:r>
        <w:t>) and mandatory (16.1 million m</w:t>
      </w:r>
      <w:r w:rsidRPr="00487E6D">
        <w:rPr>
          <w:vertAlign w:val="superscript"/>
        </w:rPr>
        <w:t>2</w:t>
      </w:r>
      <w:r>
        <w:t xml:space="preserve">) </w:t>
      </w:r>
      <w:proofErr w:type="spellStart"/>
      <w:r>
        <w:t>raters</w:t>
      </w:r>
      <w:proofErr w:type="spellEnd"/>
      <w:r w:rsidR="00670D4B">
        <w:t>.</w:t>
      </w:r>
    </w:p>
    <w:p w14:paraId="734DD4A3" w14:textId="77777777" w:rsidR="005F7592" w:rsidRPr="007F73AD" w:rsidRDefault="005F7592" w:rsidP="005F7592">
      <w:pPr>
        <w:pStyle w:val="Source"/>
      </w:pPr>
      <w:r>
        <w:t>Source: ACIL Allen analysis of NABERS data</w:t>
      </w:r>
    </w:p>
    <w:p w14:paraId="0BE36D73" w14:textId="77777777" w:rsidR="00093BDE" w:rsidRDefault="00093BDE" w:rsidP="00E53090">
      <w:pPr>
        <w:pStyle w:val="Heading2"/>
      </w:pPr>
      <w:bookmarkStart w:id="157" w:name="_Toc408869984"/>
      <w:bookmarkStart w:id="158" w:name="_Toc408869985"/>
      <w:bookmarkStart w:id="159" w:name="_Toc408869986"/>
      <w:bookmarkStart w:id="160" w:name="_Toc408869987"/>
      <w:bookmarkStart w:id="161" w:name="_Toc408869988"/>
      <w:bookmarkStart w:id="162" w:name="_Toc415660867"/>
      <w:bookmarkEnd w:id="157"/>
      <w:bookmarkEnd w:id="158"/>
      <w:bookmarkEnd w:id="159"/>
      <w:bookmarkEnd w:id="160"/>
      <w:bookmarkEnd w:id="161"/>
      <w:r>
        <w:t>Analysis of program impact on average NABERS ratings and energy intensity</w:t>
      </w:r>
      <w:bookmarkEnd w:id="162"/>
    </w:p>
    <w:p w14:paraId="2EEA8E8C" w14:textId="77777777" w:rsidR="00093BDE" w:rsidRDefault="00093BDE" w:rsidP="004572F4">
      <w:pPr>
        <w:pStyle w:val="Heading3"/>
      </w:pPr>
      <w:bookmarkStart w:id="163" w:name="_Toc415660868"/>
      <w:r>
        <w:t xml:space="preserve">Impact on mandatory versus voluntary </w:t>
      </w:r>
      <w:proofErr w:type="spellStart"/>
      <w:r>
        <w:t>raters</w:t>
      </w:r>
      <w:bookmarkEnd w:id="163"/>
      <w:proofErr w:type="spellEnd"/>
    </w:p>
    <w:p w14:paraId="776B6C6B" w14:textId="590EA0D3" w:rsidR="00E5109D" w:rsidRDefault="00E5109D" w:rsidP="00E5109D">
      <w:pPr>
        <w:pStyle w:val="BodyText"/>
      </w:pPr>
      <w:r>
        <w:t>Only a certain proportion of buildings within each segment rate in any given year (</w:t>
      </w:r>
      <w:r w:rsidR="00D80A85">
        <w:t>that is,</w:t>
      </w:r>
      <w:r>
        <w:t xml:space="preserve"> not all buildings rate every year)</w:t>
      </w:r>
      <w:r w:rsidR="00CB3EC7">
        <w:t xml:space="preserve">. </w:t>
      </w:r>
      <w:r>
        <w:t>Of these ratings, only base building ratings are used in the analysis, as the building owner (the party obligated under mandatory disclosure) has much greater influence over base building performance than whole building performance (which depends also on tenant practices)</w:t>
      </w:r>
      <w:r w:rsidR="00CB3EC7">
        <w:t xml:space="preserve">. </w:t>
      </w:r>
      <w:r>
        <w:t>Therefore, trends such as average star rating and energy intensity are based only on base building ratings from the portion of buildings that rate each year.</w:t>
      </w:r>
    </w:p>
    <w:p w14:paraId="6F2B43B9" w14:textId="77777777" w:rsidR="00E5109D" w:rsidRDefault="00E5109D" w:rsidP="00E5109D">
      <w:pPr>
        <w:pStyle w:val="BodyText"/>
      </w:pPr>
      <w:r>
        <w:t xml:space="preserve">Annual rated floor space by voluntary and mandatory </w:t>
      </w:r>
      <w:proofErr w:type="spellStart"/>
      <w:r>
        <w:t>raters</w:t>
      </w:r>
      <w:proofErr w:type="spellEnd"/>
      <w:r>
        <w:t xml:space="preserve"> included in the analysis is provided in </w:t>
      </w:r>
      <w:r w:rsidR="003346C7">
        <w:fldChar w:fldCharType="begin"/>
      </w:r>
      <w:r w:rsidR="003346C7">
        <w:instrText xml:space="preserve"> REF _Ref406766078 \h  \* MERGEFORMAT </w:instrText>
      </w:r>
      <w:r w:rsidR="003346C7">
        <w:fldChar w:fldCharType="separate"/>
      </w:r>
      <w:r w:rsidR="006A273E">
        <w:t>Figure 9</w:t>
      </w:r>
      <w:r w:rsidR="003346C7">
        <w:fldChar w:fldCharType="end"/>
      </w:r>
      <w:r>
        <w:t xml:space="preserve"> below.</w:t>
      </w:r>
    </w:p>
    <w:p w14:paraId="69D1FDFA" w14:textId="77777777" w:rsidR="00E5109D" w:rsidRDefault="00E5109D" w:rsidP="00E5109D">
      <w:pPr>
        <w:pStyle w:val="Caption"/>
      </w:pPr>
      <w:bookmarkStart w:id="164" w:name="_Ref406766078"/>
      <w:bookmarkStart w:id="165" w:name="_Toc415660954"/>
      <w:r>
        <w:lastRenderedPageBreak/>
        <w:t xml:space="preserve">Figure </w:t>
      </w:r>
      <w:r w:rsidR="00492194">
        <w:fldChar w:fldCharType="begin"/>
      </w:r>
      <w:r w:rsidR="0044208C">
        <w:instrText xml:space="preserve"> SEQ Figure \* ARABIC </w:instrText>
      </w:r>
      <w:r w:rsidR="00492194">
        <w:fldChar w:fldCharType="separate"/>
      </w:r>
      <w:r w:rsidR="006A273E">
        <w:rPr>
          <w:noProof/>
        </w:rPr>
        <w:t>9</w:t>
      </w:r>
      <w:r w:rsidR="00492194">
        <w:rPr>
          <w:noProof/>
        </w:rPr>
        <w:fldChar w:fldCharType="end"/>
      </w:r>
      <w:bookmarkEnd w:id="164"/>
      <w:r w:rsidRPr="004E0C91">
        <w:rPr>
          <w:b/>
          <w:color w:val="000080"/>
        </w:rPr>
        <w:tab/>
      </w:r>
      <w:r w:rsidRPr="00487E6D">
        <w:rPr>
          <w:b/>
          <w:color w:val="000000" w:themeColor="text1"/>
        </w:rPr>
        <w:t xml:space="preserve">Annual </w:t>
      </w:r>
      <w:r>
        <w:rPr>
          <w:rStyle w:val="CaptionLabel"/>
        </w:rPr>
        <w:t xml:space="preserve">NLA of base building ratings from voluntary and mandatory </w:t>
      </w:r>
      <w:proofErr w:type="spellStart"/>
      <w:r>
        <w:rPr>
          <w:rStyle w:val="CaptionLabel"/>
        </w:rPr>
        <w:t>raters</w:t>
      </w:r>
      <w:bookmarkEnd w:id="165"/>
      <w:proofErr w:type="spellEnd"/>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E5109D" w14:paraId="55911315" w14:textId="77777777">
        <w:trPr>
          <w:cantSplit/>
        </w:trPr>
        <w:tc>
          <w:tcPr>
            <w:tcW w:w="5000" w:type="pct"/>
          </w:tcPr>
          <w:p w14:paraId="38093DB5" w14:textId="77777777" w:rsidR="00E5109D" w:rsidRDefault="00E5109D" w:rsidP="00E4692A">
            <w:pPr>
              <w:pStyle w:val="SmallDeltasRightAligned"/>
              <w:keepNext/>
            </w:pPr>
            <w:r>
              <w:rPr>
                <w:noProof/>
                <w:lang w:eastAsia="en-AU"/>
              </w:rPr>
              <w:drawing>
                <wp:inline distT="0" distB="0" distL="0" distR="0" wp14:anchorId="25F039A7" wp14:editId="60378D2B">
                  <wp:extent cx="481585" cy="234696"/>
                  <wp:effectExtent l="0" t="0" r="0" b="0"/>
                  <wp:docPr id="2" name="Picture 2"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E5109D" w14:paraId="47CB4EDA" w14:textId="77777777">
        <w:trPr>
          <w:cantSplit/>
        </w:trPr>
        <w:tc>
          <w:tcPr>
            <w:tcW w:w="5000" w:type="pct"/>
          </w:tcPr>
          <w:p w14:paraId="3995EDA9" w14:textId="77777777" w:rsidR="00E5109D" w:rsidRDefault="00E5109D" w:rsidP="00E4692A">
            <w:pPr>
              <w:pStyle w:val="Figure"/>
            </w:pPr>
            <w:r w:rsidRPr="004420D3">
              <w:rPr>
                <w:noProof/>
                <w:lang w:eastAsia="en-AU"/>
              </w:rPr>
              <w:drawing>
                <wp:inline distT="0" distB="0" distL="0" distR="0" wp14:anchorId="3DC3DCB7" wp14:editId="0E131B7C">
                  <wp:extent cx="4680585" cy="2613660"/>
                  <wp:effectExtent l="0" t="0" r="5715" b="0"/>
                  <wp:docPr id="4" name="Chart 4" descr="Annual NLA of base building ratings from voluntary and mandatory raters" title="Annual NLA of base building ratings from voluntary and mandatory rat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5D9CCE98" w14:textId="2F64CC69" w:rsidR="00E5109D" w:rsidRDefault="00E5109D" w:rsidP="00E5109D">
      <w:pPr>
        <w:pStyle w:val="Note"/>
      </w:pPr>
      <w:r w:rsidRPr="00487E6D">
        <w:rPr>
          <w:i/>
        </w:rPr>
        <w:t>Note:</w:t>
      </w:r>
      <w:r>
        <w:t xml:space="preserve"> Data is available to 25 October 2014</w:t>
      </w:r>
      <w:r w:rsidR="00D54A21">
        <w:t>,</w:t>
      </w:r>
      <w:r>
        <w:t xml:space="preserve"> therefore</w:t>
      </w:r>
      <w:r w:rsidR="00D54A21">
        <w:t>,</w:t>
      </w:r>
      <w:r>
        <w:t xml:space="preserve"> 2014 estimates are only for part of the year</w:t>
      </w:r>
      <w:r w:rsidR="00CB3EC7">
        <w:t xml:space="preserve">. </w:t>
      </w:r>
    </w:p>
    <w:p w14:paraId="63AE8F68" w14:textId="77777777" w:rsidR="00E5109D" w:rsidRPr="00B50A1B" w:rsidRDefault="00E5109D" w:rsidP="00E5109D">
      <w:pPr>
        <w:pStyle w:val="Source"/>
        <w:rPr>
          <w:i/>
        </w:rPr>
      </w:pPr>
      <w:r>
        <w:t>S</w:t>
      </w:r>
      <w:r w:rsidRPr="00B50A1B">
        <w:t>ource:</w:t>
      </w:r>
      <w:r w:rsidRPr="00954EED">
        <w:t xml:space="preserve"> </w:t>
      </w:r>
      <w:r>
        <w:t>ACIL Allen analysis of NABERS data</w:t>
      </w:r>
    </w:p>
    <w:p w14:paraId="3AC08217" w14:textId="77777777" w:rsidR="00E5109D" w:rsidRDefault="00E5109D" w:rsidP="00E5109D">
      <w:pPr>
        <w:pStyle w:val="BodyText"/>
      </w:pPr>
      <w:r>
        <w:t>The total NLA of buildings voluntarily rating (including repeat ratings) increases rapidly between the years 2006 to 2010 (in line with known growth in awareness and popularity of NABERS)</w:t>
      </w:r>
      <w:r w:rsidR="00CB3EC7">
        <w:t xml:space="preserve">. </w:t>
      </w:r>
      <w:r>
        <w:t>The volume of ratings for this voluntary group from 2011 are all repeat ratings.</w:t>
      </w:r>
    </w:p>
    <w:p w14:paraId="064B891F" w14:textId="79B1681F" w:rsidR="00E5109D" w:rsidRDefault="00E5109D" w:rsidP="00E5109D">
      <w:pPr>
        <w:pStyle w:val="BodyText"/>
      </w:pPr>
      <w:r>
        <w:t xml:space="preserve">Buildings </w:t>
      </w:r>
      <w:r w:rsidR="00D54A21">
        <w:t>that</w:t>
      </w:r>
      <w:r>
        <w:t xml:space="preserve"> first rated between 1 July 2010 and 1 July 2011 are assigned to the mandatory group</w:t>
      </w:r>
      <w:r w:rsidR="00CB3EC7">
        <w:t xml:space="preserve">. </w:t>
      </w:r>
      <w:r>
        <w:t>The volume of ratings shown above for the mandatory group after 2011 are all repeat ratings</w:t>
      </w:r>
      <w:r w:rsidR="00CB3EC7">
        <w:t xml:space="preserve">. </w:t>
      </w:r>
    </w:p>
    <w:p w14:paraId="1AD818CB" w14:textId="77777777" w:rsidR="00E5109D" w:rsidRPr="00D852C8" w:rsidRDefault="00E5109D" w:rsidP="00E5109D">
      <w:pPr>
        <w:pStyle w:val="BodyText"/>
      </w:pPr>
      <w:r>
        <w:t xml:space="preserve">Weighted average annual star ratings and energy intensity (weighted by NLA) are presented in </w:t>
      </w:r>
      <w:r w:rsidR="00492194">
        <w:fldChar w:fldCharType="begin"/>
      </w:r>
      <w:r>
        <w:instrText xml:space="preserve"> REF _Ref406768699 \h </w:instrText>
      </w:r>
      <w:r w:rsidR="00492194">
        <w:fldChar w:fldCharType="separate"/>
      </w:r>
      <w:r w:rsidR="006A273E">
        <w:t xml:space="preserve">Figure </w:t>
      </w:r>
      <w:r w:rsidR="006A273E">
        <w:rPr>
          <w:noProof/>
        </w:rPr>
        <w:t>10</w:t>
      </w:r>
      <w:r w:rsidR="00492194">
        <w:fldChar w:fldCharType="end"/>
      </w:r>
      <w:r>
        <w:t xml:space="preserve"> and </w:t>
      </w:r>
      <w:r w:rsidR="00492194">
        <w:fldChar w:fldCharType="begin"/>
      </w:r>
      <w:r>
        <w:instrText xml:space="preserve"> REF _Ref406768704 \h </w:instrText>
      </w:r>
      <w:r w:rsidR="00492194">
        <w:fldChar w:fldCharType="separate"/>
      </w:r>
      <w:r w:rsidR="006A273E">
        <w:t xml:space="preserve">Figure </w:t>
      </w:r>
      <w:r w:rsidR="006A273E">
        <w:rPr>
          <w:noProof/>
        </w:rPr>
        <w:t>11</w:t>
      </w:r>
      <w:r w:rsidR="00492194">
        <w:fldChar w:fldCharType="end"/>
      </w:r>
      <w:r w:rsidR="00D54A21">
        <w:t>,</w:t>
      </w:r>
      <w:r w:rsidR="00D80A85">
        <w:t xml:space="preserve"> respectively</w:t>
      </w:r>
      <w:r>
        <w:t>.</w:t>
      </w:r>
    </w:p>
    <w:p w14:paraId="6F3BF5DD" w14:textId="77777777" w:rsidR="00E5109D" w:rsidRDefault="00E5109D" w:rsidP="00E5109D">
      <w:pPr>
        <w:pStyle w:val="Caption"/>
      </w:pPr>
      <w:bookmarkStart w:id="166" w:name="_Ref406768699"/>
      <w:bookmarkStart w:id="167" w:name="_Toc415660955"/>
      <w:r>
        <w:lastRenderedPageBreak/>
        <w:t xml:space="preserve">Figure </w:t>
      </w:r>
      <w:r w:rsidR="00492194">
        <w:fldChar w:fldCharType="begin"/>
      </w:r>
      <w:r w:rsidR="0044208C">
        <w:instrText xml:space="preserve"> SEQ Figure \* ARABIC </w:instrText>
      </w:r>
      <w:r w:rsidR="00492194">
        <w:fldChar w:fldCharType="separate"/>
      </w:r>
      <w:r w:rsidR="006A273E">
        <w:rPr>
          <w:noProof/>
        </w:rPr>
        <w:t>10</w:t>
      </w:r>
      <w:r w:rsidR="00492194">
        <w:rPr>
          <w:noProof/>
        </w:rPr>
        <w:fldChar w:fldCharType="end"/>
      </w:r>
      <w:bookmarkEnd w:id="166"/>
      <w:r w:rsidRPr="004E0C91">
        <w:rPr>
          <w:b/>
          <w:color w:val="000080"/>
        </w:rPr>
        <w:tab/>
      </w:r>
      <w:r>
        <w:rPr>
          <w:b/>
          <w:color w:val="000000" w:themeColor="text1"/>
        </w:rPr>
        <w:t>Average annual star rating by voluntary and mandatory group</w:t>
      </w:r>
      <w:bookmarkEnd w:id="167"/>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E5109D" w14:paraId="38BBCAFC" w14:textId="77777777">
        <w:trPr>
          <w:cantSplit/>
        </w:trPr>
        <w:tc>
          <w:tcPr>
            <w:tcW w:w="5000" w:type="pct"/>
          </w:tcPr>
          <w:p w14:paraId="6A54227B" w14:textId="77777777" w:rsidR="00E5109D" w:rsidRDefault="00E5109D" w:rsidP="00E4692A">
            <w:pPr>
              <w:pStyle w:val="SmallDeltasRightAligned"/>
              <w:keepNext/>
            </w:pPr>
            <w:r>
              <w:rPr>
                <w:noProof/>
                <w:lang w:eastAsia="en-AU"/>
              </w:rPr>
              <w:drawing>
                <wp:inline distT="0" distB="0" distL="0" distR="0" wp14:anchorId="2E9A4DBD" wp14:editId="13D08850">
                  <wp:extent cx="481585" cy="234696"/>
                  <wp:effectExtent l="0" t="0" r="0" b="0"/>
                  <wp:docPr id="5" name="Picture 5"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E5109D" w14:paraId="64A5730A" w14:textId="77777777">
        <w:trPr>
          <w:cantSplit/>
        </w:trPr>
        <w:tc>
          <w:tcPr>
            <w:tcW w:w="5000" w:type="pct"/>
          </w:tcPr>
          <w:p w14:paraId="1766FA85" w14:textId="77777777" w:rsidR="00E5109D" w:rsidRDefault="00E5109D" w:rsidP="00E4692A">
            <w:pPr>
              <w:pStyle w:val="Figure"/>
            </w:pPr>
            <w:r w:rsidRPr="003257D9">
              <w:rPr>
                <w:noProof/>
                <w:lang w:eastAsia="en-AU"/>
              </w:rPr>
              <w:drawing>
                <wp:inline distT="0" distB="0" distL="0" distR="0" wp14:anchorId="09D33A3A" wp14:editId="0D6163A3">
                  <wp:extent cx="4680585" cy="3245485"/>
                  <wp:effectExtent l="0" t="0" r="5715" b="0"/>
                  <wp:docPr id="6" name="Chart 6" descr="Average annual star rating by voluntary and mandatory group" title="Average annual star rating by voluntary and mandatory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3A3B45B6" w14:textId="77777777" w:rsidR="00E5109D" w:rsidRPr="00B50A1B" w:rsidRDefault="00E5109D" w:rsidP="00E5109D">
      <w:pPr>
        <w:pStyle w:val="Source"/>
        <w:rPr>
          <w:i/>
        </w:rPr>
      </w:pPr>
      <w:r>
        <w:t>S</w:t>
      </w:r>
      <w:r w:rsidRPr="00B50A1B">
        <w:t>ource:</w:t>
      </w:r>
      <w:r w:rsidRPr="00954EED">
        <w:t xml:space="preserve"> </w:t>
      </w:r>
      <w:r>
        <w:t>ACIL Allen analysis of NABERS data</w:t>
      </w:r>
    </w:p>
    <w:p w14:paraId="0EEE335B" w14:textId="77777777" w:rsidR="00E5109D" w:rsidRDefault="00E5109D" w:rsidP="00E5109D">
      <w:pPr>
        <w:pStyle w:val="Caption"/>
      </w:pPr>
      <w:bookmarkStart w:id="168" w:name="_Ref406768704"/>
      <w:bookmarkStart w:id="169" w:name="_Toc415660956"/>
      <w:r>
        <w:t xml:space="preserve">Figure </w:t>
      </w:r>
      <w:r w:rsidR="00492194">
        <w:fldChar w:fldCharType="begin"/>
      </w:r>
      <w:r w:rsidR="0044208C">
        <w:instrText xml:space="preserve"> SEQ Figure \* ARABIC </w:instrText>
      </w:r>
      <w:r w:rsidR="00492194">
        <w:fldChar w:fldCharType="separate"/>
      </w:r>
      <w:r w:rsidR="006A273E">
        <w:rPr>
          <w:noProof/>
        </w:rPr>
        <w:t>11</w:t>
      </w:r>
      <w:r w:rsidR="00492194">
        <w:rPr>
          <w:noProof/>
        </w:rPr>
        <w:fldChar w:fldCharType="end"/>
      </w:r>
      <w:bookmarkEnd w:id="168"/>
      <w:r w:rsidRPr="004E0C91">
        <w:rPr>
          <w:b/>
          <w:color w:val="000080"/>
        </w:rPr>
        <w:tab/>
      </w:r>
      <w:r>
        <w:rPr>
          <w:b/>
          <w:color w:val="000000" w:themeColor="text1"/>
        </w:rPr>
        <w:t>Average annual energy intensity by voluntary and mandatory group</w:t>
      </w:r>
      <w:bookmarkEnd w:id="169"/>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E5109D" w14:paraId="01961ABE" w14:textId="77777777">
        <w:trPr>
          <w:cantSplit/>
        </w:trPr>
        <w:tc>
          <w:tcPr>
            <w:tcW w:w="5000" w:type="pct"/>
          </w:tcPr>
          <w:p w14:paraId="6334F489" w14:textId="77777777" w:rsidR="00E5109D" w:rsidRDefault="00E5109D" w:rsidP="00E4692A">
            <w:pPr>
              <w:pStyle w:val="SmallDeltasRightAligned"/>
              <w:keepNext/>
            </w:pPr>
            <w:r>
              <w:rPr>
                <w:noProof/>
                <w:lang w:eastAsia="en-AU"/>
              </w:rPr>
              <w:drawing>
                <wp:inline distT="0" distB="0" distL="0" distR="0" wp14:anchorId="105508E9" wp14:editId="19CC2741">
                  <wp:extent cx="481585" cy="234696"/>
                  <wp:effectExtent l="0" t="0" r="0" b="0"/>
                  <wp:docPr id="7" name="Picture 7"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E5109D" w14:paraId="0BB7C588" w14:textId="77777777">
        <w:trPr>
          <w:cantSplit/>
        </w:trPr>
        <w:tc>
          <w:tcPr>
            <w:tcW w:w="5000" w:type="pct"/>
          </w:tcPr>
          <w:p w14:paraId="768C9EDF" w14:textId="77777777" w:rsidR="00E5109D" w:rsidRDefault="00E5109D" w:rsidP="00E4692A">
            <w:pPr>
              <w:pStyle w:val="Figure"/>
            </w:pPr>
            <w:r w:rsidRPr="003257D9">
              <w:rPr>
                <w:noProof/>
                <w:lang w:eastAsia="en-AU"/>
              </w:rPr>
              <w:drawing>
                <wp:inline distT="0" distB="0" distL="0" distR="0" wp14:anchorId="1ED3610E" wp14:editId="2A97136C">
                  <wp:extent cx="4680585" cy="3245485"/>
                  <wp:effectExtent l="0" t="0" r="5715" b="0"/>
                  <wp:docPr id="9" name="Chart 9" descr="Average annual energy intensity by voluntary and mandatory group" title="Average annual energy intensity by voluntary and mandatory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24219C71" w14:textId="77777777" w:rsidR="00E5109D" w:rsidRPr="00B50A1B" w:rsidRDefault="00E5109D" w:rsidP="00E5109D">
      <w:pPr>
        <w:pStyle w:val="Source"/>
        <w:rPr>
          <w:i/>
        </w:rPr>
      </w:pPr>
      <w:r>
        <w:t>S</w:t>
      </w:r>
      <w:r w:rsidRPr="00B50A1B">
        <w:t>ource:</w:t>
      </w:r>
      <w:r w:rsidRPr="00954EED">
        <w:t xml:space="preserve"> </w:t>
      </w:r>
      <w:r>
        <w:t>ACIL Allen analysis of NABERS data</w:t>
      </w:r>
    </w:p>
    <w:p w14:paraId="387B7112" w14:textId="25F46334" w:rsidR="00E5109D" w:rsidRDefault="00E5109D" w:rsidP="00E5109D">
      <w:pPr>
        <w:pStyle w:val="BodyText"/>
      </w:pPr>
      <w:r>
        <w:t xml:space="preserve">As expected, </w:t>
      </w:r>
      <w:r w:rsidR="00787D0F">
        <w:t xml:space="preserve">the </w:t>
      </w:r>
      <w:r>
        <w:t>average star rating increase</w:t>
      </w:r>
      <w:r w:rsidR="00787D0F">
        <w:t>s</w:t>
      </w:r>
      <w:r>
        <w:t xml:space="preserve"> over time</w:t>
      </w:r>
      <w:r w:rsidR="00DF3BC3">
        <w:t>,</w:t>
      </w:r>
      <w:r>
        <w:t xml:space="preserve"> whereas energy intensity (inversely related to star ratings) decline</w:t>
      </w:r>
      <w:r w:rsidR="00DF3BC3">
        <w:t>s</w:t>
      </w:r>
      <w:r>
        <w:t xml:space="preserve"> over time</w:t>
      </w:r>
      <w:r w:rsidR="00CB3EC7">
        <w:t xml:space="preserve">. </w:t>
      </w:r>
      <w:r>
        <w:t xml:space="preserve">The gap between average star ratings and energy intensity of voluntary and mandatory </w:t>
      </w:r>
      <w:proofErr w:type="spellStart"/>
      <w:r>
        <w:t>raters</w:t>
      </w:r>
      <w:proofErr w:type="spellEnd"/>
      <w:r>
        <w:t xml:space="preserve"> appears to </w:t>
      </w:r>
      <w:r w:rsidR="0082191A">
        <w:t xml:space="preserve">diminish </w:t>
      </w:r>
      <w:r>
        <w:t>over time.</w:t>
      </w:r>
    </w:p>
    <w:p w14:paraId="72AD8718" w14:textId="77777777" w:rsidR="00093BDE" w:rsidRDefault="00093BDE" w:rsidP="004572F4">
      <w:pPr>
        <w:pStyle w:val="Heading3"/>
      </w:pPr>
      <w:bookmarkStart w:id="170" w:name="_Toc415660869"/>
      <w:r>
        <w:lastRenderedPageBreak/>
        <w:t>Impact on individual segments</w:t>
      </w:r>
      <w:bookmarkEnd w:id="170"/>
    </w:p>
    <w:p w14:paraId="06248F78" w14:textId="77777777" w:rsidR="00E5109D" w:rsidRDefault="00E5109D" w:rsidP="00E5109D">
      <w:pPr>
        <w:pStyle w:val="BodyText"/>
      </w:pPr>
      <w:r>
        <w:t>The trend in energy performance of each segment over the period 2006 to 2014 provide</w:t>
      </w:r>
      <w:r w:rsidR="000F2B63">
        <w:t>s</w:t>
      </w:r>
      <w:r>
        <w:t xml:space="preserve"> a basis for assessing the effects of the CBD policy</w:t>
      </w:r>
      <w:r w:rsidR="00CB3EC7">
        <w:t xml:space="preserve">. </w:t>
      </w:r>
      <w:r>
        <w:t>The trends reveal:</w:t>
      </w:r>
    </w:p>
    <w:p w14:paraId="43A0A9DD" w14:textId="77777777" w:rsidR="00E5109D" w:rsidRDefault="000F2B63" w:rsidP="00E5109D">
      <w:pPr>
        <w:pStyle w:val="ListDash"/>
      </w:pPr>
      <w:r>
        <w:t>t</w:t>
      </w:r>
      <w:r w:rsidR="00E5109D">
        <w:t xml:space="preserve">he behaviour of buildings </w:t>
      </w:r>
      <w:r>
        <w:t>during the period when</w:t>
      </w:r>
      <w:r w:rsidR="00E5109D">
        <w:t xml:space="preserve"> there was no mandatory obligation to disclose energy performance (2006 to 2010)</w:t>
      </w:r>
      <w:r>
        <w:t>,</w:t>
      </w:r>
      <w:r w:rsidR="00E5109D">
        <w:t xml:space="preserve"> and therefore</w:t>
      </w:r>
      <w:r w:rsidR="00DC54D4">
        <w:t>,</w:t>
      </w:r>
      <w:r w:rsidR="00E5109D">
        <w:t xml:space="preserve"> the likely behaviour in the hypothetical scenario where no CBD policy was introduced (the ‘counterfactual’)</w:t>
      </w:r>
    </w:p>
    <w:p w14:paraId="05A150C4" w14:textId="77777777" w:rsidR="00E5109D" w:rsidRDefault="000F2B63" w:rsidP="00E5109D">
      <w:pPr>
        <w:pStyle w:val="ListDash"/>
      </w:pPr>
      <w:r>
        <w:t>t</w:t>
      </w:r>
      <w:r w:rsidR="00E5109D">
        <w:t>he change in behaviour of buildings observed following introduction of the CBD policy</w:t>
      </w:r>
      <w:r>
        <w:t>,</w:t>
      </w:r>
      <w:r w:rsidR="00E5109D">
        <w:t xml:space="preserve"> and therefore</w:t>
      </w:r>
      <w:r w:rsidR="00DC54D4">
        <w:t>,</w:t>
      </w:r>
      <w:r w:rsidR="00E5109D">
        <w:t xml:space="preserve"> the effect that this policy may have had on commercial building energy performance</w:t>
      </w:r>
    </w:p>
    <w:p w14:paraId="18A41BA3" w14:textId="77777777" w:rsidR="00E5109D" w:rsidRDefault="000F2B63" w:rsidP="00E5109D">
      <w:pPr>
        <w:pStyle w:val="ListDash"/>
      </w:pPr>
      <w:r>
        <w:t>t</w:t>
      </w:r>
      <w:r w:rsidR="00E5109D">
        <w:t>he starting point and possible future evolution of commercial building energy performance beyond 2014, either in the case where the policy is retained or where it is discontinued.</w:t>
      </w:r>
    </w:p>
    <w:p w14:paraId="6AC50B0A" w14:textId="77777777" w:rsidR="00E5109D" w:rsidRDefault="003346C7" w:rsidP="00E5109D">
      <w:pPr>
        <w:pStyle w:val="BodyText"/>
      </w:pPr>
      <w:r>
        <w:fldChar w:fldCharType="begin"/>
      </w:r>
      <w:r>
        <w:instrText xml:space="preserve"> REF _Ref407011745 \h  \* MERGEFORMAT </w:instrText>
      </w:r>
      <w:r>
        <w:fldChar w:fldCharType="separate"/>
      </w:r>
      <w:r w:rsidR="006A273E">
        <w:t xml:space="preserve">Figure </w:t>
      </w:r>
      <w:r w:rsidR="006A273E">
        <w:rPr>
          <w:noProof/>
        </w:rPr>
        <w:t>12</w:t>
      </w:r>
      <w:r>
        <w:fldChar w:fldCharType="end"/>
      </w:r>
      <w:r w:rsidR="00071414">
        <w:t xml:space="preserve"> and</w:t>
      </w:r>
      <w:r w:rsidR="00E5109D" w:rsidRPr="00487E6D">
        <w:t xml:space="preserve"> </w:t>
      </w:r>
      <w:r>
        <w:fldChar w:fldCharType="begin"/>
      </w:r>
      <w:r>
        <w:instrText xml:space="preserve"> REF _Ref407011802 \h  \* MERGEFORMAT </w:instrText>
      </w:r>
      <w:r>
        <w:fldChar w:fldCharType="separate"/>
      </w:r>
      <w:r w:rsidR="006A273E">
        <w:t>Table 7</w:t>
      </w:r>
      <w:r>
        <w:fldChar w:fldCharType="end"/>
      </w:r>
      <w:r w:rsidR="00E5109D" w:rsidRPr="00487E6D">
        <w:t xml:space="preserve"> </w:t>
      </w:r>
      <w:r w:rsidR="00071414">
        <w:t>show</w:t>
      </w:r>
      <w:r w:rsidR="00E5109D">
        <w:t xml:space="preserve"> the trend in average star rating by segment</w:t>
      </w:r>
      <w:r w:rsidR="00071414">
        <w:t xml:space="preserve"> between 2006 and 2014</w:t>
      </w:r>
      <w:r w:rsidR="00E5109D">
        <w:t>.</w:t>
      </w:r>
    </w:p>
    <w:p w14:paraId="24455BC5" w14:textId="77777777" w:rsidR="00E5109D" w:rsidRDefault="00E5109D" w:rsidP="00E5109D">
      <w:pPr>
        <w:pStyle w:val="Caption"/>
      </w:pPr>
      <w:bookmarkStart w:id="171" w:name="_Ref407011745"/>
      <w:bookmarkStart w:id="172" w:name="_Toc415660957"/>
      <w:r>
        <w:t xml:space="preserve">Figure </w:t>
      </w:r>
      <w:r w:rsidR="00492194">
        <w:fldChar w:fldCharType="begin"/>
      </w:r>
      <w:r w:rsidR="0044208C">
        <w:instrText xml:space="preserve"> SEQ Figure \* ARABIC </w:instrText>
      </w:r>
      <w:r w:rsidR="00492194">
        <w:fldChar w:fldCharType="separate"/>
      </w:r>
      <w:r w:rsidR="006A273E">
        <w:rPr>
          <w:noProof/>
        </w:rPr>
        <w:t>12</w:t>
      </w:r>
      <w:r w:rsidR="00492194">
        <w:rPr>
          <w:noProof/>
        </w:rPr>
        <w:fldChar w:fldCharType="end"/>
      </w:r>
      <w:bookmarkEnd w:id="171"/>
      <w:r w:rsidRPr="004E0C91">
        <w:rPr>
          <w:b/>
          <w:color w:val="000080"/>
        </w:rPr>
        <w:tab/>
      </w:r>
      <w:r>
        <w:rPr>
          <w:b/>
          <w:color w:val="000000" w:themeColor="text1"/>
        </w:rPr>
        <w:t>Average annual star rating by segment</w:t>
      </w:r>
      <w:bookmarkEnd w:id="172"/>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E5109D" w14:paraId="55FC6BF0" w14:textId="77777777">
        <w:trPr>
          <w:cantSplit/>
        </w:trPr>
        <w:tc>
          <w:tcPr>
            <w:tcW w:w="5000" w:type="pct"/>
          </w:tcPr>
          <w:p w14:paraId="13DE6604" w14:textId="77777777" w:rsidR="00E5109D" w:rsidRDefault="00E5109D" w:rsidP="00E4692A">
            <w:pPr>
              <w:pStyle w:val="SmallDeltasRightAligned"/>
              <w:keepNext/>
            </w:pPr>
            <w:r>
              <w:rPr>
                <w:noProof/>
                <w:lang w:eastAsia="en-AU"/>
              </w:rPr>
              <w:drawing>
                <wp:inline distT="0" distB="0" distL="0" distR="0" wp14:anchorId="47C5784A" wp14:editId="5B71A040">
                  <wp:extent cx="481585" cy="234696"/>
                  <wp:effectExtent l="0" t="0" r="0" b="0"/>
                  <wp:docPr id="10" name="Picture 10"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E5109D" w14:paraId="6E1B8CEB" w14:textId="77777777">
        <w:trPr>
          <w:cantSplit/>
        </w:trPr>
        <w:tc>
          <w:tcPr>
            <w:tcW w:w="5000" w:type="pct"/>
          </w:tcPr>
          <w:p w14:paraId="4FC5B0C6" w14:textId="77777777" w:rsidR="00E5109D" w:rsidRDefault="00E5109D" w:rsidP="00E4692A">
            <w:pPr>
              <w:pStyle w:val="Figure"/>
            </w:pPr>
            <w:r w:rsidRPr="00221096">
              <w:rPr>
                <w:noProof/>
                <w:lang w:eastAsia="en-AU"/>
              </w:rPr>
              <w:drawing>
                <wp:inline distT="0" distB="0" distL="0" distR="0" wp14:anchorId="2B6BBAE6" wp14:editId="77F411D4">
                  <wp:extent cx="4680585" cy="3245485"/>
                  <wp:effectExtent l="0" t="0" r="5715" b="0"/>
                  <wp:docPr id="11" name="Chart 11" descr="Average annual star rating by segment" title="Average annual star rating by seg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31FA1047" w14:textId="77777777" w:rsidR="00E5109D" w:rsidRPr="00B50A1B" w:rsidRDefault="00E5109D" w:rsidP="00E5109D">
      <w:pPr>
        <w:pStyle w:val="Source"/>
        <w:rPr>
          <w:i/>
        </w:rPr>
      </w:pPr>
      <w:r>
        <w:t>S</w:t>
      </w:r>
      <w:r w:rsidRPr="00B50A1B">
        <w:t>ource:</w:t>
      </w:r>
      <w:r w:rsidRPr="00954EED">
        <w:t xml:space="preserve"> </w:t>
      </w:r>
      <w:r>
        <w:t>ACIL Allen analysis of NABERS data</w:t>
      </w:r>
    </w:p>
    <w:p w14:paraId="614F45D6" w14:textId="77777777" w:rsidR="00E5109D" w:rsidRDefault="00E5109D" w:rsidP="00E5109D">
      <w:pPr>
        <w:pStyle w:val="Caption"/>
      </w:pPr>
      <w:bookmarkStart w:id="173" w:name="_Ref407011802"/>
      <w:bookmarkStart w:id="174" w:name="_Toc415661014"/>
      <w:r>
        <w:lastRenderedPageBreak/>
        <w:t xml:space="preserve">Table </w:t>
      </w:r>
      <w:r w:rsidR="00366ADF">
        <w:fldChar w:fldCharType="begin"/>
      </w:r>
      <w:r w:rsidR="00366ADF">
        <w:instrText xml:space="preserve"> SEQ Table \* MERGEFORMAT </w:instrText>
      </w:r>
      <w:r w:rsidR="00366ADF">
        <w:fldChar w:fldCharType="separate"/>
      </w:r>
      <w:r w:rsidR="006A273E">
        <w:rPr>
          <w:noProof/>
        </w:rPr>
        <w:t>7</w:t>
      </w:r>
      <w:r w:rsidR="00366ADF">
        <w:rPr>
          <w:noProof/>
        </w:rPr>
        <w:fldChar w:fldCharType="end"/>
      </w:r>
      <w:bookmarkEnd w:id="173"/>
      <w:r w:rsidRPr="00487E6D">
        <w:rPr>
          <w:b/>
          <w:color w:val="000000"/>
        </w:rPr>
        <w:tab/>
      </w:r>
      <w:r>
        <w:rPr>
          <w:b/>
          <w:color w:val="000000"/>
        </w:rPr>
        <w:t>Growth in star rating by segment</w:t>
      </w:r>
      <w:bookmarkEnd w:id="174"/>
    </w:p>
    <w:tbl>
      <w:tblPr>
        <w:tblW w:w="7372" w:type="dxa"/>
        <w:tblInd w:w="28"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1474"/>
        <w:gridCol w:w="1474"/>
        <w:gridCol w:w="1474"/>
        <w:gridCol w:w="1475"/>
        <w:gridCol w:w="1475"/>
      </w:tblGrid>
      <w:tr w:rsidR="00E5109D" w14:paraId="08640CF4" w14:textId="77777777">
        <w:trPr>
          <w:cantSplit/>
        </w:trPr>
        <w:tc>
          <w:tcPr>
            <w:tcW w:w="1474" w:type="dxa"/>
            <w:tcBorders>
              <w:top w:val="nil"/>
              <w:bottom w:val="single" w:sz="2" w:space="0" w:color="C0C0C0"/>
            </w:tcBorders>
            <w:shd w:val="solid" w:color="9757A6" w:fill="auto"/>
            <w:vAlign w:val="center"/>
          </w:tcPr>
          <w:p w14:paraId="39371EF9" w14:textId="77777777" w:rsidR="00E5109D" w:rsidRDefault="00E5109D" w:rsidP="00E4692A">
            <w:pPr>
              <w:pStyle w:val="Tablecolumnheadings"/>
            </w:pPr>
            <w:r>
              <w:t>Segment</w:t>
            </w:r>
          </w:p>
        </w:tc>
        <w:tc>
          <w:tcPr>
            <w:tcW w:w="1474" w:type="dxa"/>
            <w:tcBorders>
              <w:top w:val="nil"/>
              <w:bottom w:val="single" w:sz="2" w:space="0" w:color="C0C0C0"/>
            </w:tcBorders>
            <w:shd w:val="solid" w:color="9757A6" w:fill="auto"/>
            <w:vAlign w:val="center"/>
          </w:tcPr>
          <w:p w14:paraId="12AC1671" w14:textId="77777777" w:rsidR="00E5109D" w:rsidRDefault="00E5109D" w:rsidP="00E4692A">
            <w:pPr>
              <w:pStyle w:val="Tablecolumnheadings"/>
              <w:jc w:val="center"/>
            </w:pPr>
            <w:r>
              <w:t>Pre-</w:t>
            </w:r>
            <w:proofErr w:type="spellStart"/>
            <w:r>
              <w:t>CBD</w:t>
            </w:r>
            <w:r w:rsidRPr="00487E6D">
              <w:rPr>
                <w:vertAlign w:val="superscript"/>
              </w:rPr>
              <w:t>a</w:t>
            </w:r>
            <w:proofErr w:type="spellEnd"/>
          </w:p>
        </w:tc>
        <w:tc>
          <w:tcPr>
            <w:tcW w:w="1474" w:type="dxa"/>
            <w:tcBorders>
              <w:top w:val="nil"/>
              <w:bottom w:val="single" w:sz="2" w:space="0" w:color="C0C0C0"/>
            </w:tcBorders>
            <w:shd w:val="solid" w:color="9757A6" w:fill="auto"/>
            <w:vAlign w:val="center"/>
          </w:tcPr>
          <w:p w14:paraId="6EE5BAAD" w14:textId="77777777" w:rsidR="00E5109D" w:rsidRDefault="00E5109D" w:rsidP="00E4692A">
            <w:pPr>
              <w:pStyle w:val="Tablecolumnheadings"/>
              <w:jc w:val="center"/>
            </w:pPr>
            <w:r>
              <w:t>Post-</w:t>
            </w:r>
            <w:proofErr w:type="spellStart"/>
            <w:r>
              <w:t>CBD</w:t>
            </w:r>
            <w:r>
              <w:rPr>
                <w:vertAlign w:val="superscript"/>
              </w:rPr>
              <w:t>b</w:t>
            </w:r>
            <w:proofErr w:type="spellEnd"/>
          </w:p>
        </w:tc>
        <w:tc>
          <w:tcPr>
            <w:tcW w:w="1475" w:type="dxa"/>
            <w:tcBorders>
              <w:top w:val="nil"/>
              <w:bottom w:val="single" w:sz="2" w:space="0" w:color="C0C0C0"/>
            </w:tcBorders>
            <w:shd w:val="solid" w:color="9757A6" w:fill="auto"/>
            <w:vAlign w:val="center"/>
          </w:tcPr>
          <w:p w14:paraId="7E375F94" w14:textId="77777777" w:rsidR="00E5109D" w:rsidRDefault="00E5109D" w:rsidP="00E4692A">
            <w:pPr>
              <w:pStyle w:val="Tablecolumnheadings"/>
              <w:jc w:val="center"/>
            </w:pPr>
            <w:r>
              <w:t>Pre-</w:t>
            </w:r>
            <w:proofErr w:type="spellStart"/>
            <w:r>
              <w:t>CBD</w:t>
            </w:r>
            <w:r w:rsidRPr="0095682B">
              <w:rPr>
                <w:vertAlign w:val="superscript"/>
              </w:rPr>
              <w:t>a</w:t>
            </w:r>
            <w:proofErr w:type="spellEnd"/>
          </w:p>
        </w:tc>
        <w:tc>
          <w:tcPr>
            <w:tcW w:w="1475" w:type="dxa"/>
            <w:tcBorders>
              <w:top w:val="nil"/>
              <w:bottom w:val="single" w:sz="2" w:space="0" w:color="C0C0C0"/>
            </w:tcBorders>
            <w:shd w:val="solid" w:color="9757A6" w:fill="auto"/>
            <w:vAlign w:val="center"/>
          </w:tcPr>
          <w:p w14:paraId="2D5A9DCA" w14:textId="77777777" w:rsidR="00E5109D" w:rsidRDefault="00E5109D" w:rsidP="00E4692A">
            <w:pPr>
              <w:pStyle w:val="Tablecolumnheadings"/>
              <w:jc w:val="center"/>
            </w:pPr>
            <w:r>
              <w:t>Post-</w:t>
            </w:r>
            <w:proofErr w:type="spellStart"/>
            <w:r>
              <w:t>CBD</w:t>
            </w:r>
            <w:r>
              <w:rPr>
                <w:vertAlign w:val="superscript"/>
              </w:rPr>
              <w:t>b</w:t>
            </w:r>
            <w:proofErr w:type="spellEnd"/>
          </w:p>
        </w:tc>
      </w:tr>
      <w:tr w:rsidR="00E5109D" w14:paraId="4D9EFBBE" w14:textId="77777777">
        <w:trPr>
          <w:cantSplit/>
        </w:trPr>
        <w:tc>
          <w:tcPr>
            <w:tcW w:w="1474" w:type="dxa"/>
            <w:tcBorders>
              <w:top w:val="single" w:sz="2" w:space="0" w:color="C0C0C0"/>
            </w:tcBorders>
            <w:shd w:val="solid" w:color="E6E6E6" w:fill="auto"/>
            <w:vAlign w:val="center"/>
          </w:tcPr>
          <w:p w14:paraId="01519375" w14:textId="77777777" w:rsidR="00E5109D" w:rsidRDefault="00E5109D" w:rsidP="00E4692A">
            <w:pPr>
              <w:pStyle w:val="Tableunitsrow"/>
            </w:pPr>
          </w:p>
        </w:tc>
        <w:tc>
          <w:tcPr>
            <w:tcW w:w="1474" w:type="dxa"/>
            <w:tcBorders>
              <w:top w:val="single" w:sz="2" w:space="0" w:color="C0C0C0"/>
            </w:tcBorders>
            <w:shd w:val="solid" w:color="E6E6E6" w:fill="auto"/>
            <w:vAlign w:val="center"/>
          </w:tcPr>
          <w:p w14:paraId="3192A66D" w14:textId="77777777" w:rsidR="00E5109D" w:rsidRDefault="00E5109D" w:rsidP="00E4692A">
            <w:pPr>
              <w:pStyle w:val="Tableunitsrow"/>
              <w:jc w:val="center"/>
            </w:pPr>
            <w:r>
              <w:t>Stars / year</w:t>
            </w:r>
          </w:p>
        </w:tc>
        <w:tc>
          <w:tcPr>
            <w:tcW w:w="1474" w:type="dxa"/>
            <w:tcBorders>
              <w:top w:val="single" w:sz="2" w:space="0" w:color="C0C0C0"/>
            </w:tcBorders>
            <w:shd w:val="solid" w:color="E6E6E6" w:fill="auto"/>
            <w:vAlign w:val="center"/>
          </w:tcPr>
          <w:p w14:paraId="620782E8" w14:textId="77777777" w:rsidR="00E5109D" w:rsidRDefault="00E5109D" w:rsidP="00E4692A">
            <w:pPr>
              <w:pStyle w:val="Tableunitsrow"/>
              <w:jc w:val="center"/>
            </w:pPr>
            <w:r>
              <w:t>Stars / year</w:t>
            </w:r>
          </w:p>
        </w:tc>
        <w:tc>
          <w:tcPr>
            <w:tcW w:w="1475" w:type="dxa"/>
            <w:tcBorders>
              <w:top w:val="single" w:sz="2" w:space="0" w:color="C0C0C0"/>
            </w:tcBorders>
            <w:shd w:val="solid" w:color="E6E6E6" w:fill="auto"/>
            <w:vAlign w:val="center"/>
          </w:tcPr>
          <w:p w14:paraId="5535E56B" w14:textId="77777777" w:rsidR="00E5109D" w:rsidRDefault="00E5109D" w:rsidP="00E4692A">
            <w:pPr>
              <w:pStyle w:val="Tableunitsrow"/>
              <w:jc w:val="center"/>
            </w:pPr>
            <w:r>
              <w:t>% / year</w:t>
            </w:r>
          </w:p>
        </w:tc>
        <w:tc>
          <w:tcPr>
            <w:tcW w:w="1475" w:type="dxa"/>
            <w:tcBorders>
              <w:top w:val="single" w:sz="2" w:space="0" w:color="C0C0C0"/>
            </w:tcBorders>
            <w:shd w:val="solid" w:color="E6E6E6" w:fill="auto"/>
            <w:vAlign w:val="center"/>
          </w:tcPr>
          <w:p w14:paraId="0FAF2805" w14:textId="77777777" w:rsidR="00E5109D" w:rsidRDefault="00E5109D" w:rsidP="00E4692A">
            <w:pPr>
              <w:pStyle w:val="Tableunitsrow"/>
              <w:jc w:val="center"/>
            </w:pPr>
            <w:r>
              <w:t>% / year</w:t>
            </w:r>
          </w:p>
        </w:tc>
      </w:tr>
      <w:tr w:rsidR="00E5109D" w14:paraId="20FA0380" w14:textId="77777777">
        <w:trPr>
          <w:cantSplit/>
        </w:trPr>
        <w:tc>
          <w:tcPr>
            <w:tcW w:w="1474" w:type="dxa"/>
            <w:shd w:val="clear" w:color="auto" w:fill="auto"/>
            <w:vAlign w:val="bottom"/>
          </w:tcPr>
          <w:p w14:paraId="672C7D24" w14:textId="77777777" w:rsidR="00E5109D" w:rsidRDefault="00E5109D" w:rsidP="00E4692A">
            <w:pPr>
              <w:pStyle w:val="Tabletext"/>
            </w:pPr>
            <w:r w:rsidRPr="00487E6D">
              <w:t>V</w:t>
            </w:r>
            <w:r>
              <w:t>oluntary</w:t>
            </w:r>
            <w:r w:rsidRPr="00487E6D">
              <w:t xml:space="preserve"> Q1</w:t>
            </w:r>
          </w:p>
        </w:tc>
        <w:tc>
          <w:tcPr>
            <w:tcW w:w="1474" w:type="dxa"/>
            <w:shd w:val="clear" w:color="auto" w:fill="auto"/>
            <w:vAlign w:val="bottom"/>
          </w:tcPr>
          <w:p w14:paraId="30C9B51B" w14:textId="77777777" w:rsidR="00E5109D" w:rsidRDefault="00E5109D" w:rsidP="00E4692A">
            <w:pPr>
              <w:pStyle w:val="Tabletext"/>
              <w:jc w:val="center"/>
            </w:pPr>
            <w:r w:rsidRPr="00487E6D">
              <w:t>0.28</w:t>
            </w:r>
          </w:p>
        </w:tc>
        <w:tc>
          <w:tcPr>
            <w:tcW w:w="1474" w:type="dxa"/>
            <w:shd w:val="clear" w:color="auto" w:fill="auto"/>
            <w:vAlign w:val="bottom"/>
          </w:tcPr>
          <w:p w14:paraId="45359D48" w14:textId="77777777" w:rsidR="00E5109D" w:rsidRDefault="00E5109D" w:rsidP="00E4692A">
            <w:pPr>
              <w:pStyle w:val="Tabletext"/>
              <w:jc w:val="center"/>
            </w:pPr>
            <w:r w:rsidRPr="00487E6D">
              <w:t>0.02</w:t>
            </w:r>
          </w:p>
        </w:tc>
        <w:tc>
          <w:tcPr>
            <w:tcW w:w="1475" w:type="dxa"/>
            <w:shd w:val="clear" w:color="auto" w:fill="auto"/>
            <w:vAlign w:val="bottom"/>
          </w:tcPr>
          <w:p w14:paraId="34DFB025" w14:textId="77777777" w:rsidR="00E5109D" w:rsidRDefault="00E5109D" w:rsidP="00E4692A">
            <w:pPr>
              <w:pStyle w:val="Tabletext"/>
              <w:jc w:val="center"/>
            </w:pPr>
            <w:r w:rsidRPr="00487E6D">
              <w:t>7.7%</w:t>
            </w:r>
          </w:p>
        </w:tc>
        <w:tc>
          <w:tcPr>
            <w:tcW w:w="1475" w:type="dxa"/>
            <w:shd w:val="clear" w:color="auto" w:fill="auto"/>
            <w:vAlign w:val="bottom"/>
          </w:tcPr>
          <w:p w14:paraId="04753EE1" w14:textId="77777777" w:rsidR="00E5109D" w:rsidRDefault="00E5109D" w:rsidP="00E4692A">
            <w:pPr>
              <w:pStyle w:val="Tabletext"/>
              <w:jc w:val="center"/>
            </w:pPr>
            <w:r w:rsidRPr="00487E6D">
              <w:t>0.3%</w:t>
            </w:r>
          </w:p>
        </w:tc>
      </w:tr>
      <w:tr w:rsidR="00E5109D" w14:paraId="6D926C4D" w14:textId="77777777">
        <w:trPr>
          <w:cantSplit/>
        </w:trPr>
        <w:tc>
          <w:tcPr>
            <w:tcW w:w="1474" w:type="dxa"/>
            <w:shd w:val="clear" w:color="auto" w:fill="auto"/>
            <w:vAlign w:val="bottom"/>
          </w:tcPr>
          <w:p w14:paraId="3264FD19" w14:textId="77777777" w:rsidR="00E5109D" w:rsidRDefault="00E5109D" w:rsidP="00E4692A">
            <w:pPr>
              <w:pStyle w:val="Tabletext"/>
            </w:pPr>
            <w:r>
              <w:t>Voluntary</w:t>
            </w:r>
            <w:r w:rsidRPr="00487E6D">
              <w:t xml:space="preserve"> Q2</w:t>
            </w:r>
          </w:p>
        </w:tc>
        <w:tc>
          <w:tcPr>
            <w:tcW w:w="1474" w:type="dxa"/>
            <w:shd w:val="clear" w:color="auto" w:fill="auto"/>
            <w:vAlign w:val="bottom"/>
          </w:tcPr>
          <w:p w14:paraId="674E7961" w14:textId="77777777" w:rsidR="00E5109D" w:rsidRDefault="00E5109D" w:rsidP="00E4692A">
            <w:pPr>
              <w:pStyle w:val="Tabletext"/>
              <w:jc w:val="center"/>
            </w:pPr>
            <w:r w:rsidRPr="00487E6D">
              <w:t>0.33</w:t>
            </w:r>
          </w:p>
        </w:tc>
        <w:tc>
          <w:tcPr>
            <w:tcW w:w="1474" w:type="dxa"/>
            <w:shd w:val="clear" w:color="auto" w:fill="auto"/>
            <w:vAlign w:val="bottom"/>
          </w:tcPr>
          <w:p w14:paraId="48935B26" w14:textId="77777777" w:rsidR="00E5109D" w:rsidRDefault="00E5109D" w:rsidP="00E4692A">
            <w:pPr>
              <w:pStyle w:val="Tabletext"/>
              <w:jc w:val="center"/>
            </w:pPr>
            <w:r w:rsidRPr="00487E6D">
              <w:t>0.13</w:t>
            </w:r>
          </w:p>
        </w:tc>
        <w:tc>
          <w:tcPr>
            <w:tcW w:w="1475" w:type="dxa"/>
            <w:shd w:val="clear" w:color="auto" w:fill="auto"/>
            <w:vAlign w:val="bottom"/>
          </w:tcPr>
          <w:p w14:paraId="581CA3A2" w14:textId="77777777" w:rsidR="00E5109D" w:rsidRDefault="00E5109D" w:rsidP="00E4692A">
            <w:pPr>
              <w:pStyle w:val="Tabletext"/>
              <w:jc w:val="center"/>
            </w:pPr>
            <w:r w:rsidRPr="00487E6D">
              <w:t>12.7%</w:t>
            </w:r>
          </w:p>
        </w:tc>
        <w:tc>
          <w:tcPr>
            <w:tcW w:w="1475" w:type="dxa"/>
            <w:shd w:val="clear" w:color="auto" w:fill="auto"/>
            <w:vAlign w:val="bottom"/>
          </w:tcPr>
          <w:p w14:paraId="5DBE6E18" w14:textId="77777777" w:rsidR="00E5109D" w:rsidRDefault="00E5109D" w:rsidP="00E4692A">
            <w:pPr>
              <w:pStyle w:val="Tabletext"/>
              <w:jc w:val="center"/>
            </w:pPr>
            <w:r w:rsidRPr="00487E6D">
              <w:t>3.5%</w:t>
            </w:r>
          </w:p>
        </w:tc>
      </w:tr>
      <w:tr w:rsidR="00E5109D" w14:paraId="246BF5EF" w14:textId="77777777">
        <w:trPr>
          <w:cantSplit/>
        </w:trPr>
        <w:tc>
          <w:tcPr>
            <w:tcW w:w="1474" w:type="dxa"/>
            <w:shd w:val="clear" w:color="auto" w:fill="auto"/>
            <w:vAlign w:val="bottom"/>
          </w:tcPr>
          <w:p w14:paraId="2551C128" w14:textId="77777777" w:rsidR="00E5109D" w:rsidRDefault="00E5109D" w:rsidP="00E4692A">
            <w:pPr>
              <w:pStyle w:val="Tabletext"/>
            </w:pPr>
            <w:r>
              <w:t>Voluntary</w:t>
            </w:r>
            <w:r w:rsidRPr="00487E6D">
              <w:t xml:space="preserve"> Q3</w:t>
            </w:r>
          </w:p>
        </w:tc>
        <w:tc>
          <w:tcPr>
            <w:tcW w:w="1474" w:type="dxa"/>
            <w:shd w:val="clear" w:color="auto" w:fill="auto"/>
            <w:vAlign w:val="bottom"/>
          </w:tcPr>
          <w:p w14:paraId="4C6BE6AF" w14:textId="77777777" w:rsidR="00E5109D" w:rsidRDefault="00E5109D" w:rsidP="00E4692A">
            <w:pPr>
              <w:pStyle w:val="Tabletext"/>
              <w:jc w:val="center"/>
            </w:pPr>
            <w:r w:rsidRPr="00487E6D">
              <w:t>0.26</w:t>
            </w:r>
          </w:p>
        </w:tc>
        <w:tc>
          <w:tcPr>
            <w:tcW w:w="1474" w:type="dxa"/>
            <w:shd w:val="clear" w:color="auto" w:fill="auto"/>
            <w:vAlign w:val="bottom"/>
          </w:tcPr>
          <w:p w14:paraId="627DA888" w14:textId="77777777" w:rsidR="00E5109D" w:rsidRDefault="00E5109D" w:rsidP="00E4692A">
            <w:pPr>
              <w:pStyle w:val="Tabletext"/>
              <w:jc w:val="center"/>
            </w:pPr>
            <w:r w:rsidRPr="00487E6D">
              <w:t>0.07</w:t>
            </w:r>
          </w:p>
        </w:tc>
        <w:tc>
          <w:tcPr>
            <w:tcW w:w="1475" w:type="dxa"/>
            <w:shd w:val="clear" w:color="auto" w:fill="auto"/>
            <w:vAlign w:val="bottom"/>
          </w:tcPr>
          <w:p w14:paraId="09B744E6" w14:textId="77777777" w:rsidR="00E5109D" w:rsidRDefault="00E5109D" w:rsidP="00E4692A">
            <w:pPr>
              <w:pStyle w:val="Tabletext"/>
              <w:jc w:val="center"/>
            </w:pPr>
            <w:r w:rsidRPr="00487E6D">
              <w:t>13.1%</w:t>
            </w:r>
          </w:p>
        </w:tc>
        <w:tc>
          <w:tcPr>
            <w:tcW w:w="1475" w:type="dxa"/>
            <w:shd w:val="clear" w:color="auto" w:fill="auto"/>
            <w:vAlign w:val="bottom"/>
          </w:tcPr>
          <w:p w14:paraId="56DAD6B6" w14:textId="77777777" w:rsidR="00E5109D" w:rsidRDefault="00E5109D" w:rsidP="00E4692A">
            <w:pPr>
              <w:pStyle w:val="Tabletext"/>
              <w:jc w:val="center"/>
            </w:pPr>
            <w:r w:rsidRPr="00487E6D">
              <w:t>2.4%</w:t>
            </w:r>
          </w:p>
        </w:tc>
      </w:tr>
      <w:tr w:rsidR="00E5109D" w14:paraId="44EBF699" w14:textId="77777777">
        <w:trPr>
          <w:cantSplit/>
        </w:trPr>
        <w:tc>
          <w:tcPr>
            <w:tcW w:w="1474" w:type="dxa"/>
            <w:shd w:val="clear" w:color="auto" w:fill="auto"/>
            <w:vAlign w:val="bottom"/>
          </w:tcPr>
          <w:p w14:paraId="5CC6A84A" w14:textId="77777777" w:rsidR="00E5109D" w:rsidRDefault="00E5109D" w:rsidP="00E4692A">
            <w:pPr>
              <w:pStyle w:val="Tabletext"/>
            </w:pPr>
            <w:r>
              <w:t>Voluntary</w:t>
            </w:r>
            <w:r w:rsidRPr="00487E6D">
              <w:t xml:space="preserve"> Q4</w:t>
            </w:r>
          </w:p>
        </w:tc>
        <w:tc>
          <w:tcPr>
            <w:tcW w:w="1474" w:type="dxa"/>
            <w:shd w:val="clear" w:color="auto" w:fill="auto"/>
            <w:vAlign w:val="bottom"/>
          </w:tcPr>
          <w:p w14:paraId="4C331040" w14:textId="77777777" w:rsidR="00E5109D" w:rsidRDefault="00E5109D" w:rsidP="00E4692A">
            <w:pPr>
              <w:pStyle w:val="Tabletext"/>
              <w:jc w:val="center"/>
            </w:pPr>
            <w:r w:rsidRPr="00487E6D">
              <w:t>0.10</w:t>
            </w:r>
          </w:p>
        </w:tc>
        <w:tc>
          <w:tcPr>
            <w:tcW w:w="1474" w:type="dxa"/>
            <w:shd w:val="clear" w:color="auto" w:fill="auto"/>
            <w:vAlign w:val="bottom"/>
          </w:tcPr>
          <w:p w14:paraId="5E033A45" w14:textId="77777777" w:rsidR="00E5109D" w:rsidRDefault="00E5109D" w:rsidP="00E4692A">
            <w:pPr>
              <w:pStyle w:val="Tabletext"/>
              <w:jc w:val="center"/>
            </w:pPr>
            <w:r w:rsidRPr="00487E6D">
              <w:t>0.31</w:t>
            </w:r>
          </w:p>
        </w:tc>
        <w:tc>
          <w:tcPr>
            <w:tcW w:w="1475" w:type="dxa"/>
            <w:shd w:val="clear" w:color="auto" w:fill="auto"/>
            <w:vAlign w:val="bottom"/>
          </w:tcPr>
          <w:p w14:paraId="3CDF4CCC" w14:textId="77777777" w:rsidR="00E5109D" w:rsidRDefault="00E5109D" w:rsidP="00E4692A">
            <w:pPr>
              <w:pStyle w:val="Tabletext"/>
              <w:jc w:val="center"/>
            </w:pPr>
            <w:r w:rsidRPr="00487E6D">
              <w:t>5.5%</w:t>
            </w:r>
          </w:p>
        </w:tc>
        <w:tc>
          <w:tcPr>
            <w:tcW w:w="1475" w:type="dxa"/>
            <w:shd w:val="clear" w:color="auto" w:fill="auto"/>
            <w:vAlign w:val="bottom"/>
          </w:tcPr>
          <w:p w14:paraId="5D91FEE1" w14:textId="77777777" w:rsidR="00E5109D" w:rsidRDefault="00E5109D" w:rsidP="00E4692A">
            <w:pPr>
              <w:pStyle w:val="Tabletext"/>
              <w:jc w:val="center"/>
            </w:pPr>
            <w:r w:rsidRPr="00487E6D">
              <w:t>12.5%</w:t>
            </w:r>
          </w:p>
        </w:tc>
      </w:tr>
      <w:tr w:rsidR="00E5109D" w14:paraId="017615A6" w14:textId="77777777">
        <w:trPr>
          <w:cantSplit/>
        </w:trPr>
        <w:tc>
          <w:tcPr>
            <w:tcW w:w="1474" w:type="dxa"/>
            <w:shd w:val="clear" w:color="auto" w:fill="auto"/>
            <w:vAlign w:val="bottom"/>
          </w:tcPr>
          <w:p w14:paraId="2B6024E6" w14:textId="77777777" w:rsidR="00E5109D" w:rsidRDefault="00E5109D" w:rsidP="00E4692A">
            <w:pPr>
              <w:pStyle w:val="Tabletext"/>
            </w:pPr>
            <w:r>
              <w:t>Mandatory</w:t>
            </w:r>
            <w:r w:rsidRPr="00487E6D">
              <w:t xml:space="preserve"> Q1</w:t>
            </w:r>
          </w:p>
        </w:tc>
        <w:tc>
          <w:tcPr>
            <w:tcW w:w="1474" w:type="dxa"/>
            <w:shd w:val="clear" w:color="auto" w:fill="auto"/>
            <w:vAlign w:val="bottom"/>
          </w:tcPr>
          <w:p w14:paraId="227452D0" w14:textId="77777777" w:rsidR="00E5109D" w:rsidRDefault="00071414" w:rsidP="00E4692A">
            <w:pPr>
              <w:pStyle w:val="Tabletext"/>
              <w:jc w:val="center"/>
            </w:pPr>
            <w:proofErr w:type="spellStart"/>
            <w:r>
              <w:t>n.a</w:t>
            </w:r>
            <w:proofErr w:type="spellEnd"/>
            <w:r>
              <w:t>.</w:t>
            </w:r>
          </w:p>
        </w:tc>
        <w:tc>
          <w:tcPr>
            <w:tcW w:w="1474" w:type="dxa"/>
            <w:shd w:val="clear" w:color="auto" w:fill="auto"/>
            <w:vAlign w:val="bottom"/>
          </w:tcPr>
          <w:p w14:paraId="6399C56F" w14:textId="77777777" w:rsidR="00E5109D" w:rsidRDefault="00E5109D" w:rsidP="00E4692A">
            <w:pPr>
              <w:pStyle w:val="Tabletext"/>
              <w:jc w:val="center"/>
            </w:pPr>
            <w:r w:rsidRPr="00487E6D">
              <w:t>0.08</w:t>
            </w:r>
          </w:p>
        </w:tc>
        <w:tc>
          <w:tcPr>
            <w:tcW w:w="1475" w:type="dxa"/>
            <w:shd w:val="clear" w:color="auto" w:fill="auto"/>
            <w:vAlign w:val="bottom"/>
          </w:tcPr>
          <w:p w14:paraId="1D38254B" w14:textId="77777777" w:rsidR="00E5109D" w:rsidRDefault="00071414" w:rsidP="00E4692A">
            <w:pPr>
              <w:pStyle w:val="Tabletext"/>
              <w:jc w:val="center"/>
            </w:pPr>
            <w:proofErr w:type="spellStart"/>
            <w:r>
              <w:t>n.a</w:t>
            </w:r>
            <w:proofErr w:type="spellEnd"/>
            <w:r>
              <w:t>.</w:t>
            </w:r>
          </w:p>
        </w:tc>
        <w:tc>
          <w:tcPr>
            <w:tcW w:w="1475" w:type="dxa"/>
            <w:shd w:val="clear" w:color="auto" w:fill="auto"/>
            <w:vAlign w:val="bottom"/>
          </w:tcPr>
          <w:p w14:paraId="0DFB6C4A" w14:textId="77777777" w:rsidR="00E5109D" w:rsidRDefault="00E5109D" w:rsidP="00E4692A">
            <w:pPr>
              <w:pStyle w:val="Tabletext"/>
              <w:jc w:val="center"/>
            </w:pPr>
            <w:r w:rsidRPr="00487E6D">
              <w:t>1.8%</w:t>
            </w:r>
          </w:p>
        </w:tc>
      </w:tr>
      <w:tr w:rsidR="00E5109D" w14:paraId="221D0DCD" w14:textId="77777777">
        <w:trPr>
          <w:cantSplit/>
        </w:trPr>
        <w:tc>
          <w:tcPr>
            <w:tcW w:w="1474" w:type="dxa"/>
            <w:shd w:val="clear" w:color="auto" w:fill="auto"/>
            <w:vAlign w:val="bottom"/>
          </w:tcPr>
          <w:p w14:paraId="2A292EB7" w14:textId="77777777" w:rsidR="00E5109D" w:rsidRDefault="00E5109D" w:rsidP="00E4692A">
            <w:pPr>
              <w:pStyle w:val="Tabletext"/>
            </w:pPr>
            <w:r>
              <w:t>Mandatory</w:t>
            </w:r>
            <w:r w:rsidRPr="00487E6D">
              <w:t xml:space="preserve"> Q2</w:t>
            </w:r>
          </w:p>
        </w:tc>
        <w:tc>
          <w:tcPr>
            <w:tcW w:w="1474" w:type="dxa"/>
            <w:shd w:val="clear" w:color="auto" w:fill="auto"/>
            <w:vAlign w:val="bottom"/>
          </w:tcPr>
          <w:p w14:paraId="08F1D8CF" w14:textId="77777777" w:rsidR="00E5109D" w:rsidRDefault="00071414" w:rsidP="00E4692A">
            <w:pPr>
              <w:pStyle w:val="Tabletext"/>
              <w:jc w:val="center"/>
            </w:pPr>
            <w:proofErr w:type="spellStart"/>
            <w:r>
              <w:t>n.a</w:t>
            </w:r>
            <w:proofErr w:type="spellEnd"/>
            <w:r>
              <w:t>.</w:t>
            </w:r>
          </w:p>
        </w:tc>
        <w:tc>
          <w:tcPr>
            <w:tcW w:w="1474" w:type="dxa"/>
            <w:shd w:val="clear" w:color="auto" w:fill="auto"/>
            <w:vAlign w:val="bottom"/>
          </w:tcPr>
          <w:p w14:paraId="41173043" w14:textId="77777777" w:rsidR="00E5109D" w:rsidRDefault="00E5109D" w:rsidP="00E4692A">
            <w:pPr>
              <w:pStyle w:val="Tabletext"/>
              <w:jc w:val="center"/>
            </w:pPr>
            <w:r w:rsidRPr="00487E6D">
              <w:t>0.12</w:t>
            </w:r>
          </w:p>
        </w:tc>
        <w:tc>
          <w:tcPr>
            <w:tcW w:w="1475" w:type="dxa"/>
            <w:shd w:val="clear" w:color="auto" w:fill="auto"/>
            <w:vAlign w:val="bottom"/>
          </w:tcPr>
          <w:p w14:paraId="31A35F3B" w14:textId="77777777" w:rsidR="00E5109D" w:rsidRDefault="00071414" w:rsidP="00E4692A">
            <w:pPr>
              <w:pStyle w:val="Tabletext"/>
              <w:jc w:val="center"/>
            </w:pPr>
            <w:proofErr w:type="spellStart"/>
            <w:r>
              <w:t>n.a</w:t>
            </w:r>
            <w:proofErr w:type="spellEnd"/>
            <w:r>
              <w:t>.</w:t>
            </w:r>
          </w:p>
        </w:tc>
        <w:tc>
          <w:tcPr>
            <w:tcW w:w="1475" w:type="dxa"/>
            <w:shd w:val="clear" w:color="auto" w:fill="auto"/>
            <w:vAlign w:val="bottom"/>
          </w:tcPr>
          <w:p w14:paraId="63893758" w14:textId="77777777" w:rsidR="00E5109D" w:rsidRDefault="00E5109D" w:rsidP="00E4692A">
            <w:pPr>
              <w:pStyle w:val="Tabletext"/>
              <w:jc w:val="center"/>
            </w:pPr>
            <w:r w:rsidRPr="00487E6D">
              <w:t>3.9%</w:t>
            </w:r>
          </w:p>
        </w:tc>
      </w:tr>
      <w:tr w:rsidR="00E5109D" w14:paraId="39D5C2FF" w14:textId="77777777">
        <w:trPr>
          <w:cantSplit/>
        </w:trPr>
        <w:tc>
          <w:tcPr>
            <w:tcW w:w="1474" w:type="dxa"/>
            <w:shd w:val="clear" w:color="auto" w:fill="auto"/>
            <w:vAlign w:val="bottom"/>
          </w:tcPr>
          <w:p w14:paraId="4FA73B5A" w14:textId="77777777" w:rsidR="00E5109D" w:rsidRDefault="00E5109D" w:rsidP="00E4692A">
            <w:pPr>
              <w:pStyle w:val="Tabletext"/>
            </w:pPr>
            <w:r>
              <w:t>Mandatory</w:t>
            </w:r>
            <w:r w:rsidRPr="00487E6D">
              <w:t xml:space="preserve"> Q3</w:t>
            </w:r>
          </w:p>
        </w:tc>
        <w:tc>
          <w:tcPr>
            <w:tcW w:w="1474" w:type="dxa"/>
            <w:shd w:val="clear" w:color="auto" w:fill="auto"/>
            <w:vAlign w:val="bottom"/>
          </w:tcPr>
          <w:p w14:paraId="5D9CC947" w14:textId="77777777" w:rsidR="00E5109D" w:rsidRDefault="00071414" w:rsidP="00E4692A">
            <w:pPr>
              <w:pStyle w:val="Tabletext"/>
              <w:jc w:val="center"/>
            </w:pPr>
            <w:proofErr w:type="spellStart"/>
            <w:r>
              <w:t>n.a</w:t>
            </w:r>
            <w:proofErr w:type="spellEnd"/>
            <w:r>
              <w:t>.</w:t>
            </w:r>
          </w:p>
        </w:tc>
        <w:tc>
          <w:tcPr>
            <w:tcW w:w="1474" w:type="dxa"/>
            <w:shd w:val="clear" w:color="auto" w:fill="auto"/>
            <w:vAlign w:val="bottom"/>
          </w:tcPr>
          <w:p w14:paraId="62E2A3F9" w14:textId="77777777" w:rsidR="00E5109D" w:rsidRDefault="00E5109D" w:rsidP="00E4692A">
            <w:pPr>
              <w:pStyle w:val="Tabletext"/>
              <w:jc w:val="center"/>
            </w:pPr>
            <w:r w:rsidRPr="00487E6D">
              <w:t>0.26</w:t>
            </w:r>
          </w:p>
        </w:tc>
        <w:tc>
          <w:tcPr>
            <w:tcW w:w="1475" w:type="dxa"/>
            <w:shd w:val="clear" w:color="auto" w:fill="auto"/>
            <w:vAlign w:val="bottom"/>
          </w:tcPr>
          <w:p w14:paraId="2BB978FA" w14:textId="77777777" w:rsidR="00E5109D" w:rsidRDefault="00071414" w:rsidP="00E4692A">
            <w:pPr>
              <w:pStyle w:val="Tabletext"/>
              <w:jc w:val="center"/>
            </w:pPr>
            <w:proofErr w:type="spellStart"/>
            <w:r>
              <w:t>n.a</w:t>
            </w:r>
            <w:proofErr w:type="spellEnd"/>
            <w:r>
              <w:t>.</w:t>
            </w:r>
          </w:p>
        </w:tc>
        <w:tc>
          <w:tcPr>
            <w:tcW w:w="1475" w:type="dxa"/>
            <w:shd w:val="clear" w:color="auto" w:fill="auto"/>
            <w:vAlign w:val="bottom"/>
          </w:tcPr>
          <w:p w14:paraId="0562C96B" w14:textId="77777777" w:rsidR="00E5109D" w:rsidRDefault="00E5109D" w:rsidP="00E4692A">
            <w:pPr>
              <w:pStyle w:val="Tabletext"/>
              <w:jc w:val="center"/>
            </w:pPr>
            <w:r w:rsidRPr="00487E6D">
              <w:t>11.5%</w:t>
            </w:r>
          </w:p>
        </w:tc>
      </w:tr>
      <w:tr w:rsidR="00E5109D" w14:paraId="71D0BD55" w14:textId="77777777">
        <w:trPr>
          <w:cantSplit/>
        </w:trPr>
        <w:tc>
          <w:tcPr>
            <w:tcW w:w="1474" w:type="dxa"/>
            <w:tcBorders>
              <w:bottom w:val="single" w:sz="2" w:space="0" w:color="C0C0C0"/>
            </w:tcBorders>
            <w:shd w:val="clear" w:color="auto" w:fill="auto"/>
            <w:vAlign w:val="bottom"/>
          </w:tcPr>
          <w:p w14:paraId="58A68228" w14:textId="77777777" w:rsidR="00E5109D" w:rsidRDefault="00E5109D" w:rsidP="00E4692A">
            <w:pPr>
              <w:pStyle w:val="Tabletext"/>
            </w:pPr>
            <w:r>
              <w:t>Mandatory</w:t>
            </w:r>
            <w:r w:rsidRPr="00487E6D">
              <w:t xml:space="preserve"> Q4</w:t>
            </w:r>
          </w:p>
        </w:tc>
        <w:tc>
          <w:tcPr>
            <w:tcW w:w="1474" w:type="dxa"/>
            <w:tcBorders>
              <w:bottom w:val="single" w:sz="2" w:space="0" w:color="C0C0C0"/>
            </w:tcBorders>
            <w:shd w:val="clear" w:color="auto" w:fill="auto"/>
            <w:vAlign w:val="bottom"/>
          </w:tcPr>
          <w:p w14:paraId="06DC2A5A" w14:textId="77777777" w:rsidR="00E5109D" w:rsidRDefault="00071414" w:rsidP="00E4692A">
            <w:pPr>
              <w:pStyle w:val="Tabletext"/>
              <w:jc w:val="center"/>
            </w:pPr>
            <w:proofErr w:type="spellStart"/>
            <w:r>
              <w:t>n.a</w:t>
            </w:r>
            <w:proofErr w:type="spellEnd"/>
            <w:r>
              <w:t>.</w:t>
            </w:r>
          </w:p>
        </w:tc>
        <w:tc>
          <w:tcPr>
            <w:tcW w:w="1474" w:type="dxa"/>
            <w:tcBorders>
              <w:bottom w:val="single" w:sz="2" w:space="0" w:color="C0C0C0"/>
            </w:tcBorders>
            <w:shd w:val="clear" w:color="auto" w:fill="auto"/>
            <w:vAlign w:val="bottom"/>
          </w:tcPr>
          <w:p w14:paraId="47516ECD" w14:textId="77777777" w:rsidR="00E5109D" w:rsidRDefault="00E5109D" w:rsidP="00E4692A">
            <w:pPr>
              <w:pStyle w:val="Tabletext"/>
              <w:jc w:val="center"/>
            </w:pPr>
            <w:r w:rsidRPr="00487E6D">
              <w:t>0.67</w:t>
            </w:r>
          </w:p>
        </w:tc>
        <w:tc>
          <w:tcPr>
            <w:tcW w:w="1475" w:type="dxa"/>
            <w:tcBorders>
              <w:bottom w:val="single" w:sz="2" w:space="0" w:color="C0C0C0"/>
            </w:tcBorders>
            <w:shd w:val="clear" w:color="auto" w:fill="auto"/>
            <w:vAlign w:val="bottom"/>
          </w:tcPr>
          <w:p w14:paraId="1A14797B" w14:textId="77777777" w:rsidR="00E5109D" w:rsidRDefault="00071414" w:rsidP="00E4692A">
            <w:pPr>
              <w:pStyle w:val="Tabletext"/>
              <w:jc w:val="center"/>
            </w:pPr>
            <w:proofErr w:type="spellStart"/>
            <w:r>
              <w:t>n.a</w:t>
            </w:r>
            <w:proofErr w:type="spellEnd"/>
            <w:r>
              <w:t>.</w:t>
            </w:r>
          </w:p>
        </w:tc>
        <w:tc>
          <w:tcPr>
            <w:tcW w:w="1475" w:type="dxa"/>
            <w:tcBorders>
              <w:bottom w:val="single" w:sz="2" w:space="0" w:color="C0C0C0"/>
            </w:tcBorders>
            <w:shd w:val="clear" w:color="auto" w:fill="auto"/>
            <w:vAlign w:val="bottom"/>
          </w:tcPr>
          <w:p w14:paraId="1E851058" w14:textId="77777777" w:rsidR="00E5109D" w:rsidRDefault="00E5109D" w:rsidP="00E4692A">
            <w:pPr>
              <w:pStyle w:val="Tabletext"/>
              <w:jc w:val="center"/>
            </w:pPr>
            <w:r w:rsidRPr="00487E6D">
              <w:t>56.0%</w:t>
            </w:r>
          </w:p>
        </w:tc>
      </w:tr>
      <w:tr w:rsidR="00E5109D" w14:paraId="747C41B4" w14:textId="77777777">
        <w:trPr>
          <w:cantSplit/>
        </w:trPr>
        <w:tc>
          <w:tcPr>
            <w:tcW w:w="1474" w:type="dxa"/>
            <w:tcBorders>
              <w:top w:val="single" w:sz="2" w:space="0" w:color="C0C0C0"/>
              <w:bottom w:val="single" w:sz="2" w:space="0" w:color="999999"/>
            </w:tcBorders>
            <w:shd w:val="clear" w:color="auto" w:fill="auto"/>
            <w:vAlign w:val="bottom"/>
          </w:tcPr>
          <w:p w14:paraId="6FFC5D03" w14:textId="77777777" w:rsidR="00E5109D" w:rsidRPr="00071414" w:rsidRDefault="00E5109D" w:rsidP="00E4692A">
            <w:pPr>
              <w:pStyle w:val="Tabletext"/>
              <w:rPr>
                <w:b/>
              </w:rPr>
            </w:pPr>
            <w:r w:rsidRPr="00071414">
              <w:rPr>
                <w:b/>
              </w:rPr>
              <w:t>All</w:t>
            </w:r>
          </w:p>
        </w:tc>
        <w:tc>
          <w:tcPr>
            <w:tcW w:w="1474" w:type="dxa"/>
            <w:tcBorders>
              <w:top w:val="single" w:sz="2" w:space="0" w:color="C0C0C0"/>
              <w:bottom w:val="single" w:sz="2" w:space="0" w:color="999999"/>
            </w:tcBorders>
            <w:shd w:val="clear" w:color="auto" w:fill="auto"/>
            <w:vAlign w:val="bottom"/>
          </w:tcPr>
          <w:p w14:paraId="3F893519" w14:textId="77777777" w:rsidR="00E5109D" w:rsidRPr="00071414" w:rsidRDefault="00E5109D" w:rsidP="00E4692A">
            <w:pPr>
              <w:pStyle w:val="Tabletext"/>
              <w:jc w:val="center"/>
              <w:rPr>
                <w:b/>
              </w:rPr>
            </w:pPr>
            <w:r w:rsidRPr="00071414">
              <w:rPr>
                <w:b/>
              </w:rPr>
              <w:t>0.29</w:t>
            </w:r>
          </w:p>
        </w:tc>
        <w:tc>
          <w:tcPr>
            <w:tcW w:w="1474" w:type="dxa"/>
            <w:tcBorders>
              <w:top w:val="single" w:sz="2" w:space="0" w:color="C0C0C0"/>
              <w:bottom w:val="single" w:sz="2" w:space="0" w:color="999999"/>
            </w:tcBorders>
            <w:shd w:val="clear" w:color="auto" w:fill="auto"/>
            <w:vAlign w:val="bottom"/>
          </w:tcPr>
          <w:p w14:paraId="0DC6E769" w14:textId="77777777" w:rsidR="00E5109D" w:rsidRPr="00071414" w:rsidRDefault="00E5109D" w:rsidP="00E4692A">
            <w:pPr>
              <w:pStyle w:val="Tabletext"/>
              <w:jc w:val="center"/>
              <w:rPr>
                <w:b/>
              </w:rPr>
            </w:pPr>
            <w:r w:rsidRPr="00071414">
              <w:rPr>
                <w:b/>
              </w:rPr>
              <w:t>0.16</w:t>
            </w:r>
          </w:p>
        </w:tc>
        <w:tc>
          <w:tcPr>
            <w:tcW w:w="1475" w:type="dxa"/>
            <w:tcBorders>
              <w:top w:val="single" w:sz="2" w:space="0" w:color="C0C0C0"/>
              <w:bottom w:val="single" w:sz="2" w:space="0" w:color="999999"/>
            </w:tcBorders>
            <w:shd w:val="clear" w:color="auto" w:fill="auto"/>
            <w:vAlign w:val="bottom"/>
          </w:tcPr>
          <w:p w14:paraId="22A86D21" w14:textId="77777777" w:rsidR="00E5109D" w:rsidRPr="00071414" w:rsidRDefault="00E5109D" w:rsidP="00E4692A">
            <w:pPr>
              <w:pStyle w:val="Tabletext"/>
              <w:jc w:val="center"/>
              <w:rPr>
                <w:b/>
              </w:rPr>
            </w:pPr>
            <w:r w:rsidRPr="00071414">
              <w:rPr>
                <w:b/>
              </w:rPr>
              <w:t>11.1%</w:t>
            </w:r>
          </w:p>
        </w:tc>
        <w:tc>
          <w:tcPr>
            <w:tcW w:w="1475" w:type="dxa"/>
            <w:tcBorders>
              <w:top w:val="single" w:sz="2" w:space="0" w:color="C0C0C0"/>
              <w:bottom w:val="single" w:sz="2" w:space="0" w:color="999999"/>
            </w:tcBorders>
            <w:shd w:val="clear" w:color="auto" w:fill="auto"/>
            <w:vAlign w:val="bottom"/>
          </w:tcPr>
          <w:p w14:paraId="326F577E" w14:textId="77777777" w:rsidR="00E5109D" w:rsidRPr="00071414" w:rsidRDefault="00E5109D" w:rsidP="00E4692A">
            <w:pPr>
              <w:pStyle w:val="Tabletext"/>
              <w:jc w:val="center"/>
              <w:rPr>
                <w:b/>
              </w:rPr>
            </w:pPr>
            <w:r w:rsidRPr="00071414">
              <w:rPr>
                <w:b/>
              </w:rPr>
              <w:t>4.5%</w:t>
            </w:r>
          </w:p>
        </w:tc>
      </w:tr>
    </w:tbl>
    <w:p w14:paraId="5DF19ACA" w14:textId="77777777" w:rsidR="00E5109D" w:rsidRDefault="00E5109D" w:rsidP="00E5109D">
      <w:pPr>
        <w:pStyle w:val="Note"/>
      </w:pPr>
      <w:r w:rsidRPr="00487E6D">
        <w:rPr>
          <w:rStyle w:val="Notelabel"/>
        </w:rPr>
        <w:t>a</w:t>
      </w:r>
      <w:r w:rsidRPr="00231FD8">
        <w:t xml:space="preserve"> </w:t>
      </w:r>
      <w:r>
        <w:t>Pre-CBD growth rate defined as compound annual growth rate from 2006 to 2009</w:t>
      </w:r>
      <w:r w:rsidR="00302330">
        <w:t>.</w:t>
      </w:r>
    </w:p>
    <w:p w14:paraId="18CC0FBA" w14:textId="77777777" w:rsidR="00E5109D" w:rsidRDefault="00E5109D" w:rsidP="00E5109D">
      <w:pPr>
        <w:pStyle w:val="Note"/>
      </w:pPr>
      <w:r>
        <w:rPr>
          <w:rStyle w:val="Notelabel"/>
        </w:rPr>
        <w:t>b</w:t>
      </w:r>
      <w:r w:rsidRPr="0095682B">
        <w:t xml:space="preserve"> </w:t>
      </w:r>
      <w:r>
        <w:t>Post-CBD growth rate defined as compound annual growth rate from 2011 to 2014</w:t>
      </w:r>
      <w:r w:rsidR="00302330">
        <w:t>.</w:t>
      </w:r>
    </w:p>
    <w:p w14:paraId="67840BF7" w14:textId="77777777" w:rsidR="00E5109D" w:rsidRDefault="00E5109D" w:rsidP="00E5109D">
      <w:pPr>
        <w:pStyle w:val="Note"/>
      </w:pPr>
      <w:r w:rsidRPr="00487E6D">
        <w:rPr>
          <w:i/>
        </w:rPr>
        <w:t>Note:</w:t>
      </w:r>
      <w:r w:rsidRPr="00231FD8">
        <w:t xml:space="preserve"> </w:t>
      </w:r>
      <w:r>
        <w:t>No pre-CBD growth rate for mandatory segments as buildings in this group were not rating</w:t>
      </w:r>
      <w:r w:rsidR="00DC54D4">
        <w:t>.</w:t>
      </w:r>
    </w:p>
    <w:p w14:paraId="4FCBE1D0" w14:textId="77777777" w:rsidR="00E5109D" w:rsidRPr="00A31DAB" w:rsidRDefault="00E5109D" w:rsidP="00E5109D">
      <w:pPr>
        <w:pStyle w:val="Source"/>
      </w:pPr>
      <w:r>
        <w:t>S</w:t>
      </w:r>
      <w:r w:rsidRPr="00B50A1B">
        <w:t>ource:</w:t>
      </w:r>
      <w:r w:rsidRPr="00954EED">
        <w:t xml:space="preserve"> </w:t>
      </w:r>
      <w:r>
        <w:t>ACIL Allen analysis of NABERS data</w:t>
      </w:r>
    </w:p>
    <w:p w14:paraId="5BA2D5A8" w14:textId="77777777" w:rsidR="00071414" w:rsidRDefault="003346C7" w:rsidP="00071414">
      <w:pPr>
        <w:pStyle w:val="BodyText"/>
      </w:pPr>
      <w:r>
        <w:fldChar w:fldCharType="begin"/>
      </w:r>
      <w:r>
        <w:instrText xml:space="preserve"> REF _Ref407011750 \h  \* MERGEFORMAT </w:instrText>
      </w:r>
      <w:r>
        <w:fldChar w:fldCharType="separate"/>
      </w:r>
      <w:r w:rsidR="006A273E">
        <w:t xml:space="preserve">Figure </w:t>
      </w:r>
      <w:r w:rsidR="006A273E">
        <w:rPr>
          <w:noProof/>
        </w:rPr>
        <w:t>13</w:t>
      </w:r>
      <w:r>
        <w:fldChar w:fldCharType="end"/>
      </w:r>
      <w:r w:rsidR="00071414" w:rsidRPr="00487E6D">
        <w:t xml:space="preserve"> and </w:t>
      </w:r>
      <w:r>
        <w:fldChar w:fldCharType="begin"/>
      </w:r>
      <w:r>
        <w:instrText xml:space="preserve"> REF _Ref407011829 \h  \* MERGEFORMAT </w:instrText>
      </w:r>
      <w:r>
        <w:fldChar w:fldCharType="separate"/>
      </w:r>
      <w:r w:rsidR="006A273E">
        <w:t>Table 8</w:t>
      </w:r>
      <w:r>
        <w:fldChar w:fldCharType="end"/>
      </w:r>
      <w:r w:rsidR="00071414">
        <w:t xml:space="preserve"> show the trend in average energy intensity by segment between 2006 and 2014.</w:t>
      </w:r>
    </w:p>
    <w:p w14:paraId="10EB79DB" w14:textId="77777777" w:rsidR="00E5109D" w:rsidRDefault="00E5109D" w:rsidP="00E5109D">
      <w:pPr>
        <w:pStyle w:val="Caption"/>
      </w:pPr>
      <w:bookmarkStart w:id="175" w:name="_Ref407011750"/>
      <w:bookmarkStart w:id="176" w:name="_Toc415660958"/>
      <w:r>
        <w:t xml:space="preserve">Figure </w:t>
      </w:r>
      <w:r w:rsidR="00492194">
        <w:fldChar w:fldCharType="begin"/>
      </w:r>
      <w:r w:rsidR="0044208C">
        <w:instrText xml:space="preserve"> SEQ Figure \* ARABIC </w:instrText>
      </w:r>
      <w:r w:rsidR="00492194">
        <w:fldChar w:fldCharType="separate"/>
      </w:r>
      <w:r w:rsidR="006A273E">
        <w:rPr>
          <w:noProof/>
        </w:rPr>
        <w:t>13</w:t>
      </w:r>
      <w:r w:rsidR="00492194">
        <w:rPr>
          <w:noProof/>
        </w:rPr>
        <w:fldChar w:fldCharType="end"/>
      </w:r>
      <w:bookmarkEnd w:id="175"/>
      <w:r w:rsidRPr="004E0C91">
        <w:rPr>
          <w:b/>
          <w:color w:val="000080"/>
        </w:rPr>
        <w:tab/>
      </w:r>
      <w:r>
        <w:rPr>
          <w:b/>
          <w:color w:val="000000" w:themeColor="text1"/>
        </w:rPr>
        <w:t>Average annual energy intensity by segment</w:t>
      </w:r>
      <w:bookmarkEnd w:id="176"/>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E5109D" w14:paraId="26BD03BA" w14:textId="77777777">
        <w:trPr>
          <w:cantSplit/>
        </w:trPr>
        <w:tc>
          <w:tcPr>
            <w:tcW w:w="5000" w:type="pct"/>
          </w:tcPr>
          <w:p w14:paraId="34AE88A5" w14:textId="77777777" w:rsidR="00E5109D" w:rsidRDefault="00E5109D" w:rsidP="00E4692A">
            <w:pPr>
              <w:pStyle w:val="SmallDeltasRightAligned"/>
              <w:keepNext/>
            </w:pPr>
            <w:r>
              <w:rPr>
                <w:noProof/>
                <w:lang w:eastAsia="en-AU"/>
              </w:rPr>
              <w:drawing>
                <wp:inline distT="0" distB="0" distL="0" distR="0" wp14:anchorId="653402A4" wp14:editId="55A778C9">
                  <wp:extent cx="481585" cy="234696"/>
                  <wp:effectExtent l="0" t="0" r="0" b="0"/>
                  <wp:docPr id="12" name="Picture 12"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E5109D" w14:paraId="3178BD51" w14:textId="77777777">
        <w:trPr>
          <w:cantSplit/>
        </w:trPr>
        <w:tc>
          <w:tcPr>
            <w:tcW w:w="5000" w:type="pct"/>
          </w:tcPr>
          <w:p w14:paraId="3C44AB9F" w14:textId="77777777" w:rsidR="00E5109D" w:rsidRDefault="00E5109D" w:rsidP="00E4692A">
            <w:pPr>
              <w:pStyle w:val="Figure"/>
            </w:pPr>
            <w:r w:rsidRPr="00221096">
              <w:rPr>
                <w:noProof/>
                <w:lang w:eastAsia="en-AU"/>
              </w:rPr>
              <w:drawing>
                <wp:inline distT="0" distB="0" distL="0" distR="0" wp14:anchorId="61103013" wp14:editId="58CC102D">
                  <wp:extent cx="4680585" cy="3274695"/>
                  <wp:effectExtent l="0" t="0" r="5715" b="1905"/>
                  <wp:docPr id="13" name="Chart 13" descr="Average annual energy intensity by segment" title="Average annual energy intensity by seg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00039C01" w14:textId="77777777" w:rsidR="00E5109D" w:rsidRPr="00B50A1B" w:rsidRDefault="00E5109D" w:rsidP="00E5109D">
      <w:pPr>
        <w:pStyle w:val="Source"/>
        <w:rPr>
          <w:i/>
        </w:rPr>
      </w:pPr>
      <w:r>
        <w:t>S</w:t>
      </w:r>
      <w:r w:rsidRPr="00B50A1B">
        <w:t>ource:</w:t>
      </w:r>
      <w:r w:rsidRPr="00954EED">
        <w:t xml:space="preserve"> </w:t>
      </w:r>
      <w:r>
        <w:t>ACIL Allen analysis of NABERS data</w:t>
      </w:r>
    </w:p>
    <w:p w14:paraId="25848218" w14:textId="77777777" w:rsidR="00E5109D" w:rsidRDefault="00E5109D" w:rsidP="00E5109D">
      <w:pPr>
        <w:pStyle w:val="Caption"/>
      </w:pPr>
      <w:bookmarkStart w:id="177" w:name="_Ref407011829"/>
      <w:bookmarkStart w:id="178" w:name="_Toc415661015"/>
      <w:r>
        <w:lastRenderedPageBreak/>
        <w:t xml:space="preserve">Table </w:t>
      </w:r>
      <w:r w:rsidR="00366ADF">
        <w:fldChar w:fldCharType="begin"/>
      </w:r>
      <w:r w:rsidR="00366ADF">
        <w:instrText xml:space="preserve"> SEQ Table \* MERGEFORMAT </w:instrText>
      </w:r>
      <w:r w:rsidR="00366ADF">
        <w:fldChar w:fldCharType="separate"/>
      </w:r>
      <w:r w:rsidR="006A273E">
        <w:rPr>
          <w:noProof/>
        </w:rPr>
        <w:t>8</w:t>
      </w:r>
      <w:r w:rsidR="00366ADF">
        <w:rPr>
          <w:noProof/>
        </w:rPr>
        <w:fldChar w:fldCharType="end"/>
      </w:r>
      <w:bookmarkEnd w:id="177"/>
      <w:r w:rsidRPr="0095682B">
        <w:rPr>
          <w:b/>
          <w:color w:val="000000"/>
        </w:rPr>
        <w:tab/>
      </w:r>
      <w:r>
        <w:rPr>
          <w:b/>
          <w:color w:val="000000"/>
        </w:rPr>
        <w:t>Reductions in energy intensity by segment</w:t>
      </w:r>
      <w:bookmarkEnd w:id="178"/>
    </w:p>
    <w:tbl>
      <w:tblPr>
        <w:tblW w:w="7372" w:type="dxa"/>
        <w:tblInd w:w="28"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1474"/>
        <w:gridCol w:w="1474"/>
        <w:gridCol w:w="1474"/>
        <w:gridCol w:w="1475"/>
        <w:gridCol w:w="1475"/>
      </w:tblGrid>
      <w:tr w:rsidR="00E5109D" w14:paraId="5A6D51FF" w14:textId="77777777">
        <w:trPr>
          <w:cantSplit/>
        </w:trPr>
        <w:tc>
          <w:tcPr>
            <w:tcW w:w="1474" w:type="dxa"/>
            <w:tcBorders>
              <w:top w:val="nil"/>
              <w:bottom w:val="single" w:sz="2" w:space="0" w:color="C0C0C0"/>
            </w:tcBorders>
            <w:shd w:val="solid" w:color="9757A6" w:fill="auto"/>
            <w:vAlign w:val="center"/>
          </w:tcPr>
          <w:p w14:paraId="677FA13E" w14:textId="77777777" w:rsidR="00E5109D" w:rsidRDefault="00E5109D" w:rsidP="00E4692A">
            <w:pPr>
              <w:pStyle w:val="Tablecolumnheadings"/>
            </w:pPr>
            <w:r>
              <w:t>Segment</w:t>
            </w:r>
          </w:p>
        </w:tc>
        <w:tc>
          <w:tcPr>
            <w:tcW w:w="1474" w:type="dxa"/>
            <w:tcBorders>
              <w:top w:val="nil"/>
              <w:bottom w:val="single" w:sz="2" w:space="0" w:color="C0C0C0"/>
            </w:tcBorders>
            <w:shd w:val="solid" w:color="9757A6" w:fill="auto"/>
            <w:vAlign w:val="center"/>
          </w:tcPr>
          <w:p w14:paraId="2659BCFA" w14:textId="77777777" w:rsidR="00E5109D" w:rsidRDefault="00E5109D" w:rsidP="00E4692A">
            <w:pPr>
              <w:pStyle w:val="Tablecolumnheadings"/>
              <w:jc w:val="center"/>
            </w:pPr>
            <w:r>
              <w:t>Pre-</w:t>
            </w:r>
            <w:proofErr w:type="spellStart"/>
            <w:r>
              <w:t>CBD</w:t>
            </w:r>
            <w:r w:rsidRPr="0095682B">
              <w:rPr>
                <w:vertAlign w:val="superscript"/>
              </w:rPr>
              <w:t>a</w:t>
            </w:r>
            <w:proofErr w:type="spellEnd"/>
          </w:p>
        </w:tc>
        <w:tc>
          <w:tcPr>
            <w:tcW w:w="1474" w:type="dxa"/>
            <w:tcBorders>
              <w:top w:val="nil"/>
              <w:bottom w:val="single" w:sz="2" w:space="0" w:color="C0C0C0"/>
            </w:tcBorders>
            <w:shd w:val="solid" w:color="9757A6" w:fill="auto"/>
            <w:vAlign w:val="center"/>
          </w:tcPr>
          <w:p w14:paraId="5BB37EC3" w14:textId="77777777" w:rsidR="00E5109D" w:rsidRDefault="00E5109D" w:rsidP="00E4692A">
            <w:pPr>
              <w:pStyle w:val="Tablecolumnheadings"/>
              <w:jc w:val="center"/>
            </w:pPr>
            <w:r>
              <w:t>Post-</w:t>
            </w:r>
            <w:proofErr w:type="spellStart"/>
            <w:r>
              <w:t>CBD</w:t>
            </w:r>
            <w:r>
              <w:rPr>
                <w:vertAlign w:val="superscript"/>
              </w:rPr>
              <w:t>b</w:t>
            </w:r>
            <w:proofErr w:type="spellEnd"/>
          </w:p>
        </w:tc>
        <w:tc>
          <w:tcPr>
            <w:tcW w:w="1475" w:type="dxa"/>
            <w:tcBorders>
              <w:top w:val="nil"/>
              <w:bottom w:val="single" w:sz="2" w:space="0" w:color="C0C0C0"/>
            </w:tcBorders>
            <w:shd w:val="solid" w:color="9757A6" w:fill="auto"/>
            <w:vAlign w:val="center"/>
          </w:tcPr>
          <w:p w14:paraId="1012E4AC" w14:textId="77777777" w:rsidR="00E5109D" w:rsidRDefault="00E5109D" w:rsidP="00E4692A">
            <w:pPr>
              <w:pStyle w:val="Tablecolumnheadings"/>
              <w:jc w:val="center"/>
            </w:pPr>
            <w:r>
              <w:t>Pre-</w:t>
            </w:r>
            <w:proofErr w:type="spellStart"/>
            <w:r>
              <w:t>CBD</w:t>
            </w:r>
            <w:r w:rsidRPr="0095682B">
              <w:rPr>
                <w:vertAlign w:val="superscript"/>
              </w:rPr>
              <w:t>a</w:t>
            </w:r>
            <w:proofErr w:type="spellEnd"/>
          </w:p>
        </w:tc>
        <w:tc>
          <w:tcPr>
            <w:tcW w:w="1475" w:type="dxa"/>
            <w:tcBorders>
              <w:top w:val="nil"/>
              <w:bottom w:val="single" w:sz="2" w:space="0" w:color="C0C0C0"/>
            </w:tcBorders>
            <w:shd w:val="solid" w:color="9757A6" w:fill="auto"/>
            <w:vAlign w:val="center"/>
          </w:tcPr>
          <w:p w14:paraId="3FDB4831" w14:textId="77777777" w:rsidR="00E5109D" w:rsidRDefault="00E5109D" w:rsidP="00E4692A">
            <w:pPr>
              <w:pStyle w:val="Tablecolumnheadings"/>
              <w:jc w:val="center"/>
            </w:pPr>
            <w:r>
              <w:t>Post-</w:t>
            </w:r>
            <w:proofErr w:type="spellStart"/>
            <w:r>
              <w:t>CBD</w:t>
            </w:r>
            <w:r>
              <w:rPr>
                <w:vertAlign w:val="superscript"/>
              </w:rPr>
              <w:t>b</w:t>
            </w:r>
            <w:proofErr w:type="spellEnd"/>
          </w:p>
        </w:tc>
      </w:tr>
      <w:tr w:rsidR="00E5109D" w14:paraId="11457982" w14:textId="77777777">
        <w:trPr>
          <w:cantSplit/>
        </w:trPr>
        <w:tc>
          <w:tcPr>
            <w:tcW w:w="1474" w:type="dxa"/>
            <w:tcBorders>
              <w:top w:val="single" w:sz="2" w:space="0" w:color="C0C0C0"/>
            </w:tcBorders>
            <w:shd w:val="solid" w:color="E6E6E6" w:fill="auto"/>
            <w:vAlign w:val="center"/>
          </w:tcPr>
          <w:p w14:paraId="2EEF8771" w14:textId="77777777" w:rsidR="00E5109D" w:rsidRDefault="00E5109D" w:rsidP="00E4692A">
            <w:pPr>
              <w:pStyle w:val="Tableunitsrow"/>
            </w:pPr>
          </w:p>
        </w:tc>
        <w:tc>
          <w:tcPr>
            <w:tcW w:w="1474" w:type="dxa"/>
            <w:tcBorders>
              <w:top w:val="single" w:sz="2" w:space="0" w:color="C0C0C0"/>
            </w:tcBorders>
            <w:shd w:val="solid" w:color="E6E6E6" w:fill="auto"/>
            <w:vAlign w:val="center"/>
          </w:tcPr>
          <w:p w14:paraId="362BD1CB" w14:textId="77777777" w:rsidR="00E5109D" w:rsidRDefault="00E5109D" w:rsidP="00E4692A">
            <w:pPr>
              <w:pStyle w:val="Tableunitsrow"/>
              <w:jc w:val="center"/>
            </w:pPr>
            <w:r>
              <w:t>MJ/m</w:t>
            </w:r>
            <w:r w:rsidRPr="00487E6D">
              <w:rPr>
                <w:vertAlign w:val="superscript"/>
              </w:rPr>
              <w:t>2</w:t>
            </w:r>
            <w:r>
              <w:t xml:space="preserve"> / year</w:t>
            </w:r>
          </w:p>
        </w:tc>
        <w:tc>
          <w:tcPr>
            <w:tcW w:w="1474" w:type="dxa"/>
            <w:tcBorders>
              <w:top w:val="single" w:sz="2" w:space="0" w:color="C0C0C0"/>
            </w:tcBorders>
            <w:shd w:val="solid" w:color="E6E6E6" w:fill="auto"/>
            <w:vAlign w:val="center"/>
          </w:tcPr>
          <w:p w14:paraId="4A1C271F" w14:textId="77777777" w:rsidR="00E5109D" w:rsidRDefault="00E5109D" w:rsidP="00E4692A">
            <w:pPr>
              <w:pStyle w:val="Tableunitsrow"/>
              <w:jc w:val="center"/>
            </w:pPr>
            <w:r>
              <w:t>MJ/m</w:t>
            </w:r>
            <w:r w:rsidRPr="0095682B">
              <w:rPr>
                <w:vertAlign w:val="superscript"/>
              </w:rPr>
              <w:t>2</w:t>
            </w:r>
            <w:r>
              <w:t xml:space="preserve"> / year</w:t>
            </w:r>
          </w:p>
        </w:tc>
        <w:tc>
          <w:tcPr>
            <w:tcW w:w="1475" w:type="dxa"/>
            <w:tcBorders>
              <w:top w:val="single" w:sz="2" w:space="0" w:color="C0C0C0"/>
            </w:tcBorders>
            <w:shd w:val="solid" w:color="E6E6E6" w:fill="auto"/>
            <w:vAlign w:val="center"/>
          </w:tcPr>
          <w:p w14:paraId="3515A9F4" w14:textId="77777777" w:rsidR="00E5109D" w:rsidRDefault="00E5109D" w:rsidP="00E4692A">
            <w:pPr>
              <w:pStyle w:val="Tableunitsrow"/>
              <w:jc w:val="center"/>
            </w:pPr>
            <w:r>
              <w:t>MJ/m</w:t>
            </w:r>
            <w:r w:rsidRPr="0095682B">
              <w:rPr>
                <w:vertAlign w:val="superscript"/>
              </w:rPr>
              <w:t>2</w:t>
            </w:r>
            <w:r>
              <w:t xml:space="preserve"> / year</w:t>
            </w:r>
          </w:p>
        </w:tc>
        <w:tc>
          <w:tcPr>
            <w:tcW w:w="1475" w:type="dxa"/>
            <w:tcBorders>
              <w:top w:val="single" w:sz="2" w:space="0" w:color="C0C0C0"/>
            </w:tcBorders>
            <w:shd w:val="solid" w:color="E6E6E6" w:fill="auto"/>
            <w:vAlign w:val="center"/>
          </w:tcPr>
          <w:p w14:paraId="1B25B961" w14:textId="77777777" w:rsidR="00E5109D" w:rsidRDefault="00E5109D" w:rsidP="00E4692A">
            <w:pPr>
              <w:pStyle w:val="Tableunitsrow"/>
              <w:jc w:val="center"/>
            </w:pPr>
            <w:r>
              <w:t>MJ/m</w:t>
            </w:r>
            <w:r w:rsidRPr="0095682B">
              <w:rPr>
                <w:vertAlign w:val="superscript"/>
              </w:rPr>
              <w:t>2</w:t>
            </w:r>
            <w:r>
              <w:t xml:space="preserve"> / year</w:t>
            </w:r>
          </w:p>
        </w:tc>
      </w:tr>
      <w:tr w:rsidR="00E5109D" w14:paraId="3080E32E" w14:textId="77777777">
        <w:trPr>
          <w:cantSplit/>
        </w:trPr>
        <w:tc>
          <w:tcPr>
            <w:tcW w:w="1474" w:type="dxa"/>
            <w:shd w:val="clear" w:color="auto" w:fill="auto"/>
            <w:vAlign w:val="bottom"/>
          </w:tcPr>
          <w:p w14:paraId="31533DB4" w14:textId="77777777" w:rsidR="00E5109D" w:rsidRDefault="00E5109D" w:rsidP="00E4692A">
            <w:pPr>
              <w:pStyle w:val="Tabletext"/>
            </w:pPr>
            <w:r w:rsidRPr="0095682B">
              <w:t>V</w:t>
            </w:r>
            <w:r>
              <w:t>oluntary</w:t>
            </w:r>
            <w:r w:rsidRPr="0095682B">
              <w:t xml:space="preserve"> Q1</w:t>
            </w:r>
          </w:p>
        </w:tc>
        <w:tc>
          <w:tcPr>
            <w:tcW w:w="1474" w:type="dxa"/>
            <w:shd w:val="clear" w:color="auto" w:fill="auto"/>
            <w:vAlign w:val="bottom"/>
          </w:tcPr>
          <w:p w14:paraId="6172F52F" w14:textId="77777777" w:rsidR="00E5109D" w:rsidRDefault="00E5109D" w:rsidP="00E4692A">
            <w:pPr>
              <w:pStyle w:val="Tabletext"/>
              <w:jc w:val="center"/>
            </w:pPr>
            <w:r w:rsidRPr="00487E6D">
              <w:t>-21.4</w:t>
            </w:r>
          </w:p>
        </w:tc>
        <w:tc>
          <w:tcPr>
            <w:tcW w:w="1474" w:type="dxa"/>
            <w:shd w:val="clear" w:color="auto" w:fill="auto"/>
            <w:vAlign w:val="bottom"/>
          </w:tcPr>
          <w:p w14:paraId="12350144" w14:textId="77777777" w:rsidR="00E5109D" w:rsidRDefault="00E5109D" w:rsidP="00E4692A">
            <w:pPr>
              <w:pStyle w:val="Tabletext"/>
              <w:jc w:val="center"/>
            </w:pPr>
            <w:r w:rsidRPr="00487E6D">
              <w:t>-15.8</w:t>
            </w:r>
          </w:p>
        </w:tc>
        <w:tc>
          <w:tcPr>
            <w:tcW w:w="1475" w:type="dxa"/>
            <w:shd w:val="clear" w:color="auto" w:fill="auto"/>
            <w:vAlign w:val="bottom"/>
          </w:tcPr>
          <w:p w14:paraId="167E447B" w14:textId="77777777" w:rsidR="00E5109D" w:rsidRDefault="00E5109D" w:rsidP="00E4692A">
            <w:pPr>
              <w:pStyle w:val="Tabletext"/>
              <w:jc w:val="center"/>
            </w:pPr>
            <w:r w:rsidRPr="00487E6D">
              <w:t>-7.8%</w:t>
            </w:r>
          </w:p>
        </w:tc>
        <w:tc>
          <w:tcPr>
            <w:tcW w:w="1475" w:type="dxa"/>
            <w:shd w:val="clear" w:color="auto" w:fill="auto"/>
            <w:vAlign w:val="bottom"/>
          </w:tcPr>
          <w:p w14:paraId="0515CDB2" w14:textId="77777777" w:rsidR="00E5109D" w:rsidRDefault="00E5109D" w:rsidP="00E4692A">
            <w:pPr>
              <w:pStyle w:val="Tabletext"/>
              <w:jc w:val="center"/>
            </w:pPr>
            <w:r w:rsidRPr="00487E6D">
              <w:t>-4.9%</w:t>
            </w:r>
          </w:p>
        </w:tc>
      </w:tr>
      <w:tr w:rsidR="00E5109D" w14:paraId="61F2E53D" w14:textId="77777777">
        <w:trPr>
          <w:cantSplit/>
        </w:trPr>
        <w:tc>
          <w:tcPr>
            <w:tcW w:w="1474" w:type="dxa"/>
            <w:shd w:val="clear" w:color="auto" w:fill="auto"/>
            <w:vAlign w:val="bottom"/>
          </w:tcPr>
          <w:p w14:paraId="5B983A6B" w14:textId="77777777" w:rsidR="00E5109D" w:rsidRDefault="00E5109D" w:rsidP="00E4692A">
            <w:pPr>
              <w:pStyle w:val="Tabletext"/>
            </w:pPr>
            <w:r>
              <w:t>Voluntary</w:t>
            </w:r>
            <w:r w:rsidRPr="0095682B">
              <w:t xml:space="preserve"> Q2</w:t>
            </w:r>
          </w:p>
        </w:tc>
        <w:tc>
          <w:tcPr>
            <w:tcW w:w="1474" w:type="dxa"/>
            <w:shd w:val="clear" w:color="auto" w:fill="auto"/>
            <w:vAlign w:val="bottom"/>
          </w:tcPr>
          <w:p w14:paraId="7A060B7C" w14:textId="77777777" w:rsidR="00E5109D" w:rsidRDefault="00E5109D" w:rsidP="00E4692A">
            <w:pPr>
              <w:pStyle w:val="Tabletext"/>
              <w:jc w:val="center"/>
            </w:pPr>
            <w:r w:rsidRPr="00487E6D">
              <w:t>-35.1</w:t>
            </w:r>
          </w:p>
        </w:tc>
        <w:tc>
          <w:tcPr>
            <w:tcW w:w="1474" w:type="dxa"/>
            <w:shd w:val="clear" w:color="auto" w:fill="auto"/>
            <w:vAlign w:val="bottom"/>
          </w:tcPr>
          <w:p w14:paraId="54F39479" w14:textId="77777777" w:rsidR="00E5109D" w:rsidRDefault="00E5109D" w:rsidP="00E4692A">
            <w:pPr>
              <w:pStyle w:val="Tabletext"/>
              <w:jc w:val="center"/>
            </w:pPr>
            <w:r w:rsidRPr="00487E6D">
              <w:t>-26.5</w:t>
            </w:r>
          </w:p>
        </w:tc>
        <w:tc>
          <w:tcPr>
            <w:tcW w:w="1475" w:type="dxa"/>
            <w:shd w:val="clear" w:color="auto" w:fill="auto"/>
            <w:vAlign w:val="bottom"/>
          </w:tcPr>
          <w:p w14:paraId="1F93CCB0" w14:textId="77777777" w:rsidR="00E5109D" w:rsidRDefault="00E5109D" w:rsidP="00E4692A">
            <w:pPr>
              <w:pStyle w:val="Tabletext"/>
              <w:jc w:val="center"/>
            </w:pPr>
            <w:r w:rsidRPr="00487E6D">
              <w:t>-8.0%</w:t>
            </w:r>
          </w:p>
        </w:tc>
        <w:tc>
          <w:tcPr>
            <w:tcW w:w="1475" w:type="dxa"/>
            <w:shd w:val="clear" w:color="auto" w:fill="auto"/>
            <w:vAlign w:val="bottom"/>
          </w:tcPr>
          <w:p w14:paraId="0420308B" w14:textId="77777777" w:rsidR="00E5109D" w:rsidRDefault="00E5109D" w:rsidP="00E4692A">
            <w:pPr>
              <w:pStyle w:val="Tabletext"/>
              <w:jc w:val="center"/>
            </w:pPr>
            <w:r w:rsidRPr="00487E6D">
              <w:t>-6.3%</w:t>
            </w:r>
          </w:p>
        </w:tc>
      </w:tr>
      <w:tr w:rsidR="00E5109D" w14:paraId="3420E8F3" w14:textId="77777777">
        <w:trPr>
          <w:cantSplit/>
        </w:trPr>
        <w:tc>
          <w:tcPr>
            <w:tcW w:w="1474" w:type="dxa"/>
            <w:shd w:val="clear" w:color="auto" w:fill="auto"/>
            <w:vAlign w:val="bottom"/>
          </w:tcPr>
          <w:p w14:paraId="3E513D76" w14:textId="77777777" w:rsidR="00E5109D" w:rsidRDefault="00E5109D" w:rsidP="00E4692A">
            <w:pPr>
              <w:pStyle w:val="Tabletext"/>
            </w:pPr>
            <w:r>
              <w:t>Voluntary</w:t>
            </w:r>
            <w:r w:rsidRPr="0095682B">
              <w:t xml:space="preserve"> Q3</w:t>
            </w:r>
          </w:p>
        </w:tc>
        <w:tc>
          <w:tcPr>
            <w:tcW w:w="1474" w:type="dxa"/>
            <w:shd w:val="clear" w:color="auto" w:fill="auto"/>
            <w:vAlign w:val="bottom"/>
          </w:tcPr>
          <w:p w14:paraId="4DAFABB6" w14:textId="77777777" w:rsidR="00E5109D" w:rsidRDefault="00E5109D" w:rsidP="00E4692A">
            <w:pPr>
              <w:pStyle w:val="Tabletext"/>
              <w:jc w:val="center"/>
            </w:pPr>
            <w:r w:rsidRPr="00487E6D">
              <w:t>2.3</w:t>
            </w:r>
          </w:p>
        </w:tc>
        <w:tc>
          <w:tcPr>
            <w:tcW w:w="1474" w:type="dxa"/>
            <w:shd w:val="clear" w:color="auto" w:fill="auto"/>
            <w:vAlign w:val="bottom"/>
          </w:tcPr>
          <w:p w14:paraId="675B48C5" w14:textId="77777777" w:rsidR="00E5109D" w:rsidRDefault="00E5109D" w:rsidP="00E4692A">
            <w:pPr>
              <w:pStyle w:val="Tabletext"/>
              <w:jc w:val="center"/>
            </w:pPr>
            <w:r w:rsidRPr="00487E6D">
              <w:t>-31.7</w:t>
            </w:r>
          </w:p>
        </w:tc>
        <w:tc>
          <w:tcPr>
            <w:tcW w:w="1475" w:type="dxa"/>
            <w:shd w:val="clear" w:color="auto" w:fill="auto"/>
            <w:vAlign w:val="bottom"/>
          </w:tcPr>
          <w:p w14:paraId="34039DBC" w14:textId="77777777" w:rsidR="00E5109D" w:rsidRDefault="00E5109D" w:rsidP="00E4692A">
            <w:pPr>
              <w:pStyle w:val="Tabletext"/>
              <w:jc w:val="center"/>
            </w:pPr>
            <w:r w:rsidRPr="00487E6D">
              <w:t>-1.6%</w:t>
            </w:r>
          </w:p>
        </w:tc>
        <w:tc>
          <w:tcPr>
            <w:tcW w:w="1475" w:type="dxa"/>
            <w:shd w:val="clear" w:color="auto" w:fill="auto"/>
            <w:vAlign w:val="bottom"/>
          </w:tcPr>
          <w:p w14:paraId="09C70BEB" w14:textId="77777777" w:rsidR="00E5109D" w:rsidRDefault="00E5109D" w:rsidP="00E4692A">
            <w:pPr>
              <w:pStyle w:val="Tabletext"/>
              <w:jc w:val="center"/>
            </w:pPr>
            <w:r w:rsidRPr="00487E6D">
              <w:t>-6.2%</w:t>
            </w:r>
          </w:p>
        </w:tc>
      </w:tr>
      <w:tr w:rsidR="00E5109D" w14:paraId="291A7CCA" w14:textId="77777777">
        <w:trPr>
          <w:cantSplit/>
        </w:trPr>
        <w:tc>
          <w:tcPr>
            <w:tcW w:w="1474" w:type="dxa"/>
            <w:shd w:val="clear" w:color="auto" w:fill="auto"/>
            <w:vAlign w:val="bottom"/>
          </w:tcPr>
          <w:p w14:paraId="6D957D0E" w14:textId="77777777" w:rsidR="00E5109D" w:rsidRDefault="00E5109D" w:rsidP="00E4692A">
            <w:pPr>
              <w:pStyle w:val="Tabletext"/>
            </w:pPr>
            <w:r>
              <w:t>Voluntary</w:t>
            </w:r>
            <w:r w:rsidRPr="0095682B">
              <w:t xml:space="preserve"> Q4</w:t>
            </w:r>
          </w:p>
        </w:tc>
        <w:tc>
          <w:tcPr>
            <w:tcW w:w="1474" w:type="dxa"/>
            <w:shd w:val="clear" w:color="auto" w:fill="auto"/>
            <w:vAlign w:val="bottom"/>
          </w:tcPr>
          <w:p w14:paraId="1AEB6691" w14:textId="77777777" w:rsidR="00E5109D" w:rsidRDefault="00E5109D" w:rsidP="00E4692A">
            <w:pPr>
              <w:pStyle w:val="Tabletext"/>
              <w:jc w:val="center"/>
            </w:pPr>
            <w:r w:rsidRPr="00487E6D">
              <w:t>2.7</w:t>
            </w:r>
          </w:p>
        </w:tc>
        <w:tc>
          <w:tcPr>
            <w:tcW w:w="1474" w:type="dxa"/>
            <w:shd w:val="clear" w:color="auto" w:fill="auto"/>
            <w:vAlign w:val="bottom"/>
          </w:tcPr>
          <w:p w14:paraId="53CA927B" w14:textId="77777777" w:rsidR="00E5109D" w:rsidRDefault="00E5109D" w:rsidP="00E4692A">
            <w:pPr>
              <w:pStyle w:val="Tabletext"/>
              <w:jc w:val="center"/>
            </w:pPr>
            <w:r w:rsidRPr="00487E6D">
              <w:t>-39.4</w:t>
            </w:r>
          </w:p>
        </w:tc>
        <w:tc>
          <w:tcPr>
            <w:tcW w:w="1475" w:type="dxa"/>
            <w:shd w:val="clear" w:color="auto" w:fill="auto"/>
            <w:vAlign w:val="bottom"/>
          </w:tcPr>
          <w:p w14:paraId="1D624F4E" w14:textId="77777777" w:rsidR="00E5109D" w:rsidRDefault="00E5109D" w:rsidP="00E4692A">
            <w:pPr>
              <w:pStyle w:val="Tabletext"/>
              <w:jc w:val="center"/>
            </w:pPr>
            <w:r w:rsidRPr="00487E6D">
              <w:t>-1.3%</w:t>
            </w:r>
          </w:p>
        </w:tc>
        <w:tc>
          <w:tcPr>
            <w:tcW w:w="1475" w:type="dxa"/>
            <w:shd w:val="clear" w:color="auto" w:fill="auto"/>
            <w:vAlign w:val="bottom"/>
          </w:tcPr>
          <w:p w14:paraId="5F8915E9" w14:textId="77777777" w:rsidR="00E5109D" w:rsidRDefault="00E5109D" w:rsidP="00E4692A">
            <w:pPr>
              <w:pStyle w:val="Tabletext"/>
              <w:jc w:val="center"/>
            </w:pPr>
            <w:r w:rsidRPr="00487E6D">
              <w:t>-7.7%</w:t>
            </w:r>
          </w:p>
        </w:tc>
      </w:tr>
      <w:tr w:rsidR="00E5109D" w14:paraId="317D2164" w14:textId="77777777">
        <w:trPr>
          <w:cantSplit/>
        </w:trPr>
        <w:tc>
          <w:tcPr>
            <w:tcW w:w="1474" w:type="dxa"/>
            <w:shd w:val="clear" w:color="auto" w:fill="auto"/>
            <w:vAlign w:val="bottom"/>
          </w:tcPr>
          <w:p w14:paraId="78320F7F" w14:textId="77777777" w:rsidR="00E5109D" w:rsidRDefault="00E5109D" w:rsidP="00E4692A">
            <w:pPr>
              <w:pStyle w:val="Tabletext"/>
            </w:pPr>
            <w:r>
              <w:t>Mandatory</w:t>
            </w:r>
            <w:r w:rsidRPr="0095682B">
              <w:t xml:space="preserve"> Q1</w:t>
            </w:r>
          </w:p>
        </w:tc>
        <w:tc>
          <w:tcPr>
            <w:tcW w:w="1474" w:type="dxa"/>
            <w:shd w:val="clear" w:color="auto" w:fill="auto"/>
            <w:vAlign w:val="bottom"/>
          </w:tcPr>
          <w:p w14:paraId="33896B3B" w14:textId="77777777" w:rsidR="00E5109D" w:rsidRDefault="00071414" w:rsidP="00E4692A">
            <w:pPr>
              <w:pStyle w:val="Tabletext"/>
              <w:jc w:val="center"/>
            </w:pPr>
            <w:proofErr w:type="spellStart"/>
            <w:r>
              <w:t>n.a</w:t>
            </w:r>
            <w:proofErr w:type="spellEnd"/>
            <w:r>
              <w:t>.</w:t>
            </w:r>
          </w:p>
        </w:tc>
        <w:tc>
          <w:tcPr>
            <w:tcW w:w="1474" w:type="dxa"/>
            <w:shd w:val="clear" w:color="auto" w:fill="auto"/>
            <w:vAlign w:val="bottom"/>
          </w:tcPr>
          <w:p w14:paraId="39E38615" w14:textId="77777777" w:rsidR="00E5109D" w:rsidRDefault="00E5109D" w:rsidP="00E4692A">
            <w:pPr>
              <w:pStyle w:val="Tabletext"/>
              <w:jc w:val="center"/>
            </w:pPr>
            <w:r w:rsidRPr="00487E6D">
              <w:t>-3.2</w:t>
            </w:r>
          </w:p>
        </w:tc>
        <w:tc>
          <w:tcPr>
            <w:tcW w:w="1475" w:type="dxa"/>
            <w:shd w:val="clear" w:color="auto" w:fill="auto"/>
            <w:vAlign w:val="bottom"/>
          </w:tcPr>
          <w:p w14:paraId="689BB0B0" w14:textId="77777777" w:rsidR="00E5109D" w:rsidRDefault="00071414" w:rsidP="00E4692A">
            <w:pPr>
              <w:pStyle w:val="Tabletext"/>
              <w:jc w:val="center"/>
            </w:pPr>
            <w:proofErr w:type="spellStart"/>
            <w:r>
              <w:t>n.a</w:t>
            </w:r>
            <w:proofErr w:type="spellEnd"/>
            <w:r>
              <w:t>.</w:t>
            </w:r>
          </w:p>
        </w:tc>
        <w:tc>
          <w:tcPr>
            <w:tcW w:w="1475" w:type="dxa"/>
            <w:shd w:val="clear" w:color="auto" w:fill="auto"/>
            <w:vAlign w:val="bottom"/>
          </w:tcPr>
          <w:p w14:paraId="37D640B5" w14:textId="77777777" w:rsidR="00E5109D" w:rsidRDefault="00E5109D" w:rsidP="00E4692A">
            <w:pPr>
              <w:pStyle w:val="Tabletext"/>
              <w:jc w:val="center"/>
            </w:pPr>
            <w:r w:rsidRPr="00487E6D">
              <w:t>-1.0%</w:t>
            </w:r>
          </w:p>
        </w:tc>
      </w:tr>
      <w:tr w:rsidR="00E5109D" w14:paraId="6EE92016" w14:textId="77777777">
        <w:trPr>
          <w:cantSplit/>
        </w:trPr>
        <w:tc>
          <w:tcPr>
            <w:tcW w:w="1474" w:type="dxa"/>
            <w:shd w:val="clear" w:color="auto" w:fill="auto"/>
            <w:vAlign w:val="bottom"/>
          </w:tcPr>
          <w:p w14:paraId="2876D7AA" w14:textId="77777777" w:rsidR="00E5109D" w:rsidRDefault="00E5109D" w:rsidP="00E4692A">
            <w:pPr>
              <w:pStyle w:val="Tabletext"/>
            </w:pPr>
            <w:r>
              <w:t>Mandatory</w:t>
            </w:r>
            <w:r w:rsidRPr="0095682B">
              <w:t xml:space="preserve"> Q2</w:t>
            </w:r>
          </w:p>
        </w:tc>
        <w:tc>
          <w:tcPr>
            <w:tcW w:w="1474" w:type="dxa"/>
            <w:shd w:val="clear" w:color="auto" w:fill="auto"/>
            <w:vAlign w:val="bottom"/>
          </w:tcPr>
          <w:p w14:paraId="723C6288" w14:textId="77777777" w:rsidR="00E5109D" w:rsidRDefault="00071414" w:rsidP="00E4692A">
            <w:pPr>
              <w:pStyle w:val="Tabletext"/>
              <w:jc w:val="center"/>
            </w:pPr>
            <w:proofErr w:type="spellStart"/>
            <w:r>
              <w:t>n.a</w:t>
            </w:r>
            <w:proofErr w:type="spellEnd"/>
            <w:r>
              <w:t>.</w:t>
            </w:r>
          </w:p>
        </w:tc>
        <w:tc>
          <w:tcPr>
            <w:tcW w:w="1474" w:type="dxa"/>
            <w:shd w:val="clear" w:color="auto" w:fill="auto"/>
            <w:vAlign w:val="bottom"/>
          </w:tcPr>
          <w:p w14:paraId="119CEA14" w14:textId="77777777" w:rsidR="00E5109D" w:rsidRDefault="00E5109D" w:rsidP="00E4692A">
            <w:pPr>
              <w:pStyle w:val="Tabletext"/>
              <w:jc w:val="center"/>
            </w:pPr>
            <w:r w:rsidRPr="00487E6D">
              <w:t>-26.4</w:t>
            </w:r>
          </w:p>
        </w:tc>
        <w:tc>
          <w:tcPr>
            <w:tcW w:w="1475" w:type="dxa"/>
            <w:shd w:val="clear" w:color="auto" w:fill="auto"/>
            <w:vAlign w:val="bottom"/>
          </w:tcPr>
          <w:p w14:paraId="4BCCBFAE" w14:textId="77777777" w:rsidR="00E5109D" w:rsidRDefault="00071414" w:rsidP="00E4692A">
            <w:pPr>
              <w:pStyle w:val="Tabletext"/>
              <w:jc w:val="center"/>
            </w:pPr>
            <w:proofErr w:type="spellStart"/>
            <w:r>
              <w:t>n.a</w:t>
            </w:r>
            <w:proofErr w:type="spellEnd"/>
            <w:r>
              <w:t>.</w:t>
            </w:r>
          </w:p>
        </w:tc>
        <w:tc>
          <w:tcPr>
            <w:tcW w:w="1475" w:type="dxa"/>
            <w:shd w:val="clear" w:color="auto" w:fill="auto"/>
            <w:vAlign w:val="bottom"/>
          </w:tcPr>
          <w:p w14:paraId="08E25BD1" w14:textId="77777777" w:rsidR="00E5109D" w:rsidRDefault="00E5109D" w:rsidP="00E4692A">
            <w:pPr>
              <w:pStyle w:val="Tabletext"/>
              <w:jc w:val="center"/>
            </w:pPr>
            <w:r w:rsidRPr="00487E6D">
              <w:t>-5.6%</w:t>
            </w:r>
          </w:p>
        </w:tc>
      </w:tr>
      <w:tr w:rsidR="00E5109D" w14:paraId="72EF304C" w14:textId="77777777">
        <w:trPr>
          <w:cantSplit/>
        </w:trPr>
        <w:tc>
          <w:tcPr>
            <w:tcW w:w="1474" w:type="dxa"/>
            <w:shd w:val="clear" w:color="auto" w:fill="auto"/>
            <w:vAlign w:val="bottom"/>
          </w:tcPr>
          <w:p w14:paraId="0080F0EB" w14:textId="77777777" w:rsidR="00E5109D" w:rsidRDefault="00E5109D" w:rsidP="00E4692A">
            <w:pPr>
              <w:pStyle w:val="Tabletext"/>
            </w:pPr>
            <w:r>
              <w:t>Mandatory</w:t>
            </w:r>
            <w:r w:rsidRPr="0095682B">
              <w:t xml:space="preserve"> Q3</w:t>
            </w:r>
          </w:p>
        </w:tc>
        <w:tc>
          <w:tcPr>
            <w:tcW w:w="1474" w:type="dxa"/>
            <w:shd w:val="clear" w:color="auto" w:fill="auto"/>
            <w:vAlign w:val="bottom"/>
          </w:tcPr>
          <w:p w14:paraId="6DA723D6" w14:textId="77777777" w:rsidR="00E5109D" w:rsidRDefault="00071414" w:rsidP="00E4692A">
            <w:pPr>
              <w:pStyle w:val="Tabletext"/>
              <w:jc w:val="center"/>
            </w:pPr>
            <w:proofErr w:type="spellStart"/>
            <w:r>
              <w:t>n.a</w:t>
            </w:r>
            <w:proofErr w:type="spellEnd"/>
            <w:r>
              <w:t>.</w:t>
            </w:r>
          </w:p>
        </w:tc>
        <w:tc>
          <w:tcPr>
            <w:tcW w:w="1474" w:type="dxa"/>
            <w:shd w:val="clear" w:color="auto" w:fill="auto"/>
            <w:vAlign w:val="bottom"/>
          </w:tcPr>
          <w:p w14:paraId="4016B8FC" w14:textId="77777777" w:rsidR="00E5109D" w:rsidRDefault="00E5109D" w:rsidP="00E4692A">
            <w:pPr>
              <w:pStyle w:val="Tabletext"/>
              <w:jc w:val="center"/>
            </w:pPr>
            <w:r w:rsidRPr="00487E6D">
              <w:t>-49.0</w:t>
            </w:r>
          </w:p>
        </w:tc>
        <w:tc>
          <w:tcPr>
            <w:tcW w:w="1475" w:type="dxa"/>
            <w:shd w:val="clear" w:color="auto" w:fill="auto"/>
            <w:vAlign w:val="bottom"/>
          </w:tcPr>
          <w:p w14:paraId="42C384AC" w14:textId="77777777" w:rsidR="00E5109D" w:rsidRDefault="00071414" w:rsidP="00E4692A">
            <w:pPr>
              <w:pStyle w:val="Tabletext"/>
              <w:jc w:val="center"/>
            </w:pPr>
            <w:proofErr w:type="spellStart"/>
            <w:r>
              <w:t>n.a</w:t>
            </w:r>
            <w:proofErr w:type="spellEnd"/>
            <w:r>
              <w:t>.</w:t>
            </w:r>
          </w:p>
        </w:tc>
        <w:tc>
          <w:tcPr>
            <w:tcW w:w="1475" w:type="dxa"/>
            <w:shd w:val="clear" w:color="auto" w:fill="auto"/>
            <w:vAlign w:val="bottom"/>
          </w:tcPr>
          <w:p w14:paraId="61C58E41" w14:textId="77777777" w:rsidR="00E5109D" w:rsidRDefault="00E5109D" w:rsidP="00E4692A">
            <w:pPr>
              <w:pStyle w:val="Tabletext"/>
              <w:jc w:val="center"/>
            </w:pPr>
            <w:r w:rsidRPr="00487E6D">
              <w:t>-8.2%</w:t>
            </w:r>
          </w:p>
        </w:tc>
      </w:tr>
      <w:tr w:rsidR="00E5109D" w14:paraId="0C753E72" w14:textId="77777777">
        <w:trPr>
          <w:cantSplit/>
        </w:trPr>
        <w:tc>
          <w:tcPr>
            <w:tcW w:w="1474" w:type="dxa"/>
            <w:tcBorders>
              <w:bottom w:val="single" w:sz="2" w:space="0" w:color="C0C0C0"/>
            </w:tcBorders>
            <w:shd w:val="clear" w:color="auto" w:fill="auto"/>
            <w:vAlign w:val="bottom"/>
          </w:tcPr>
          <w:p w14:paraId="5D1CC7E6" w14:textId="77777777" w:rsidR="00E5109D" w:rsidRDefault="00E5109D" w:rsidP="00E4692A">
            <w:pPr>
              <w:pStyle w:val="Tabletext"/>
            </w:pPr>
            <w:r>
              <w:t>Mandatory</w:t>
            </w:r>
            <w:r w:rsidRPr="0095682B">
              <w:t xml:space="preserve"> Q4</w:t>
            </w:r>
          </w:p>
        </w:tc>
        <w:tc>
          <w:tcPr>
            <w:tcW w:w="1474" w:type="dxa"/>
            <w:tcBorders>
              <w:bottom w:val="single" w:sz="2" w:space="0" w:color="C0C0C0"/>
            </w:tcBorders>
            <w:shd w:val="clear" w:color="auto" w:fill="auto"/>
            <w:vAlign w:val="bottom"/>
          </w:tcPr>
          <w:p w14:paraId="342D98CC" w14:textId="77777777" w:rsidR="00E5109D" w:rsidRDefault="00071414" w:rsidP="00E4692A">
            <w:pPr>
              <w:pStyle w:val="Tabletext"/>
              <w:jc w:val="center"/>
            </w:pPr>
            <w:proofErr w:type="spellStart"/>
            <w:r>
              <w:t>n.a</w:t>
            </w:r>
            <w:proofErr w:type="spellEnd"/>
            <w:r>
              <w:t>.</w:t>
            </w:r>
          </w:p>
        </w:tc>
        <w:tc>
          <w:tcPr>
            <w:tcW w:w="1474" w:type="dxa"/>
            <w:tcBorders>
              <w:bottom w:val="single" w:sz="2" w:space="0" w:color="C0C0C0"/>
            </w:tcBorders>
            <w:shd w:val="clear" w:color="auto" w:fill="auto"/>
            <w:vAlign w:val="bottom"/>
          </w:tcPr>
          <w:p w14:paraId="544BA692" w14:textId="77777777" w:rsidR="00E5109D" w:rsidRDefault="00E5109D" w:rsidP="00E4692A">
            <w:pPr>
              <w:pStyle w:val="Tabletext"/>
              <w:jc w:val="center"/>
            </w:pPr>
            <w:r w:rsidRPr="00487E6D">
              <w:t>-94.4</w:t>
            </w:r>
          </w:p>
        </w:tc>
        <w:tc>
          <w:tcPr>
            <w:tcW w:w="1475" w:type="dxa"/>
            <w:tcBorders>
              <w:bottom w:val="single" w:sz="2" w:space="0" w:color="C0C0C0"/>
            </w:tcBorders>
            <w:shd w:val="clear" w:color="auto" w:fill="auto"/>
            <w:vAlign w:val="bottom"/>
          </w:tcPr>
          <w:p w14:paraId="75420E6B" w14:textId="77777777" w:rsidR="00E5109D" w:rsidRDefault="00071414" w:rsidP="00E4692A">
            <w:pPr>
              <w:pStyle w:val="Tabletext"/>
              <w:jc w:val="center"/>
            </w:pPr>
            <w:proofErr w:type="spellStart"/>
            <w:r>
              <w:t>n.a</w:t>
            </w:r>
            <w:proofErr w:type="spellEnd"/>
            <w:r>
              <w:t>.</w:t>
            </w:r>
          </w:p>
        </w:tc>
        <w:tc>
          <w:tcPr>
            <w:tcW w:w="1475" w:type="dxa"/>
            <w:tcBorders>
              <w:bottom w:val="single" w:sz="2" w:space="0" w:color="C0C0C0"/>
            </w:tcBorders>
            <w:shd w:val="clear" w:color="auto" w:fill="auto"/>
            <w:vAlign w:val="bottom"/>
          </w:tcPr>
          <w:p w14:paraId="023027D8" w14:textId="77777777" w:rsidR="00E5109D" w:rsidRDefault="00E5109D" w:rsidP="00E4692A">
            <w:pPr>
              <w:pStyle w:val="Tabletext"/>
              <w:jc w:val="center"/>
            </w:pPr>
            <w:r w:rsidRPr="00487E6D">
              <w:t>-12.1%</w:t>
            </w:r>
          </w:p>
        </w:tc>
      </w:tr>
      <w:tr w:rsidR="00E5109D" w:rsidRPr="003600CF" w14:paraId="63FA9790" w14:textId="77777777">
        <w:trPr>
          <w:cantSplit/>
        </w:trPr>
        <w:tc>
          <w:tcPr>
            <w:tcW w:w="1474" w:type="dxa"/>
            <w:tcBorders>
              <w:top w:val="single" w:sz="2" w:space="0" w:color="C0C0C0"/>
              <w:bottom w:val="single" w:sz="2" w:space="0" w:color="999999"/>
            </w:tcBorders>
            <w:shd w:val="clear" w:color="auto" w:fill="auto"/>
            <w:vAlign w:val="bottom"/>
          </w:tcPr>
          <w:p w14:paraId="08E95F01" w14:textId="77777777" w:rsidR="00E5109D" w:rsidRPr="00071414" w:rsidRDefault="00E5109D" w:rsidP="00E4692A">
            <w:pPr>
              <w:pStyle w:val="Tabletext"/>
              <w:rPr>
                <w:b/>
              </w:rPr>
            </w:pPr>
            <w:r w:rsidRPr="00071414">
              <w:rPr>
                <w:b/>
              </w:rPr>
              <w:t>All</w:t>
            </w:r>
          </w:p>
        </w:tc>
        <w:tc>
          <w:tcPr>
            <w:tcW w:w="1474" w:type="dxa"/>
            <w:tcBorders>
              <w:top w:val="single" w:sz="2" w:space="0" w:color="C0C0C0"/>
              <w:bottom w:val="single" w:sz="2" w:space="0" w:color="999999"/>
            </w:tcBorders>
            <w:shd w:val="clear" w:color="auto" w:fill="auto"/>
            <w:vAlign w:val="bottom"/>
          </w:tcPr>
          <w:p w14:paraId="7BEE6DAF" w14:textId="77777777" w:rsidR="00E5109D" w:rsidRPr="00071414" w:rsidRDefault="00E5109D" w:rsidP="00E4692A">
            <w:pPr>
              <w:pStyle w:val="Tabletext"/>
              <w:jc w:val="center"/>
              <w:rPr>
                <w:b/>
              </w:rPr>
            </w:pPr>
            <w:r w:rsidRPr="00071414">
              <w:rPr>
                <w:b/>
              </w:rPr>
              <w:t>-20.77</w:t>
            </w:r>
          </w:p>
        </w:tc>
        <w:tc>
          <w:tcPr>
            <w:tcW w:w="1474" w:type="dxa"/>
            <w:tcBorders>
              <w:top w:val="single" w:sz="2" w:space="0" w:color="C0C0C0"/>
              <w:bottom w:val="single" w:sz="2" w:space="0" w:color="999999"/>
            </w:tcBorders>
            <w:shd w:val="clear" w:color="auto" w:fill="auto"/>
            <w:vAlign w:val="bottom"/>
          </w:tcPr>
          <w:p w14:paraId="04F2DCB3" w14:textId="77777777" w:rsidR="00E5109D" w:rsidRPr="00071414" w:rsidRDefault="00E5109D" w:rsidP="00E4692A">
            <w:pPr>
              <w:pStyle w:val="Tabletext"/>
              <w:jc w:val="center"/>
              <w:rPr>
                <w:b/>
              </w:rPr>
            </w:pPr>
            <w:r w:rsidRPr="00071414">
              <w:rPr>
                <w:b/>
              </w:rPr>
              <w:t>-29.87</w:t>
            </w:r>
          </w:p>
        </w:tc>
        <w:tc>
          <w:tcPr>
            <w:tcW w:w="1475" w:type="dxa"/>
            <w:tcBorders>
              <w:top w:val="single" w:sz="2" w:space="0" w:color="C0C0C0"/>
              <w:bottom w:val="single" w:sz="2" w:space="0" w:color="999999"/>
            </w:tcBorders>
            <w:shd w:val="clear" w:color="auto" w:fill="auto"/>
            <w:vAlign w:val="bottom"/>
          </w:tcPr>
          <w:p w14:paraId="740970DA" w14:textId="77777777" w:rsidR="00E5109D" w:rsidRPr="00071414" w:rsidRDefault="00E5109D" w:rsidP="00E4692A">
            <w:pPr>
              <w:pStyle w:val="Tabletext"/>
              <w:jc w:val="center"/>
              <w:rPr>
                <w:b/>
              </w:rPr>
            </w:pPr>
            <w:r w:rsidRPr="00071414">
              <w:rPr>
                <w:b/>
              </w:rPr>
              <w:t>-3.9%</w:t>
            </w:r>
          </w:p>
        </w:tc>
        <w:tc>
          <w:tcPr>
            <w:tcW w:w="1475" w:type="dxa"/>
            <w:tcBorders>
              <w:top w:val="single" w:sz="2" w:space="0" w:color="C0C0C0"/>
              <w:bottom w:val="single" w:sz="2" w:space="0" w:color="999999"/>
            </w:tcBorders>
            <w:shd w:val="clear" w:color="auto" w:fill="auto"/>
            <w:vAlign w:val="bottom"/>
          </w:tcPr>
          <w:p w14:paraId="293B5362" w14:textId="77777777" w:rsidR="00E5109D" w:rsidRPr="00071414" w:rsidRDefault="00E5109D" w:rsidP="00E4692A">
            <w:pPr>
              <w:pStyle w:val="Tabletext"/>
              <w:jc w:val="center"/>
              <w:rPr>
                <w:b/>
              </w:rPr>
            </w:pPr>
            <w:r w:rsidRPr="00071414">
              <w:rPr>
                <w:b/>
              </w:rPr>
              <w:t>-6.8%</w:t>
            </w:r>
          </w:p>
        </w:tc>
      </w:tr>
    </w:tbl>
    <w:p w14:paraId="1F955BA9" w14:textId="77777777" w:rsidR="00E5109D" w:rsidRDefault="00E5109D" w:rsidP="00E5109D">
      <w:pPr>
        <w:pStyle w:val="Note"/>
      </w:pPr>
      <w:r w:rsidRPr="0095682B">
        <w:rPr>
          <w:rStyle w:val="Notelabel"/>
        </w:rPr>
        <w:t>a</w:t>
      </w:r>
      <w:r w:rsidRPr="0095682B">
        <w:t xml:space="preserve"> </w:t>
      </w:r>
      <w:r>
        <w:t>Pre-CBD growth rate defined as compound annual growth rate from 2006 to 2009</w:t>
      </w:r>
      <w:r w:rsidR="00302330">
        <w:t>.</w:t>
      </w:r>
    </w:p>
    <w:p w14:paraId="3FEA2EE6" w14:textId="77777777" w:rsidR="00E5109D" w:rsidRDefault="00E5109D" w:rsidP="00E5109D">
      <w:pPr>
        <w:pStyle w:val="Note"/>
      </w:pPr>
      <w:r>
        <w:rPr>
          <w:rStyle w:val="Notelabel"/>
        </w:rPr>
        <w:t>b</w:t>
      </w:r>
      <w:r w:rsidRPr="0095682B">
        <w:t xml:space="preserve"> </w:t>
      </w:r>
      <w:r>
        <w:t>Post-CBD growth rate defined as compound annual growth rate from 2011 to 2014</w:t>
      </w:r>
      <w:r w:rsidR="00302330">
        <w:t>.</w:t>
      </w:r>
    </w:p>
    <w:p w14:paraId="1615F27E" w14:textId="77777777" w:rsidR="00E5109D" w:rsidRDefault="00E5109D" w:rsidP="00E5109D">
      <w:pPr>
        <w:pStyle w:val="Note"/>
      </w:pPr>
      <w:r w:rsidRPr="0095682B">
        <w:rPr>
          <w:i/>
        </w:rPr>
        <w:t>Note:</w:t>
      </w:r>
      <w:r w:rsidRPr="0095682B">
        <w:t xml:space="preserve"> </w:t>
      </w:r>
      <w:r>
        <w:t>No pre-CBD growth rate for mandatory segments as buildings in this group were not rating</w:t>
      </w:r>
      <w:r w:rsidR="00B12EEE">
        <w:t>.</w:t>
      </w:r>
    </w:p>
    <w:p w14:paraId="63048371" w14:textId="77777777" w:rsidR="00E5109D" w:rsidRPr="0095682B" w:rsidRDefault="00E5109D" w:rsidP="00E5109D">
      <w:pPr>
        <w:pStyle w:val="Source"/>
      </w:pPr>
      <w:r>
        <w:t>S</w:t>
      </w:r>
      <w:r w:rsidRPr="00B50A1B">
        <w:t>ource:</w:t>
      </w:r>
      <w:r w:rsidRPr="00954EED">
        <w:t xml:space="preserve"> </w:t>
      </w:r>
      <w:r>
        <w:t>ACIL Allen analysis of NABERS data</w:t>
      </w:r>
    </w:p>
    <w:p w14:paraId="3F3384AE" w14:textId="77777777" w:rsidR="00E5109D" w:rsidRDefault="00E5109D" w:rsidP="00E5109D">
      <w:pPr>
        <w:pStyle w:val="BodyText"/>
      </w:pPr>
      <w:r>
        <w:t>Two important qualifications should be considered when interpreting the above results</w:t>
      </w:r>
      <w:r w:rsidR="00CB3EC7">
        <w:t xml:space="preserve">. </w:t>
      </w:r>
      <w:r>
        <w:t>First, the averages are calculated based on the sample of buildings within each segment which choose to rate that year (rather than the entire population)</w:t>
      </w:r>
      <w:r w:rsidR="00CB3EC7">
        <w:t xml:space="preserve">. </w:t>
      </w:r>
      <w:r>
        <w:t>Second, while there is a relationship between star ratings and energy intensity, there is a range of possible energy intensities for buildings of the same star rating</w:t>
      </w:r>
      <w:r w:rsidR="00CB3EC7">
        <w:t xml:space="preserve">. </w:t>
      </w:r>
      <w:r>
        <w:t>This is because star ratings reflect relative performance and account for factors such as varying heating and cooling needs across climate zones</w:t>
      </w:r>
      <w:r w:rsidR="00CB3EC7">
        <w:t xml:space="preserve">. </w:t>
      </w:r>
      <w:r>
        <w:t>As a result, the trends contain some ‘noise’ (</w:t>
      </w:r>
      <w:r w:rsidR="00930C53">
        <w:t>that is,</w:t>
      </w:r>
      <w:r w:rsidR="00CB3EC7">
        <w:t xml:space="preserve"> </w:t>
      </w:r>
      <w:r>
        <w:t>movements in performance as a result of sampling rather than fundamental improvement) and this limits the types of conclusions that may be drawn from the data.</w:t>
      </w:r>
    </w:p>
    <w:p w14:paraId="3675E000" w14:textId="77777777" w:rsidR="00E4692A" w:rsidRDefault="00E4692A" w:rsidP="00E4692A">
      <w:pPr>
        <w:pStyle w:val="BodyText"/>
      </w:pPr>
      <w:r>
        <w:t>Notwithstanding the qualifications discussed, the following conclusions may be drawn:</w:t>
      </w:r>
    </w:p>
    <w:p w14:paraId="631F4334" w14:textId="77777777" w:rsidR="00E4692A" w:rsidRDefault="00E4692A" w:rsidP="00E4692A">
      <w:pPr>
        <w:pStyle w:val="ListDash"/>
      </w:pPr>
      <w:r>
        <w:t>The broad trends in energy performance of voluntary segments appear to have been maintained</w:t>
      </w:r>
      <w:r>
        <w:rPr>
          <w:rStyle w:val="FootnoteReference"/>
        </w:rPr>
        <w:footnoteReference w:id="20"/>
      </w:r>
      <w:r>
        <w:t xml:space="preserve"> throughout the period, despite the introduction of CBD</w:t>
      </w:r>
      <w:r w:rsidR="006A2503">
        <w:t>.</w:t>
      </w:r>
    </w:p>
    <w:p w14:paraId="41620E9D" w14:textId="77777777" w:rsidR="00E4692A" w:rsidRDefault="00E4692A" w:rsidP="00E4692A">
      <w:pPr>
        <w:pStyle w:val="ListDash"/>
      </w:pPr>
      <w:r>
        <w:t>The average star rating for buildings in the mandatory 4</w:t>
      </w:r>
      <w:r w:rsidRPr="0095682B">
        <w:rPr>
          <w:vertAlign w:val="superscript"/>
        </w:rPr>
        <w:t>th</w:t>
      </w:r>
      <w:r>
        <w:t xml:space="preserve"> quartile have rapidly increased, and energy intensities have rapidly declined, over the period covered by mandatory disclosure</w:t>
      </w:r>
      <w:r w:rsidR="006A2503">
        <w:t>.</w:t>
      </w:r>
    </w:p>
    <w:p w14:paraId="69D76603" w14:textId="161F0775" w:rsidR="00E4692A" w:rsidRDefault="00E4692A" w:rsidP="00E4692A">
      <w:pPr>
        <w:pStyle w:val="ListDash"/>
      </w:pPr>
      <w:r>
        <w:t>Buildings in the mandatory 4</w:t>
      </w:r>
      <w:r w:rsidRPr="0095682B">
        <w:rPr>
          <w:vertAlign w:val="superscript"/>
        </w:rPr>
        <w:t>th</w:t>
      </w:r>
      <w:r>
        <w:t xml:space="preserve"> quartile entered the ratings database at a very low level of energy performance (average star rating of 0.19)</w:t>
      </w:r>
      <w:r w:rsidR="00CB3EC7">
        <w:t xml:space="preserve">. </w:t>
      </w:r>
      <w:r>
        <w:t xml:space="preserve">While </w:t>
      </w:r>
      <w:r w:rsidR="00071DCC">
        <w:t xml:space="preserve">zero </w:t>
      </w:r>
      <w:r>
        <w:t>stars should not be thought of as a ‘floor’ for energy performance</w:t>
      </w:r>
      <w:r>
        <w:rPr>
          <w:rStyle w:val="FootnoteReference"/>
        </w:rPr>
        <w:footnoteReference w:id="21"/>
      </w:r>
      <w:r>
        <w:t>, both the quantitative and anecdotal evidence suggests that buildings within this segment ha</w:t>
      </w:r>
      <w:r w:rsidR="006A2503">
        <w:t>d</w:t>
      </w:r>
      <w:r>
        <w:t xml:space="preserve"> been stagnant</w:t>
      </w:r>
      <w:r w:rsidR="0058684E">
        <w:rPr>
          <w:rStyle w:val="FootnoteReference"/>
        </w:rPr>
        <w:footnoteReference w:id="22"/>
      </w:r>
      <w:r>
        <w:t xml:space="preserve"> with respect to energy performance and they have </w:t>
      </w:r>
      <w:r w:rsidR="001E1C7C">
        <w:t xml:space="preserve">clearly been the ones that </w:t>
      </w:r>
      <w:r>
        <w:t>responded most markedly following the introduction of CBD.</w:t>
      </w:r>
    </w:p>
    <w:p w14:paraId="07717E26" w14:textId="3F6DD178" w:rsidR="00E4692A" w:rsidRDefault="00E4692A" w:rsidP="00E4692A">
      <w:pPr>
        <w:pStyle w:val="BodyText"/>
      </w:pPr>
      <w:r>
        <w:t>Furthermore, stakeholders (particularly energy performance assessors) have noted that in addition to the clear</w:t>
      </w:r>
      <w:r w:rsidR="001E1C7C">
        <w:t>ly</w:t>
      </w:r>
      <w:r>
        <w:t xml:space="preserve"> observable impact the policy has had on buildings within the mandatory 4</w:t>
      </w:r>
      <w:r w:rsidRPr="0095682B">
        <w:rPr>
          <w:vertAlign w:val="superscript"/>
        </w:rPr>
        <w:t>th</w:t>
      </w:r>
      <w:r>
        <w:t xml:space="preserve"> quartile, two other segments </w:t>
      </w:r>
      <w:r w:rsidR="001E1C7C">
        <w:t xml:space="preserve">are </w:t>
      </w:r>
      <w:r>
        <w:t xml:space="preserve">likely </w:t>
      </w:r>
      <w:r w:rsidR="001E1C7C">
        <w:t xml:space="preserve">to have </w:t>
      </w:r>
      <w:r>
        <w:t xml:space="preserve">been </w:t>
      </w:r>
      <w:r>
        <w:lastRenderedPageBreak/>
        <w:t>affected by the CBD based on</w:t>
      </w:r>
      <w:r w:rsidR="00177C17">
        <w:t xml:space="preserve"> their</w:t>
      </w:r>
      <w:r>
        <w:t xml:space="preserve"> experience in performing assessments</w:t>
      </w:r>
      <w:r w:rsidR="00CB3EC7">
        <w:t xml:space="preserve">. </w:t>
      </w:r>
      <w:r>
        <w:t>Specifically:</w:t>
      </w:r>
    </w:p>
    <w:p w14:paraId="2801315A" w14:textId="7309CABF" w:rsidR="00E4692A" w:rsidRDefault="00E4692A" w:rsidP="00E4692A">
      <w:pPr>
        <w:pStyle w:val="ListDash"/>
      </w:pPr>
      <w:r>
        <w:t>The 1</w:t>
      </w:r>
      <w:r w:rsidRPr="0095682B">
        <w:rPr>
          <w:vertAlign w:val="superscript"/>
        </w:rPr>
        <w:t>st</w:t>
      </w:r>
      <w:r>
        <w:t xml:space="preserve"> quartile of mandatory </w:t>
      </w:r>
      <w:proofErr w:type="spellStart"/>
      <w:r>
        <w:t>raters</w:t>
      </w:r>
      <w:proofErr w:type="spellEnd"/>
      <w:r>
        <w:t xml:space="preserve"> enters the ratings database at a high level of energy performance (average star rating of higher than 4)</w:t>
      </w:r>
      <w:r w:rsidR="00CB3EC7">
        <w:t xml:space="preserve">. </w:t>
      </w:r>
      <w:r>
        <w:t>Anecdotal evidence from energy performance assessors suggests that many buildings that were not previously rating and have had high first ratings, have in</w:t>
      </w:r>
      <w:r w:rsidR="00453812">
        <w:t xml:space="preserve"> </w:t>
      </w:r>
      <w:r>
        <w:t>fact undertaken informal ratings and upgrades to their energy performance prior to their first rating</w:t>
      </w:r>
      <w:r w:rsidR="00CB3EC7">
        <w:t xml:space="preserve">. </w:t>
      </w:r>
      <w:r>
        <w:t xml:space="preserve">Therefore, the benefits of these upgrades </w:t>
      </w:r>
      <w:r w:rsidR="001E1C7C">
        <w:t>should</w:t>
      </w:r>
      <w:r>
        <w:t xml:space="preserve"> be attributed to the CBD</w:t>
      </w:r>
      <w:r w:rsidR="00177C17">
        <w:t>.</w:t>
      </w:r>
    </w:p>
    <w:p w14:paraId="50CF105A" w14:textId="77777777" w:rsidR="00E4692A" w:rsidRDefault="00E4692A" w:rsidP="00E4692A">
      <w:pPr>
        <w:pStyle w:val="ListDash"/>
      </w:pPr>
      <w:r>
        <w:t>A proportion of improvement for buildings in the mandatory 3</w:t>
      </w:r>
      <w:r w:rsidRPr="0095682B">
        <w:rPr>
          <w:vertAlign w:val="superscript"/>
        </w:rPr>
        <w:t>rd</w:t>
      </w:r>
      <w:r>
        <w:t xml:space="preserve"> quartile is attributable to the CBD as these buildings are also starting from a low base of performance (albeit not as low as the 4</w:t>
      </w:r>
      <w:r w:rsidRPr="0095682B">
        <w:rPr>
          <w:vertAlign w:val="superscript"/>
        </w:rPr>
        <w:t>th</w:t>
      </w:r>
      <w:r>
        <w:t xml:space="preserve"> quartile)</w:t>
      </w:r>
      <w:r w:rsidR="00CB3EC7">
        <w:t xml:space="preserve">. </w:t>
      </w:r>
      <w:r>
        <w:t>This segment has an average star rating of approximately 2.0 in 2010 and a number of buildings are likely to have had stagnant energy performance prior to the CBD</w:t>
      </w:r>
      <w:r w:rsidR="00CB3EC7">
        <w:t xml:space="preserve">. </w:t>
      </w:r>
      <w:r>
        <w:t>By 2014, the segment achieves an average star rating of 2.7.</w:t>
      </w:r>
    </w:p>
    <w:p w14:paraId="32B3318D" w14:textId="77777777" w:rsidR="00E4692A" w:rsidRDefault="00E4692A" w:rsidP="00E4692A">
      <w:pPr>
        <w:pStyle w:val="BodyText"/>
      </w:pPr>
      <w:r>
        <w:t xml:space="preserve">Based on this evidence, </w:t>
      </w:r>
      <w:r w:rsidR="001E1C7C">
        <w:t xml:space="preserve">ACIL Allen believes that </w:t>
      </w:r>
      <w:r>
        <w:t xml:space="preserve">the </w:t>
      </w:r>
      <w:r w:rsidR="001E1C7C">
        <w:t xml:space="preserve">CBD program </w:t>
      </w:r>
      <w:r>
        <w:t xml:space="preserve">is likely to have had an effect on </w:t>
      </w:r>
      <w:r w:rsidR="007D3F28">
        <w:t>b</w:t>
      </w:r>
      <w:r w:rsidR="001E1C7C">
        <w:t xml:space="preserve">uildings in the </w:t>
      </w:r>
      <w:r>
        <w:t>mandatory 1</w:t>
      </w:r>
      <w:r w:rsidRPr="0095682B">
        <w:rPr>
          <w:vertAlign w:val="superscript"/>
        </w:rPr>
        <w:t>st</w:t>
      </w:r>
      <w:r>
        <w:t>, 3</w:t>
      </w:r>
      <w:r w:rsidRPr="0095682B">
        <w:rPr>
          <w:vertAlign w:val="superscript"/>
        </w:rPr>
        <w:t>rd</w:t>
      </w:r>
      <w:r>
        <w:t xml:space="preserve"> and 4</w:t>
      </w:r>
      <w:r w:rsidRPr="0095682B">
        <w:rPr>
          <w:vertAlign w:val="superscript"/>
        </w:rPr>
        <w:t>th</w:t>
      </w:r>
      <w:r>
        <w:t xml:space="preserve"> quartiles</w:t>
      </w:r>
      <w:r w:rsidR="00CB3EC7">
        <w:t xml:space="preserve">. </w:t>
      </w:r>
      <w:r>
        <w:t xml:space="preserve">The magnitude of the effect on the </w:t>
      </w:r>
      <w:r w:rsidR="00177C17">
        <w:t>4</w:t>
      </w:r>
      <w:r w:rsidR="00177C17" w:rsidRPr="0095682B">
        <w:rPr>
          <w:vertAlign w:val="superscript"/>
        </w:rPr>
        <w:t>th</w:t>
      </w:r>
      <w:r w:rsidR="00177C17">
        <w:t xml:space="preserve"> </w:t>
      </w:r>
      <w:r>
        <w:t xml:space="preserve">quartile </w:t>
      </w:r>
      <w:r w:rsidR="001E1C7C">
        <w:t xml:space="preserve">buildings </w:t>
      </w:r>
      <w:r>
        <w:t>may be measured through the results of the trend analysis</w:t>
      </w:r>
      <w:r w:rsidR="00CB3EC7">
        <w:t xml:space="preserve">. </w:t>
      </w:r>
      <w:r>
        <w:t>However, the magnitude of the effect on the</w:t>
      </w:r>
      <w:r w:rsidR="00177C17">
        <w:t xml:space="preserve"> 1</w:t>
      </w:r>
      <w:r w:rsidR="00177C17" w:rsidRPr="0095682B">
        <w:rPr>
          <w:vertAlign w:val="superscript"/>
        </w:rPr>
        <w:t>st</w:t>
      </w:r>
      <w:r w:rsidR="00177C17">
        <w:t xml:space="preserve"> and </w:t>
      </w:r>
      <w:r>
        <w:t>3</w:t>
      </w:r>
      <w:r w:rsidRPr="0095682B">
        <w:rPr>
          <w:vertAlign w:val="superscript"/>
        </w:rPr>
        <w:t>rd</w:t>
      </w:r>
      <w:r>
        <w:t xml:space="preserve"> quartiles is much less certain.</w:t>
      </w:r>
    </w:p>
    <w:p w14:paraId="1F80B46F" w14:textId="77777777" w:rsidR="00E4692A" w:rsidRDefault="00E4692A" w:rsidP="00C74D7C">
      <w:pPr>
        <w:pStyle w:val="Heading3"/>
      </w:pPr>
      <w:bookmarkStart w:id="179" w:name="_Toc415660870"/>
      <w:r>
        <w:t>Attribution of improvements to the CBD</w:t>
      </w:r>
      <w:bookmarkEnd w:id="179"/>
    </w:p>
    <w:p w14:paraId="2796C15F" w14:textId="77777777" w:rsidR="00E4692A" w:rsidRDefault="00E4692A" w:rsidP="00E4692A">
      <w:pPr>
        <w:pStyle w:val="BodyText"/>
      </w:pPr>
      <w:r>
        <w:t>The effect of the CBD policy is measured as differences between the observed energy intensities and the hypothesised counterfactual energy intensities of buildings had the CBD not been in place</w:t>
      </w:r>
      <w:r w:rsidR="00CB3EC7">
        <w:t xml:space="preserve">. </w:t>
      </w:r>
      <w:r>
        <w:t>Energy intensities (as opposed to star ratings) are used as they may be translated into resource cost savings, which are the primary economic benefits arising from the improvements in energy performance</w:t>
      </w:r>
      <w:r w:rsidR="00CB3EC7">
        <w:t xml:space="preserve">. </w:t>
      </w:r>
      <w:r>
        <w:t>The uncertainty in magnitude of effect of CBD for various segments is addressed through the use of scenario analysis and construction of ‘lower bound’ and ‘realistic’ cases.</w:t>
      </w:r>
    </w:p>
    <w:p w14:paraId="5D851215" w14:textId="77777777" w:rsidR="00A05665" w:rsidRDefault="00A05665" w:rsidP="00A05665">
      <w:pPr>
        <w:pStyle w:val="Heading4"/>
      </w:pPr>
      <w:r>
        <w:t>Lower bound case</w:t>
      </w:r>
    </w:p>
    <w:p w14:paraId="55138EC9" w14:textId="696312F6" w:rsidR="00E4692A" w:rsidRDefault="00E4692A" w:rsidP="00E4692A">
      <w:pPr>
        <w:pStyle w:val="BodyText"/>
      </w:pPr>
      <w:r>
        <w:t xml:space="preserve">The </w:t>
      </w:r>
      <w:r w:rsidRPr="00A05665">
        <w:t>lower bound</w:t>
      </w:r>
      <w:r>
        <w:t xml:space="preserve"> case includes only segments where the magnitude of the effect is observable and measurable through the quantitative analysis</w:t>
      </w:r>
      <w:r w:rsidR="00CB3EC7">
        <w:t xml:space="preserve">. </w:t>
      </w:r>
      <w:r>
        <w:t>This includes only the 4</w:t>
      </w:r>
      <w:r w:rsidRPr="00487E6D">
        <w:rPr>
          <w:vertAlign w:val="superscript"/>
        </w:rPr>
        <w:t>th</w:t>
      </w:r>
      <w:r>
        <w:t xml:space="preserve"> quartile of mandatory </w:t>
      </w:r>
      <w:proofErr w:type="spellStart"/>
      <w:r>
        <w:t>raters</w:t>
      </w:r>
      <w:proofErr w:type="spellEnd"/>
      <w:r w:rsidR="00CB3EC7">
        <w:t xml:space="preserve">. </w:t>
      </w:r>
      <w:r>
        <w:t>The entire estimated average improvement (from 888 MJ/m</w:t>
      </w:r>
      <w:r w:rsidRPr="00487E6D">
        <w:rPr>
          <w:vertAlign w:val="superscript"/>
        </w:rPr>
        <w:t>2</w:t>
      </w:r>
      <w:r>
        <w:t xml:space="preserve"> in 2010 to 597 MJ/m</w:t>
      </w:r>
      <w:r w:rsidRPr="00487E6D">
        <w:rPr>
          <w:vertAlign w:val="superscript"/>
        </w:rPr>
        <w:t>2</w:t>
      </w:r>
      <w:r>
        <w:t xml:space="preserve"> in 2014) is assumed to be attributable to the CBD program</w:t>
      </w:r>
      <w:r w:rsidR="00CB3EC7">
        <w:t xml:space="preserve">. </w:t>
      </w:r>
      <w:r>
        <w:t>Buildings within this segment have reportedly not participated in very generous energy efficiency schemes offered by government</w:t>
      </w:r>
      <w:r w:rsidR="007F1B2B">
        <w:t xml:space="preserve"> prior to mandatory disclosure</w:t>
      </w:r>
      <w:r w:rsidR="00CB3EC7">
        <w:t xml:space="preserve">. </w:t>
      </w:r>
      <w:r>
        <w:t xml:space="preserve">While the buildings may have benefited from some complementary programs following the introduction of mandatory disclosure, this improvement is fully attributed to CBD given that participation in these programs is not expected to have </w:t>
      </w:r>
      <w:r w:rsidR="00F01A29">
        <w:t xml:space="preserve">occurred </w:t>
      </w:r>
      <w:r>
        <w:t>had mandatory disclosure not been in place.</w:t>
      </w:r>
    </w:p>
    <w:p w14:paraId="6A59A915" w14:textId="77777777" w:rsidR="00A05665" w:rsidRDefault="00A05665" w:rsidP="00A05665">
      <w:pPr>
        <w:pStyle w:val="Heading4"/>
      </w:pPr>
      <w:r>
        <w:t>Realistic case</w:t>
      </w:r>
    </w:p>
    <w:p w14:paraId="0CB87255" w14:textId="77777777" w:rsidR="00E4692A" w:rsidRDefault="00E4692A" w:rsidP="00E4692A">
      <w:pPr>
        <w:pStyle w:val="BodyText"/>
      </w:pPr>
      <w:r>
        <w:t xml:space="preserve">The </w:t>
      </w:r>
      <w:r w:rsidRPr="00A05665">
        <w:t xml:space="preserve">realistic </w:t>
      </w:r>
      <w:r>
        <w:t>case also includes effects on segments where evidence suggests that improvements have been driven by CBD but the extent of these improvements cannot be as precisely estimated through the quantitative analysis</w:t>
      </w:r>
      <w:r w:rsidR="00CB3EC7">
        <w:t xml:space="preserve">. </w:t>
      </w:r>
      <w:r>
        <w:t>A lower level of confidence i</w:t>
      </w:r>
      <w:r w:rsidR="00270FFB">
        <w:t>s</w:t>
      </w:r>
      <w:r>
        <w:t xml:space="preserve"> placed on estimated improvements for these segment</w:t>
      </w:r>
      <w:r w:rsidR="00742A41">
        <w:t>s</w:t>
      </w:r>
      <w:r>
        <w:t>.</w:t>
      </w:r>
    </w:p>
    <w:p w14:paraId="1B06E958" w14:textId="56614F4D" w:rsidR="00E4692A" w:rsidRDefault="00742A41" w:rsidP="00E4692A">
      <w:pPr>
        <w:pStyle w:val="BodyText"/>
      </w:pPr>
      <w:r>
        <w:lastRenderedPageBreak/>
        <w:t>I</w:t>
      </w:r>
      <w:r w:rsidR="00E4692A">
        <w:t xml:space="preserve">n discussions with energy performance assessors, </w:t>
      </w:r>
      <w:r>
        <w:t xml:space="preserve">it was suggested that </w:t>
      </w:r>
      <w:r w:rsidR="00E4692A">
        <w:t xml:space="preserve">the CBD </w:t>
      </w:r>
      <w:r>
        <w:t xml:space="preserve">program </w:t>
      </w:r>
      <w:r w:rsidR="00E4692A">
        <w:t>prompted a number of buildings to undertake informal ratings and improvements</w:t>
      </w:r>
      <w:r w:rsidR="005A40F7">
        <w:t>,</w:t>
      </w:r>
      <w:r w:rsidR="00E4692A">
        <w:t xml:space="preserve"> delivering improvements of 1 to 2 stars, prior to </w:t>
      </w:r>
      <w:r>
        <w:t xml:space="preserve">their </w:t>
      </w:r>
      <w:r w:rsidR="00E4692A">
        <w:t xml:space="preserve">first </w:t>
      </w:r>
      <w:r>
        <w:t xml:space="preserve">NABERS </w:t>
      </w:r>
      <w:r w:rsidR="00E4692A">
        <w:t>rating</w:t>
      </w:r>
      <w:r w:rsidR="00CB3EC7">
        <w:t xml:space="preserve">. </w:t>
      </w:r>
      <w:r w:rsidR="00E4692A">
        <w:t>These buildings are likely to have contributed to the high average rating of the mandatory 1</w:t>
      </w:r>
      <w:r w:rsidR="00E4692A" w:rsidRPr="00487E6D">
        <w:rPr>
          <w:vertAlign w:val="superscript"/>
        </w:rPr>
        <w:t>st</w:t>
      </w:r>
      <w:r w:rsidR="00E4692A">
        <w:t xml:space="preserve"> quartile</w:t>
      </w:r>
      <w:r w:rsidR="00CB3EC7">
        <w:t xml:space="preserve">. </w:t>
      </w:r>
      <w:r w:rsidR="00E4692A">
        <w:t>However, the mandatory 1</w:t>
      </w:r>
      <w:r w:rsidR="00E4692A" w:rsidRPr="00487E6D">
        <w:rPr>
          <w:vertAlign w:val="superscript"/>
        </w:rPr>
        <w:t>st</w:t>
      </w:r>
      <w:r w:rsidR="00E4692A">
        <w:t xml:space="preserve"> quartile is also likely to include buildings that are relatively new (commissioned and operational in the years leading up to disclosure)</w:t>
      </w:r>
      <w:r w:rsidR="00CB3EC7">
        <w:t xml:space="preserve">. </w:t>
      </w:r>
      <w:r w:rsidR="00E4692A">
        <w:t>These would not have experienced the same type of improvement</w:t>
      </w:r>
      <w:r w:rsidR="00CB3EC7">
        <w:t xml:space="preserve">. </w:t>
      </w:r>
      <w:r w:rsidR="00E4692A">
        <w:t xml:space="preserve">An assumed average improvement of </w:t>
      </w:r>
      <w:r w:rsidR="00A17B3F">
        <w:t>one</w:t>
      </w:r>
      <w:r w:rsidR="00E4692A">
        <w:t xml:space="preserve"> star is taken as a balanced assumption considering these two factors (</w:t>
      </w:r>
      <w:r>
        <w:t>that is,</w:t>
      </w:r>
      <w:r w:rsidR="00E4692A">
        <w:t xml:space="preserve"> the </w:t>
      </w:r>
      <w:r w:rsidR="007D3F28">
        <w:t xml:space="preserve">observed </w:t>
      </w:r>
      <w:r w:rsidR="00E4692A">
        <w:t xml:space="preserve">performance is assumed to have been on average </w:t>
      </w:r>
      <w:r w:rsidR="00A17B3F">
        <w:t>one</w:t>
      </w:r>
      <w:r w:rsidR="00E4692A">
        <w:t xml:space="preserve"> star higher than what it would have been without CBD over the period 2010 to 2014).</w:t>
      </w:r>
    </w:p>
    <w:p w14:paraId="73328CDD" w14:textId="77777777" w:rsidR="00E4692A" w:rsidRDefault="00E4692A" w:rsidP="00E4692A">
      <w:pPr>
        <w:pStyle w:val="BodyText"/>
      </w:pPr>
      <w:r>
        <w:t>Some of the improvements to the mandatory 3</w:t>
      </w:r>
      <w:r w:rsidRPr="00487E6D">
        <w:rPr>
          <w:vertAlign w:val="superscript"/>
        </w:rPr>
        <w:t>rd</w:t>
      </w:r>
      <w:r>
        <w:t xml:space="preserve"> quartile would have resulted from mandatory disclosure</w:t>
      </w:r>
      <w:r w:rsidR="002D4E23">
        <w:t>,</w:t>
      </w:r>
      <w:r>
        <w:t xml:space="preserve"> as the ratings for these buildings have been improving from a low base</w:t>
      </w:r>
      <w:r w:rsidR="00CB3EC7">
        <w:t xml:space="preserve">. </w:t>
      </w:r>
      <w:r>
        <w:t>However, some buildings in this quartile are likely to have been undertaking improvements prior to mandatory disclosure and would likely</w:t>
      </w:r>
      <w:r w:rsidR="004300E5">
        <w:t xml:space="preserve"> have</w:t>
      </w:r>
      <w:r>
        <w:t xml:space="preserve"> continued </w:t>
      </w:r>
      <w:r w:rsidR="004300E5">
        <w:t>to</w:t>
      </w:r>
      <w:r>
        <w:t xml:space="preserve"> improve had the CBD not been in place</w:t>
      </w:r>
      <w:r w:rsidR="00CB3EC7">
        <w:t xml:space="preserve">. </w:t>
      </w:r>
      <w:r>
        <w:t>It is assumed that 50</w:t>
      </w:r>
      <w:r w:rsidR="004300E5">
        <w:t xml:space="preserve"> per cent</w:t>
      </w:r>
      <w:r>
        <w:t xml:space="preserve"> of the observed improvements between 2010 and 2014 are attributable to the CBD.</w:t>
      </w:r>
    </w:p>
    <w:p w14:paraId="7552E774" w14:textId="0BBDFF8D" w:rsidR="00E4692A" w:rsidRDefault="00E4692A" w:rsidP="00E4692A">
      <w:pPr>
        <w:pStyle w:val="BodyText"/>
      </w:pPr>
      <w:r>
        <w:t xml:space="preserve">The attribution assumptions for the lower bound and realistic cases are presented in </w:t>
      </w:r>
      <w:r w:rsidR="005D6F77">
        <w:fldChar w:fldCharType="begin"/>
      </w:r>
      <w:r w:rsidR="005D6F77">
        <w:instrText xml:space="preserve"> REF _Ref414888320 \h </w:instrText>
      </w:r>
      <w:r w:rsidR="005D6F77">
        <w:fldChar w:fldCharType="separate"/>
      </w:r>
      <w:r w:rsidR="006A273E">
        <w:t xml:space="preserve">Table </w:t>
      </w:r>
      <w:r w:rsidR="006A273E">
        <w:rPr>
          <w:noProof/>
        </w:rPr>
        <w:t>9</w:t>
      </w:r>
      <w:r w:rsidR="005D6F77">
        <w:fldChar w:fldCharType="end"/>
      </w:r>
      <w:r>
        <w:t>.</w:t>
      </w:r>
    </w:p>
    <w:p w14:paraId="49C0DA5B" w14:textId="1A3F720B" w:rsidR="005D6F77" w:rsidRDefault="005D6F77">
      <w:pPr>
        <w:pStyle w:val="Caption"/>
        <w:rPr>
          <w:rStyle w:val="CaptionLabel"/>
        </w:rPr>
      </w:pPr>
      <w:bookmarkStart w:id="180" w:name="_Ref414888320"/>
      <w:bookmarkStart w:id="181" w:name="_Toc415661016"/>
      <w:r>
        <w:t xml:space="preserve">Table </w:t>
      </w:r>
      <w:fldSimple w:instr=" SEQ Table \* ARABIC ">
        <w:r w:rsidR="006A273E">
          <w:rPr>
            <w:noProof/>
          </w:rPr>
          <w:t>9</w:t>
        </w:r>
      </w:fldSimple>
      <w:bookmarkEnd w:id="180"/>
      <w:r w:rsidRPr="008357FB">
        <w:rPr>
          <w:rStyle w:val="CaptionLabel"/>
        </w:rPr>
        <w:tab/>
      </w:r>
      <w:r>
        <w:rPr>
          <w:b/>
          <w:color w:val="000000"/>
        </w:rPr>
        <w:t>Assumed attribution of improvements to CBD</w:t>
      </w:r>
      <w:bookmarkEnd w:id="181"/>
    </w:p>
    <w:tbl>
      <w:tblPr>
        <w:tblW w:w="7343" w:type="dxa"/>
        <w:tblInd w:w="28"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1815"/>
        <w:gridCol w:w="1382"/>
        <w:gridCol w:w="1382"/>
        <w:gridCol w:w="1382"/>
        <w:gridCol w:w="1382"/>
      </w:tblGrid>
      <w:tr w:rsidR="005D6F77" w14:paraId="3A1953AE" w14:textId="77777777" w:rsidTr="002B77C2">
        <w:trPr>
          <w:cantSplit/>
        </w:trPr>
        <w:tc>
          <w:tcPr>
            <w:tcW w:w="1815" w:type="dxa"/>
            <w:tcBorders>
              <w:top w:val="nil"/>
              <w:bottom w:val="single" w:sz="2" w:space="0" w:color="C0C0C0"/>
            </w:tcBorders>
            <w:shd w:val="solid" w:color="9757A6" w:fill="auto"/>
            <w:vAlign w:val="center"/>
          </w:tcPr>
          <w:p w14:paraId="6B62D1A1" w14:textId="77777777" w:rsidR="005D6F77" w:rsidRPr="00A31DAB" w:rsidRDefault="005D6F77" w:rsidP="002B77C2">
            <w:pPr>
              <w:pStyle w:val="Tablecolumnheadings"/>
            </w:pPr>
            <w:r w:rsidRPr="00A31DAB">
              <w:t>Segment</w:t>
            </w:r>
          </w:p>
        </w:tc>
        <w:tc>
          <w:tcPr>
            <w:tcW w:w="1382" w:type="dxa"/>
            <w:tcBorders>
              <w:top w:val="nil"/>
              <w:bottom w:val="single" w:sz="2" w:space="0" w:color="C0C0C0"/>
            </w:tcBorders>
            <w:shd w:val="solid" w:color="9757A6" w:fill="auto"/>
            <w:vAlign w:val="center"/>
          </w:tcPr>
          <w:p w14:paraId="4910FAA9" w14:textId="77777777" w:rsidR="005D6F77" w:rsidRPr="00A31DAB" w:rsidRDefault="005D6F77" w:rsidP="002B77C2">
            <w:pPr>
              <w:pStyle w:val="Tablecolumnheadings"/>
              <w:jc w:val="center"/>
            </w:pPr>
            <w:r w:rsidRPr="00A31DAB">
              <w:t>Assumed attribution of benefit</w:t>
            </w:r>
          </w:p>
        </w:tc>
        <w:tc>
          <w:tcPr>
            <w:tcW w:w="1382" w:type="dxa"/>
            <w:tcBorders>
              <w:top w:val="nil"/>
              <w:bottom w:val="single" w:sz="2" w:space="0" w:color="C0C0C0"/>
            </w:tcBorders>
            <w:shd w:val="solid" w:color="9757A6" w:fill="auto"/>
            <w:vAlign w:val="center"/>
          </w:tcPr>
          <w:p w14:paraId="2B6CF1E6" w14:textId="77777777" w:rsidR="005D6F77" w:rsidRPr="00A31DAB" w:rsidRDefault="005D6F77" w:rsidP="002B77C2">
            <w:pPr>
              <w:pStyle w:val="Tablecolumnheadings"/>
              <w:jc w:val="center"/>
            </w:pPr>
            <w:r w:rsidRPr="00A31DAB">
              <w:t>Confidence in assumption</w:t>
            </w:r>
          </w:p>
        </w:tc>
        <w:tc>
          <w:tcPr>
            <w:tcW w:w="1382" w:type="dxa"/>
            <w:tcBorders>
              <w:top w:val="nil"/>
              <w:bottom w:val="single" w:sz="2" w:space="0" w:color="C0C0C0"/>
            </w:tcBorders>
            <w:shd w:val="solid" w:color="9757A6" w:fill="auto"/>
            <w:vAlign w:val="center"/>
          </w:tcPr>
          <w:p w14:paraId="0D88C97E" w14:textId="77777777" w:rsidR="005D6F77" w:rsidRPr="00A31DAB" w:rsidRDefault="005D6F77" w:rsidP="002B77C2">
            <w:pPr>
              <w:pStyle w:val="Tablecolumnheadings"/>
              <w:jc w:val="center"/>
            </w:pPr>
            <w:r w:rsidRPr="00A31DAB">
              <w:t>Assumed attribution of benefit</w:t>
            </w:r>
          </w:p>
        </w:tc>
        <w:tc>
          <w:tcPr>
            <w:tcW w:w="1382" w:type="dxa"/>
            <w:tcBorders>
              <w:top w:val="nil"/>
              <w:bottom w:val="single" w:sz="2" w:space="0" w:color="C0C0C0"/>
            </w:tcBorders>
            <w:shd w:val="solid" w:color="9757A6" w:fill="auto"/>
            <w:vAlign w:val="center"/>
          </w:tcPr>
          <w:p w14:paraId="53A69E72" w14:textId="77777777" w:rsidR="005D6F77" w:rsidRPr="00A31DAB" w:rsidRDefault="005D6F77" w:rsidP="002B77C2">
            <w:pPr>
              <w:pStyle w:val="Tablecolumnheadings"/>
              <w:jc w:val="center"/>
            </w:pPr>
            <w:r w:rsidRPr="00A31DAB">
              <w:t>Confidence in assumption</w:t>
            </w:r>
          </w:p>
        </w:tc>
      </w:tr>
      <w:tr w:rsidR="005D6F77" w14:paraId="59E8D23D" w14:textId="77777777" w:rsidTr="002B77C2">
        <w:trPr>
          <w:cantSplit/>
        </w:trPr>
        <w:tc>
          <w:tcPr>
            <w:tcW w:w="1815" w:type="dxa"/>
            <w:tcBorders>
              <w:top w:val="single" w:sz="2" w:space="0" w:color="C0C0C0"/>
            </w:tcBorders>
            <w:shd w:val="clear" w:color="auto" w:fill="D9D9D9" w:themeFill="background1" w:themeFillShade="D9"/>
            <w:vAlign w:val="center"/>
          </w:tcPr>
          <w:p w14:paraId="78AC12FF" w14:textId="77777777" w:rsidR="005D6F77" w:rsidRPr="00487E6D" w:rsidRDefault="005D6F77" w:rsidP="002B77C2">
            <w:pPr>
              <w:pStyle w:val="Tablecolumnheadings"/>
              <w:rPr>
                <w:b/>
                <w:color w:val="000000" w:themeColor="text1"/>
              </w:rPr>
            </w:pPr>
            <w:r w:rsidRPr="00487E6D">
              <w:rPr>
                <w:b/>
                <w:color w:val="000000" w:themeColor="text1"/>
              </w:rPr>
              <w:t>Case</w:t>
            </w:r>
          </w:p>
        </w:tc>
        <w:tc>
          <w:tcPr>
            <w:tcW w:w="1382" w:type="dxa"/>
            <w:tcBorders>
              <w:top w:val="single" w:sz="2" w:space="0" w:color="C0C0C0"/>
            </w:tcBorders>
            <w:shd w:val="clear" w:color="auto" w:fill="D9D9D9" w:themeFill="background1" w:themeFillShade="D9"/>
            <w:vAlign w:val="center"/>
          </w:tcPr>
          <w:p w14:paraId="7C61CA34" w14:textId="77777777" w:rsidR="005D6F77" w:rsidRPr="00487E6D" w:rsidRDefault="005D6F77" w:rsidP="002B77C2">
            <w:pPr>
              <w:pStyle w:val="Tablecolumnheadings"/>
              <w:jc w:val="center"/>
              <w:rPr>
                <w:b/>
                <w:color w:val="000000" w:themeColor="text1"/>
              </w:rPr>
            </w:pPr>
            <w:r w:rsidRPr="00487E6D">
              <w:rPr>
                <w:b/>
                <w:color w:val="000000" w:themeColor="text1"/>
              </w:rPr>
              <w:t>Lower bound</w:t>
            </w:r>
          </w:p>
        </w:tc>
        <w:tc>
          <w:tcPr>
            <w:tcW w:w="1382" w:type="dxa"/>
            <w:tcBorders>
              <w:top w:val="single" w:sz="2" w:space="0" w:color="C0C0C0"/>
            </w:tcBorders>
            <w:shd w:val="clear" w:color="auto" w:fill="D9D9D9" w:themeFill="background1" w:themeFillShade="D9"/>
            <w:vAlign w:val="center"/>
          </w:tcPr>
          <w:p w14:paraId="4E97199C" w14:textId="77777777" w:rsidR="005D6F77" w:rsidRPr="00487E6D" w:rsidRDefault="005D6F77" w:rsidP="002B77C2">
            <w:pPr>
              <w:pStyle w:val="Tablecolumnheadings"/>
              <w:jc w:val="center"/>
              <w:rPr>
                <w:b/>
                <w:color w:val="000000" w:themeColor="text1"/>
              </w:rPr>
            </w:pPr>
            <w:r w:rsidRPr="00487E6D">
              <w:rPr>
                <w:b/>
                <w:color w:val="000000" w:themeColor="text1"/>
              </w:rPr>
              <w:t>Lower bound</w:t>
            </w:r>
          </w:p>
        </w:tc>
        <w:tc>
          <w:tcPr>
            <w:tcW w:w="1382" w:type="dxa"/>
            <w:tcBorders>
              <w:top w:val="single" w:sz="2" w:space="0" w:color="C0C0C0"/>
            </w:tcBorders>
            <w:shd w:val="clear" w:color="auto" w:fill="D9D9D9" w:themeFill="background1" w:themeFillShade="D9"/>
            <w:vAlign w:val="center"/>
          </w:tcPr>
          <w:p w14:paraId="15BE6518" w14:textId="77777777" w:rsidR="005D6F77" w:rsidRPr="00487E6D" w:rsidRDefault="005D6F77" w:rsidP="002B77C2">
            <w:pPr>
              <w:pStyle w:val="Tablecolumnheadings"/>
              <w:jc w:val="center"/>
              <w:rPr>
                <w:b/>
                <w:color w:val="000000" w:themeColor="text1"/>
              </w:rPr>
            </w:pPr>
            <w:r w:rsidRPr="00487E6D">
              <w:rPr>
                <w:b/>
                <w:color w:val="000000" w:themeColor="text1"/>
              </w:rPr>
              <w:t>Realistic</w:t>
            </w:r>
          </w:p>
        </w:tc>
        <w:tc>
          <w:tcPr>
            <w:tcW w:w="1382" w:type="dxa"/>
            <w:tcBorders>
              <w:top w:val="single" w:sz="2" w:space="0" w:color="C0C0C0"/>
            </w:tcBorders>
            <w:shd w:val="clear" w:color="auto" w:fill="D9D9D9" w:themeFill="background1" w:themeFillShade="D9"/>
            <w:vAlign w:val="center"/>
          </w:tcPr>
          <w:p w14:paraId="44390104" w14:textId="77777777" w:rsidR="005D6F77" w:rsidRPr="00487E6D" w:rsidRDefault="005D6F77" w:rsidP="002B77C2">
            <w:pPr>
              <w:pStyle w:val="Tablecolumnheadings"/>
              <w:jc w:val="center"/>
              <w:rPr>
                <w:b/>
                <w:color w:val="000000" w:themeColor="text1"/>
              </w:rPr>
            </w:pPr>
            <w:r w:rsidRPr="00487E6D">
              <w:rPr>
                <w:b/>
                <w:color w:val="000000" w:themeColor="text1"/>
              </w:rPr>
              <w:t>Realistic</w:t>
            </w:r>
          </w:p>
        </w:tc>
      </w:tr>
      <w:tr w:rsidR="005D6F77" w14:paraId="17DEEA97" w14:textId="77777777" w:rsidTr="002B77C2">
        <w:trPr>
          <w:cantSplit/>
        </w:trPr>
        <w:tc>
          <w:tcPr>
            <w:tcW w:w="1815" w:type="dxa"/>
            <w:shd w:val="clear" w:color="auto" w:fill="auto"/>
            <w:vAlign w:val="center"/>
          </w:tcPr>
          <w:p w14:paraId="53D65B8E" w14:textId="77777777" w:rsidR="005D6F77" w:rsidRDefault="005D6F77" w:rsidP="002B77C2">
            <w:pPr>
              <w:pStyle w:val="Tabletext"/>
            </w:pPr>
            <w:r>
              <w:t>Voluntary segments</w:t>
            </w:r>
          </w:p>
        </w:tc>
        <w:tc>
          <w:tcPr>
            <w:tcW w:w="1382" w:type="dxa"/>
            <w:shd w:val="clear" w:color="auto" w:fill="auto"/>
            <w:vAlign w:val="center"/>
          </w:tcPr>
          <w:p w14:paraId="618337EB" w14:textId="77777777" w:rsidR="005D6F77" w:rsidRDefault="005D6F77" w:rsidP="002B77C2">
            <w:pPr>
              <w:pStyle w:val="Tabletext"/>
              <w:jc w:val="center"/>
            </w:pPr>
            <w:r>
              <w:t>0%</w:t>
            </w:r>
          </w:p>
        </w:tc>
        <w:tc>
          <w:tcPr>
            <w:tcW w:w="1382" w:type="dxa"/>
            <w:shd w:val="clear" w:color="auto" w:fill="auto"/>
            <w:vAlign w:val="center"/>
          </w:tcPr>
          <w:p w14:paraId="02050A57" w14:textId="77777777" w:rsidR="005D6F77" w:rsidRDefault="005D6F77" w:rsidP="002B77C2">
            <w:pPr>
              <w:pStyle w:val="Tabletext"/>
              <w:jc w:val="center"/>
            </w:pPr>
            <w:r>
              <w:t>High</w:t>
            </w:r>
          </w:p>
        </w:tc>
        <w:tc>
          <w:tcPr>
            <w:tcW w:w="1382" w:type="dxa"/>
            <w:shd w:val="clear" w:color="auto" w:fill="auto"/>
            <w:vAlign w:val="center"/>
          </w:tcPr>
          <w:p w14:paraId="166A6886" w14:textId="77777777" w:rsidR="005D6F77" w:rsidRDefault="005D6F77" w:rsidP="002B77C2">
            <w:pPr>
              <w:pStyle w:val="Tabletext"/>
              <w:jc w:val="center"/>
            </w:pPr>
            <w:r>
              <w:t>0%</w:t>
            </w:r>
          </w:p>
        </w:tc>
        <w:tc>
          <w:tcPr>
            <w:tcW w:w="1382" w:type="dxa"/>
            <w:shd w:val="clear" w:color="auto" w:fill="auto"/>
            <w:vAlign w:val="center"/>
          </w:tcPr>
          <w:p w14:paraId="0B38AA03" w14:textId="77777777" w:rsidR="005D6F77" w:rsidRDefault="005D6F77" w:rsidP="002B77C2">
            <w:pPr>
              <w:pStyle w:val="Tabletext"/>
              <w:jc w:val="center"/>
            </w:pPr>
            <w:r>
              <w:t>High</w:t>
            </w:r>
          </w:p>
        </w:tc>
      </w:tr>
      <w:tr w:rsidR="005D6F77" w14:paraId="7812D2A6" w14:textId="77777777" w:rsidTr="002B77C2">
        <w:trPr>
          <w:cantSplit/>
        </w:trPr>
        <w:tc>
          <w:tcPr>
            <w:tcW w:w="1815" w:type="dxa"/>
            <w:shd w:val="clear" w:color="auto" w:fill="auto"/>
            <w:vAlign w:val="center"/>
          </w:tcPr>
          <w:p w14:paraId="5DDA70DB" w14:textId="77777777" w:rsidR="005D6F77" w:rsidRDefault="005D6F77" w:rsidP="002B77C2">
            <w:pPr>
              <w:pStyle w:val="Tabletext"/>
            </w:pPr>
            <w:r>
              <w:t>Mandatory 1</w:t>
            </w:r>
            <w:r w:rsidRPr="00487E6D">
              <w:rPr>
                <w:vertAlign w:val="superscript"/>
              </w:rPr>
              <w:t>st</w:t>
            </w:r>
            <w:r>
              <w:t xml:space="preserve"> quartile</w:t>
            </w:r>
          </w:p>
        </w:tc>
        <w:tc>
          <w:tcPr>
            <w:tcW w:w="1382" w:type="dxa"/>
            <w:shd w:val="clear" w:color="auto" w:fill="auto"/>
            <w:vAlign w:val="center"/>
          </w:tcPr>
          <w:p w14:paraId="20285EC6" w14:textId="77777777" w:rsidR="005D6F77" w:rsidRDefault="005D6F77" w:rsidP="002B77C2">
            <w:pPr>
              <w:pStyle w:val="Tabletext"/>
              <w:jc w:val="center"/>
            </w:pPr>
            <w:r>
              <w:t>0%</w:t>
            </w:r>
          </w:p>
        </w:tc>
        <w:tc>
          <w:tcPr>
            <w:tcW w:w="1382" w:type="dxa"/>
            <w:shd w:val="clear" w:color="auto" w:fill="auto"/>
          </w:tcPr>
          <w:p w14:paraId="47C883E8" w14:textId="77777777" w:rsidR="005D6F77" w:rsidRDefault="005D6F77" w:rsidP="002B77C2">
            <w:pPr>
              <w:pStyle w:val="Tabletext"/>
              <w:jc w:val="center"/>
            </w:pPr>
            <w:r w:rsidRPr="00096A1F">
              <w:t>Intentionally not included</w:t>
            </w:r>
          </w:p>
        </w:tc>
        <w:tc>
          <w:tcPr>
            <w:tcW w:w="1382" w:type="dxa"/>
            <w:shd w:val="clear" w:color="auto" w:fill="auto"/>
            <w:vAlign w:val="center"/>
          </w:tcPr>
          <w:p w14:paraId="72793B09" w14:textId="77777777" w:rsidR="005D6F77" w:rsidRDefault="005D6F77" w:rsidP="002B77C2">
            <w:pPr>
              <w:pStyle w:val="Tabletext"/>
              <w:jc w:val="center"/>
            </w:pPr>
            <w:r>
              <w:t>+ 1 star</w:t>
            </w:r>
          </w:p>
        </w:tc>
        <w:tc>
          <w:tcPr>
            <w:tcW w:w="1382" w:type="dxa"/>
            <w:shd w:val="clear" w:color="auto" w:fill="auto"/>
            <w:vAlign w:val="center"/>
          </w:tcPr>
          <w:p w14:paraId="2FDACDB8" w14:textId="77777777" w:rsidR="005D6F77" w:rsidRDefault="005D6F77" w:rsidP="002B77C2">
            <w:pPr>
              <w:pStyle w:val="Tabletext"/>
              <w:jc w:val="center"/>
            </w:pPr>
            <w:r>
              <w:t>Low</w:t>
            </w:r>
          </w:p>
        </w:tc>
      </w:tr>
      <w:tr w:rsidR="005D6F77" w14:paraId="462AD2E2" w14:textId="77777777" w:rsidTr="002B77C2">
        <w:trPr>
          <w:cantSplit/>
        </w:trPr>
        <w:tc>
          <w:tcPr>
            <w:tcW w:w="1815" w:type="dxa"/>
            <w:shd w:val="clear" w:color="auto" w:fill="auto"/>
            <w:vAlign w:val="center"/>
          </w:tcPr>
          <w:p w14:paraId="05281D19" w14:textId="77777777" w:rsidR="005D6F77" w:rsidRDefault="005D6F77" w:rsidP="002B77C2">
            <w:pPr>
              <w:pStyle w:val="Tabletext"/>
            </w:pPr>
            <w:r>
              <w:t>Mandatory 2</w:t>
            </w:r>
            <w:r w:rsidRPr="00487E6D">
              <w:rPr>
                <w:vertAlign w:val="superscript"/>
              </w:rPr>
              <w:t>nd</w:t>
            </w:r>
            <w:r>
              <w:t xml:space="preserve"> quartile</w:t>
            </w:r>
          </w:p>
        </w:tc>
        <w:tc>
          <w:tcPr>
            <w:tcW w:w="1382" w:type="dxa"/>
            <w:shd w:val="clear" w:color="auto" w:fill="auto"/>
            <w:vAlign w:val="center"/>
          </w:tcPr>
          <w:p w14:paraId="6EF1060C" w14:textId="77777777" w:rsidR="005D6F77" w:rsidRDefault="005D6F77" w:rsidP="002B77C2">
            <w:pPr>
              <w:pStyle w:val="Tabletext"/>
              <w:jc w:val="center"/>
            </w:pPr>
            <w:r>
              <w:t>0%</w:t>
            </w:r>
          </w:p>
        </w:tc>
        <w:tc>
          <w:tcPr>
            <w:tcW w:w="1382" w:type="dxa"/>
            <w:shd w:val="clear" w:color="auto" w:fill="auto"/>
          </w:tcPr>
          <w:p w14:paraId="2F81DC84" w14:textId="77777777" w:rsidR="005D6F77" w:rsidRDefault="005D6F77" w:rsidP="002B77C2">
            <w:pPr>
              <w:pStyle w:val="Tabletext"/>
              <w:jc w:val="center"/>
            </w:pPr>
            <w:r w:rsidRPr="00096A1F">
              <w:t>Intentionally not included</w:t>
            </w:r>
          </w:p>
        </w:tc>
        <w:tc>
          <w:tcPr>
            <w:tcW w:w="1382" w:type="dxa"/>
            <w:shd w:val="clear" w:color="auto" w:fill="auto"/>
            <w:vAlign w:val="center"/>
          </w:tcPr>
          <w:p w14:paraId="23F58BFF" w14:textId="77777777" w:rsidR="005D6F77" w:rsidRDefault="005D6F77" w:rsidP="002B77C2">
            <w:pPr>
              <w:pStyle w:val="Tabletext"/>
              <w:jc w:val="center"/>
            </w:pPr>
            <w:r>
              <w:t>0%</w:t>
            </w:r>
          </w:p>
        </w:tc>
        <w:tc>
          <w:tcPr>
            <w:tcW w:w="1382" w:type="dxa"/>
            <w:shd w:val="clear" w:color="auto" w:fill="auto"/>
            <w:vAlign w:val="center"/>
          </w:tcPr>
          <w:p w14:paraId="1E087986" w14:textId="77777777" w:rsidR="005D6F77" w:rsidRDefault="005D6F77" w:rsidP="002B77C2">
            <w:pPr>
              <w:pStyle w:val="Tabletext"/>
              <w:jc w:val="center"/>
            </w:pPr>
            <w:r>
              <w:t>Medium</w:t>
            </w:r>
          </w:p>
        </w:tc>
      </w:tr>
      <w:tr w:rsidR="005D6F77" w14:paraId="5645FE25" w14:textId="77777777" w:rsidTr="002B77C2">
        <w:trPr>
          <w:cantSplit/>
        </w:trPr>
        <w:tc>
          <w:tcPr>
            <w:tcW w:w="1815" w:type="dxa"/>
            <w:tcBorders>
              <w:bottom w:val="single" w:sz="2" w:space="0" w:color="C0C0C0"/>
            </w:tcBorders>
            <w:shd w:val="clear" w:color="auto" w:fill="auto"/>
            <w:vAlign w:val="center"/>
          </w:tcPr>
          <w:p w14:paraId="73E913B2" w14:textId="77777777" w:rsidR="005D6F77" w:rsidRDefault="005D6F77" w:rsidP="002B77C2">
            <w:pPr>
              <w:pStyle w:val="Tabletext"/>
            </w:pPr>
            <w:r>
              <w:t>Mandatory 3</w:t>
            </w:r>
            <w:r w:rsidRPr="00487E6D">
              <w:rPr>
                <w:vertAlign w:val="superscript"/>
              </w:rPr>
              <w:t>rd</w:t>
            </w:r>
            <w:r>
              <w:t xml:space="preserve"> quartile</w:t>
            </w:r>
          </w:p>
        </w:tc>
        <w:tc>
          <w:tcPr>
            <w:tcW w:w="1382" w:type="dxa"/>
            <w:tcBorders>
              <w:bottom w:val="single" w:sz="2" w:space="0" w:color="C0C0C0"/>
            </w:tcBorders>
            <w:shd w:val="clear" w:color="auto" w:fill="auto"/>
            <w:vAlign w:val="center"/>
          </w:tcPr>
          <w:p w14:paraId="4FA58D92" w14:textId="77777777" w:rsidR="005D6F77" w:rsidRDefault="005D6F77" w:rsidP="002B77C2">
            <w:pPr>
              <w:pStyle w:val="Tabletext"/>
              <w:jc w:val="center"/>
            </w:pPr>
            <w:r>
              <w:t>0%</w:t>
            </w:r>
          </w:p>
        </w:tc>
        <w:tc>
          <w:tcPr>
            <w:tcW w:w="1382" w:type="dxa"/>
            <w:tcBorders>
              <w:bottom w:val="single" w:sz="2" w:space="0" w:color="C0C0C0"/>
            </w:tcBorders>
            <w:shd w:val="clear" w:color="auto" w:fill="auto"/>
            <w:vAlign w:val="center"/>
          </w:tcPr>
          <w:p w14:paraId="1D350843" w14:textId="77777777" w:rsidR="005D6F77" w:rsidRDefault="005D6F77" w:rsidP="002B77C2">
            <w:pPr>
              <w:pStyle w:val="Tabletext"/>
              <w:jc w:val="center"/>
            </w:pPr>
            <w:r>
              <w:t>Intentionally not included</w:t>
            </w:r>
          </w:p>
        </w:tc>
        <w:tc>
          <w:tcPr>
            <w:tcW w:w="1382" w:type="dxa"/>
            <w:tcBorders>
              <w:bottom w:val="single" w:sz="2" w:space="0" w:color="C0C0C0"/>
            </w:tcBorders>
            <w:shd w:val="clear" w:color="auto" w:fill="auto"/>
            <w:vAlign w:val="center"/>
          </w:tcPr>
          <w:p w14:paraId="168AAD3D" w14:textId="77777777" w:rsidR="005D6F77" w:rsidRDefault="005D6F77" w:rsidP="002B77C2">
            <w:pPr>
              <w:pStyle w:val="Tabletext"/>
              <w:jc w:val="center"/>
            </w:pPr>
            <w:r>
              <w:t>50%</w:t>
            </w:r>
          </w:p>
        </w:tc>
        <w:tc>
          <w:tcPr>
            <w:tcW w:w="1382" w:type="dxa"/>
            <w:tcBorders>
              <w:bottom w:val="single" w:sz="2" w:space="0" w:color="C0C0C0"/>
            </w:tcBorders>
            <w:shd w:val="clear" w:color="auto" w:fill="auto"/>
            <w:vAlign w:val="center"/>
          </w:tcPr>
          <w:p w14:paraId="6124A7CB" w14:textId="77777777" w:rsidR="005D6F77" w:rsidRDefault="005D6F77" w:rsidP="002B77C2">
            <w:pPr>
              <w:pStyle w:val="Tabletext"/>
              <w:jc w:val="center"/>
            </w:pPr>
            <w:r>
              <w:t>Low</w:t>
            </w:r>
          </w:p>
        </w:tc>
      </w:tr>
      <w:tr w:rsidR="005D6F77" w14:paraId="77BB42D9" w14:textId="77777777" w:rsidTr="002B77C2">
        <w:trPr>
          <w:cantSplit/>
        </w:trPr>
        <w:tc>
          <w:tcPr>
            <w:tcW w:w="1815" w:type="dxa"/>
            <w:tcBorders>
              <w:top w:val="single" w:sz="2" w:space="0" w:color="C0C0C0"/>
              <w:bottom w:val="single" w:sz="2" w:space="0" w:color="999999"/>
            </w:tcBorders>
            <w:shd w:val="clear" w:color="auto" w:fill="auto"/>
            <w:vAlign w:val="center"/>
          </w:tcPr>
          <w:p w14:paraId="5633C4C1" w14:textId="77777777" w:rsidR="005D6F77" w:rsidRDefault="005D6F77" w:rsidP="002B77C2">
            <w:pPr>
              <w:pStyle w:val="Tabletext"/>
            </w:pPr>
            <w:r>
              <w:t>Mandatory 4</w:t>
            </w:r>
            <w:r w:rsidRPr="00487E6D">
              <w:rPr>
                <w:vertAlign w:val="superscript"/>
              </w:rPr>
              <w:t>th</w:t>
            </w:r>
            <w:r>
              <w:t xml:space="preserve"> quartile</w:t>
            </w:r>
          </w:p>
        </w:tc>
        <w:tc>
          <w:tcPr>
            <w:tcW w:w="1382" w:type="dxa"/>
            <w:tcBorders>
              <w:top w:val="single" w:sz="2" w:space="0" w:color="C0C0C0"/>
              <w:bottom w:val="single" w:sz="2" w:space="0" w:color="999999"/>
            </w:tcBorders>
            <w:shd w:val="clear" w:color="auto" w:fill="auto"/>
            <w:vAlign w:val="center"/>
          </w:tcPr>
          <w:p w14:paraId="1B100EDC" w14:textId="77777777" w:rsidR="005D6F77" w:rsidRDefault="005D6F77" w:rsidP="002B77C2">
            <w:pPr>
              <w:pStyle w:val="Tabletext"/>
              <w:jc w:val="center"/>
            </w:pPr>
            <w:r>
              <w:t>100%</w:t>
            </w:r>
          </w:p>
        </w:tc>
        <w:tc>
          <w:tcPr>
            <w:tcW w:w="1382" w:type="dxa"/>
            <w:tcBorders>
              <w:top w:val="single" w:sz="2" w:space="0" w:color="C0C0C0"/>
              <w:bottom w:val="single" w:sz="2" w:space="0" w:color="999999"/>
            </w:tcBorders>
            <w:shd w:val="clear" w:color="auto" w:fill="auto"/>
            <w:vAlign w:val="center"/>
          </w:tcPr>
          <w:p w14:paraId="5216D33B" w14:textId="77777777" w:rsidR="005D6F77" w:rsidRDefault="005D6F77" w:rsidP="002B77C2">
            <w:pPr>
              <w:pStyle w:val="Tabletext"/>
              <w:jc w:val="center"/>
            </w:pPr>
            <w:r>
              <w:t>High</w:t>
            </w:r>
          </w:p>
        </w:tc>
        <w:tc>
          <w:tcPr>
            <w:tcW w:w="1382" w:type="dxa"/>
            <w:tcBorders>
              <w:top w:val="single" w:sz="2" w:space="0" w:color="C0C0C0"/>
              <w:bottom w:val="single" w:sz="2" w:space="0" w:color="999999"/>
            </w:tcBorders>
            <w:shd w:val="clear" w:color="auto" w:fill="auto"/>
            <w:vAlign w:val="center"/>
          </w:tcPr>
          <w:p w14:paraId="50B258F2" w14:textId="77777777" w:rsidR="005D6F77" w:rsidRDefault="005D6F77" w:rsidP="002B77C2">
            <w:pPr>
              <w:pStyle w:val="Tabletext"/>
              <w:jc w:val="center"/>
            </w:pPr>
            <w:r>
              <w:t>100%</w:t>
            </w:r>
          </w:p>
        </w:tc>
        <w:tc>
          <w:tcPr>
            <w:tcW w:w="1382" w:type="dxa"/>
            <w:tcBorders>
              <w:top w:val="single" w:sz="2" w:space="0" w:color="C0C0C0"/>
              <w:bottom w:val="single" w:sz="2" w:space="0" w:color="999999"/>
            </w:tcBorders>
            <w:shd w:val="clear" w:color="auto" w:fill="auto"/>
            <w:vAlign w:val="center"/>
          </w:tcPr>
          <w:p w14:paraId="650B25F0" w14:textId="77777777" w:rsidR="005D6F77" w:rsidRDefault="005D6F77" w:rsidP="002B77C2">
            <w:pPr>
              <w:pStyle w:val="Tabletext"/>
              <w:jc w:val="center"/>
            </w:pPr>
            <w:r>
              <w:t>High</w:t>
            </w:r>
          </w:p>
        </w:tc>
      </w:tr>
    </w:tbl>
    <w:p w14:paraId="0EE570E1" w14:textId="5C7A4FD6" w:rsidR="005D6F77" w:rsidRPr="00B347D7" w:rsidRDefault="005D6F77" w:rsidP="002B77C2">
      <w:pPr>
        <w:pStyle w:val="Source"/>
      </w:pPr>
      <w:r w:rsidRPr="00B347D7">
        <w:t xml:space="preserve">Source: </w:t>
      </w:r>
      <w:r>
        <w:t>ACIL Allen</w:t>
      </w:r>
    </w:p>
    <w:p w14:paraId="1B722898" w14:textId="2FACF61F" w:rsidR="00E4692A" w:rsidRPr="0021132A" w:rsidRDefault="00E4692A" w:rsidP="00E4692A">
      <w:pPr>
        <w:pStyle w:val="BodyText"/>
      </w:pPr>
      <w:r>
        <w:t xml:space="preserve">Attributable </w:t>
      </w:r>
      <w:r w:rsidR="002E0348">
        <w:t>i</w:t>
      </w:r>
      <w:r>
        <w:t>mprovements for the 3</w:t>
      </w:r>
      <w:r w:rsidRPr="00487E6D">
        <w:rPr>
          <w:vertAlign w:val="superscript"/>
        </w:rPr>
        <w:t>rd</w:t>
      </w:r>
      <w:r>
        <w:t xml:space="preserve"> and 4</w:t>
      </w:r>
      <w:r w:rsidRPr="00487E6D">
        <w:rPr>
          <w:vertAlign w:val="superscript"/>
        </w:rPr>
        <w:t>th</w:t>
      </w:r>
      <w:r>
        <w:t xml:space="preserve"> quartile of mandatory </w:t>
      </w:r>
      <w:proofErr w:type="spellStart"/>
      <w:r>
        <w:t>raters</w:t>
      </w:r>
      <w:proofErr w:type="spellEnd"/>
      <w:r>
        <w:t xml:space="preserve"> have been estimated first in terms of reductions in average energy intensity (MJ/m</w:t>
      </w:r>
      <w:r w:rsidRPr="00487E6D">
        <w:rPr>
          <w:vertAlign w:val="superscript"/>
        </w:rPr>
        <w:t>2</w:t>
      </w:r>
      <w:r>
        <w:t>), then translated to total tCO</w:t>
      </w:r>
      <w:r w:rsidRPr="0024777E">
        <w:rPr>
          <w:vertAlign w:val="subscript"/>
        </w:rPr>
        <w:t>2</w:t>
      </w:r>
      <w:r w:rsidRPr="00487E6D">
        <w:rPr>
          <w:vertAlign w:val="subscript"/>
        </w:rPr>
        <w:t>e</w:t>
      </w:r>
      <w:r w:rsidR="00492194" w:rsidRPr="00104113">
        <w:t>,</w:t>
      </w:r>
      <w:r>
        <w:t xml:space="preserve"> before applying the estimated net benefits of energy efficiency expressed as </w:t>
      </w:r>
      <w:r w:rsidR="00D25D6C">
        <w:t xml:space="preserve">dollars </w:t>
      </w:r>
      <w:r>
        <w:t>per t</w:t>
      </w:r>
      <w:r w:rsidR="0024777E">
        <w:t>CO</w:t>
      </w:r>
      <w:r w:rsidR="0024777E" w:rsidRPr="0024777E">
        <w:rPr>
          <w:vertAlign w:val="subscript"/>
        </w:rPr>
        <w:t>2</w:t>
      </w:r>
      <w:r w:rsidRPr="00C6751E">
        <w:rPr>
          <w:vertAlign w:val="subscript"/>
        </w:rPr>
        <w:t>e</w:t>
      </w:r>
      <w:r w:rsidR="00CB3EC7">
        <w:t xml:space="preserve">. </w:t>
      </w:r>
      <w:r>
        <w:t xml:space="preserve">However the assumed </w:t>
      </w:r>
      <w:r w:rsidR="00A17B3F">
        <w:t>one</w:t>
      </w:r>
      <w:r>
        <w:t xml:space="preserve"> star improvement for the 1</w:t>
      </w:r>
      <w:r w:rsidRPr="00487E6D">
        <w:rPr>
          <w:vertAlign w:val="superscript"/>
        </w:rPr>
        <w:t>st</w:t>
      </w:r>
      <w:r>
        <w:t xml:space="preserve"> quartile of mandatory </w:t>
      </w:r>
      <w:proofErr w:type="spellStart"/>
      <w:r>
        <w:t>raters</w:t>
      </w:r>
      <w:proofErr w:type="spellEnd"/>
      <w:r>
        <w:t xml:space="preserve"> is first translated into equivalent MJ/m</w:t>
      </w:r>
      <w:r w:rsidRPr="00487E6D">
        <w:rPr>
          <w:vertAlign w:val="superscript"/>
        </w:rPr>
        <w:t>2</w:t>
      </w:r>
      <w:r>
        <w:t xml:space="preserve"> (estimated by performing regression on NABERS data) prior to </w:t>
      </w:r>
      <w:r w:rsidR="002E0348">
        <w:t>translation into tCO</w:t>
      </w:r>
      <w:r w:rsidR="002E0348" w:rsidRPr="0024777E">
        <w:rPr>
          <w:vertAlign w:val="subscript"/>
        </w:rPr>
        <w:t>2</w:t>
      </w:r>
      <w:r w:rsidR="002E0348" w:rsidRPr="00487E6D">
        <w:rPr>
          <w:vertAlign w:val="subscript"/>
        </w:rPr>
        <w:t>e</w:t>
      </w:r>
      <w:r w:rsidR="002E0348">
        <w:t xml:space="preserve"> and estimation of net benefits</w:t>
      </w:r>
      <w:r>
        <w:t>.</w:t>
      </w:r>
    </w:p>
    <w:p w14:paraId="058C1AD4" w14:textId="77777777" w:rsidR="007C0933" w:rsidRDefault="007C0933" w:rsidP="00E53090">
      <w:pPr>
        <w:pStyle w:val="Heading2"/>
      </w:pPr>
      <w:bookmarkStart w:id="182" w:name="_Toc415660871"/>
      <w:r>
        <w:t>Analysis of program impact on tenancy lighting performance</w:t>
      </w:r>
      <w:bookmarkEnd w:id="182"/>
    </w:p>
    <w:p w14:paraId="6AEDDD14" w14:textId="77777777" w:rsidR="003F13A3" w:rsidRDefault="003F13A3" w:rsidP="007444A0">
      <w:pPr>
        <w:pStyle w:val="Heading3"/>
      </w:pPr>
      <w:bookmarkStart w:id="183" w:name="_Toc415660872"/>
      <w:r>
        <w:t>The potential in tenancy lighting</w:t>
      </w:r>
      <w:bookmarkEnd w:id="183"/>
    </w:p>
    <w:p w14:paraId="42472C98" w14:textId="18DB6626" w:rsidR="003F13A3" w:rsidRDefault="003F13A3" w:rsidP="003F13A3">
      <w:pPr>
        <w:pStyle w:val="BodyText"/>
      </w:pPr>
      <w:r>
        <w:t>Tenancy lighting has been acknowledged by stakeholders to be an area where there is significant latent potential for energy efficiency improvement</w:t>
      </w:r>
      <w:r w:rsidR="00CB3EC7">
        <w:t xml:space="preserve">. </w:t>
      </w:r>
      <w:r>
        <w:t xml:space="preserve">Energy performance assessors have suggested that in the past, there was on average an approximately equal proportion of energy consumption for base building energy use and tenancy </w:t>
      </w:r>
      <w:r>
        <w:lastRenderedPageBreak/>
        <w:t>energy use</w:t>
      </w:r>
      <w:r w:rsidR="00CB3EC7">
        <w:t xml:space="preserve">. </w:t>
      </w:r>
      <w:r>
        <w:t>Due to the rapid improvements in base building energy performance</w:t>
      </w:r>
      <w:r w:rsidR="009E7C40">
        <w:t>,</w:t>
      </w:r>
      <w:r>
        <w:t xml:space="preserve"> prompted by initiatives such as NABERS, </w:t>
      </w:r>
      <w:r w:rsidR="003B234C">
        <w:t>tenancy energy use</w:t>
      </w:r>
      <w:r>
        <w:t xml:space="preserve"> now </w:t>
      </w:r>
      <w:r w:rsidR="003B234C">
        <w:t>constitutes a</w:t>
      </w:r>
      <w:r>
        <w:t xml:space="preserve"> greater proportion of </w:t>
      </w:r>
      <w:r w:rsidR="003B234C">
        <w:t>total office building energy consumption</w:t>
      </w:r>
      <w:r w:rsidR="00CB3EC7">
        <w:t xml:space="preserve">. </w:t>
      </w:r>
    </w:p>
    <w:p w14:paraId="3F86A573" w14:textId="77777777" w:rsidR="003F13A3" w:rsidRDefault="003F13A3" w:rsidP="003F13A3">
      <w:pPr>
        <w:pStyle w:val="BodyText"/>
      </w:pPr>
      <w:r>
        <w:t>The TLA aims to unlock this potential</w:t>
      </w:r>
      <w:r w:rsidR="00B21915">
        <w:t xml:space="preserve"> for improving the energy efficiency of office buildings</w:t>
      </w:r>
      <w:r w:rsidR="00CB3EC7">
        <w:t xml:space="preserve">. </w:t>
      </w:r>
      <w:r>
        <w:t xml:space="preserve">However, anecdotal evidence </w:t>
      </w:r>
      <w:r w:rsidR="00D25D6C">
        <w:t xml:space="preserve">and stakeholder discussions </w:t>
      </w:r>
      <w:r>
        <w:t xml:space="preserve">suggest that the </w:t>
      </w:r>
      <w:r w:rsidR="00D25D6C">
        <w:t xml:space="preserve">impact </w:t>
      </w:r>
      <w:r>
        <w:t xml:space="preserve">of the TLA has been </w:t>
      </w:r>
      <w:r w:rsidR="00D25D6C">
        <w:t>limited</w:t>
      </w:r>
      <w:r>
        <w:t xml:space="preserve"> by a number of factors including:</w:t>
      </w:r>
    </w:p>
    <w:p w14:paraId="2B860BA3" w14:textId="77777777" w:rsidR="003F13A3" w:rsidRDefault="003F13A3" w:rsidP="003F13A3">
      <w:pPr>
        <w:pStyle w:val="ListDash"/>
      </w:pPr>
      <w:r>
        <w:t>The fact that tenancy lighting assessments are a new mechanism and the market has not had adequate time for the scheme to mature to the extent where there is sufficient awareness and uptake from both building owners and tenants</w:t>
      </w:r>
      <w:r w:rsidR="00D25D6C">
        <w:t xml:space="preserve"> (unlike NABERS ratings)</w:t>
      </w:r>
      <w:r w:rsidR="00B21915">
        <w:t>.</w:t>
      </w:r>
    </w:p>
    <w:p w14:paraId="50794468" w14:textId="77777777" w:rsidR="003F13A3" w:rsidRDefault="003F13A3" w:rsidP="003F13A3">
      <w:pPr>
        <w:pStyle w:val="ListDash"/>
      </w:pPr>
      <w:r>
        <w:t xml:space="preserve">There is no requirement to include TLA information in advertisements </w:t>
      </w:r>
      <w:r w:rsidR="00D25D6C">
        <w:t xml:space="preserve">regarding the </w:t>
      </w:r>
      <w:r>
        <w:t>sale or lease</w:t>
      </w:r>
      <w:r w:rsidR="00D25D6C">
        <w:t xml:space="preserve"> of a building</w:t>
      </w:r>
      <w:r w:rsidR="00B21915">
        <w:t>.</w:t>
      </w:r>
    </w:p>
    <w:p w14:paraId="57421B9A" w14:textId="77777777" w:rsidR="003F13A3" w:rsidRDefault="003F13A3" w:rsidP="003F13A3">
      <w:pPr>
        <w:pStyle w:val="ListDash"/>
      </w:pPr>
      <w:r>
        <w:t>Even if inclusion of TLA information was required, it is not as amenable (compared to NABERS) to produce a simple aggregate performance metric that can be easily understood by the market, as power densities and control systems will vary by functional space</w:t>
      </w:r>
      <w:r w:rsidR="00B21915">
        <w:t>.</w:t>
      </w:r>
    </w:p>
    <w:p w14:paraId="1E29CA46" w14:textId="77777777" w:rsidR="003F13A3" w:rsidRDefault="003F13A3" w:rsidP="003F13A3">
      <w:pPr>
        <w:pStyle w:val="ListDash"/>
      </w:pPr>
      <w:r>
        <w:t>High NABERS ratings are part of the marketing proposition of some buildings, while this is not the case for tenancy lighting.</w:t>
      </w:r>
    </w:p>
    <w:p w14:paraId="4441A56A" w14:textId="77777777" w:rsidR="003F13A3" w:rsidRDefault="003F13A3" w:rsidP="007444A0">
      <w:pPr>
        <w:pStyle w:val="Heading3"/>
      </w:pPr>
      <w:bookmarkStart w:id="184" w:name="_Toc415660873"/>
      <w:r>
        <w:t>Analysis of tenancy lighting performance data</w:t>
      </w:r>
      <w:bookmarkEnd w:id="184"/>
    </w:p>
    <w:p w14:paraId="2573A003" w14:textId="77777777" w:rsidR="003F13A3" w:rsidRDefault="003F13A3" w:rsidP="003F13A3">
      <w:pPr>
        <w:pStyle w:val="BodyText"/>
      </w:pPr>
      <w:r>
        <w:t xml:space="preserve">Analysing the effect of the TLA component of CBD on tenancy lighting is complicated </w:t>
      </w:r>
      <w:r w:rsidR="0049479E">
        <w:t xml:space="preserve">by the </w:t>
      </w:r>
      <w:r>
        <w:t>absence of comparable data on power density and control systems prior to</w:t>
      </w:r>
      <w:r w:rsidR="00A71D53">
        <w:t xml:space="preserve"> the</w:t>
      </w:r>
      <w:r>
        <w:t xml:space="preserve"> introduction of TLA</w:t>
      </w:r>
      <w:r w:rsidR="00CB3EC7">
        <w:t xml:space="preserve">. </w:t>
      </w:r>
      <w:r>
        <w:t xml:space="preserve">There is also a lack of historical information more generally on the energy efficiency of lighting </w:t>
      </w:r>
      <w:r w:rsidR="00A71D53">
        <w:t>in</w:t>
      </w:r>
      <w:r>
        <w:t xml:space="preserve"> the commercial building stock.</w:t>
      </w:r>
    </w:p>
    <w:p w14:paraId="5FCE5806" w14:textId="77777777" w:rsidR="003F13A3" w:rsidRDefault="003F13A3" w:rsidP="003F13A3">
      <w:pPr>
        <w:pStyle w:val="BodyText"/>
      </w:pPr>
      <w:r>
        <w:t>Therefore, the available data (2011 to 2014) within the CBD database was analysed to investigate the trend in tenancy lighting during the period of TLA operation</w:t>
      </w:r>
      <w:r w:rsidR="00CB3EC7">
        <w:t xml:space="preserve">. </w:t>
      </w:r>
      <w:r>
        <w:t xml:space="preserve">The analysis involved estimating average improvement in power density </w:t>
      </w:r>
      <w:r w:rsidR="00D25D6C">
        <w:t>of all</w:t>
      </w:r>
      <w:r>
        <w:t xml:space="preserve"> buildings that had undertaken at</w:t>
      </w:r>
      <w:r w:rsidR="00A71D53">
        <w:t xml:space="preserve"> </w:t>
      </w:r>
      <w:r>
        <w:t xml:space="preserve">least </w:t>
      </w:r>
      <w:r w:rsidR="00A71D53">
        <w:t>two</w:t>
      </w:r>
      <w:r>
        <w:t xml:space="preserve"> ‘all building’ TLA assessments</w:t>
      </w:r>
      <w:r w:rsidR="00CB3EC7">
        <w:t xml:space="preserve">. </w:t>
      </w:r>
      <w:r>
        <w:t>The total estimated NLA for buildings in the sample was 13.5 million m</w:t>
      </w:r>
      <w:r w:rsidRPr="00487E6D">
        <w:rPr>
          <w:vertAlign w:val="superscript"/>
        </w:rPr>
        <w:t>2</w:t>
      </w:r>
      <w:r w:rsidR="00CB3EC7">
        <w:t xml:space="preserve">. </w:t>
      </w:r>
      <w:r>
        <w:t>For these buildings</w:t>
      </w:r>
      <w:r w:rsidR="00116341">
        <w:t>,</w:t>
      </w:r>
      <w:r>
        <w:t xml:space="preserve"> </w:t>
      </w:r>
      <w:r w:rsidR="00D25D6C">
        <w:t xml:space="preserve">ACIL Allen calculated </w:t>
      </w:r>
      <w:r>
        <w:t xml:space="preserve">the change in weighted average NLPD (weighted by area of different </w:t>
      </w:r>
      <w:r w:rsidR="0049479E">
        <w:t xml:space="preserve">functional spaces </w:t>
      </w:r>
      <w:r>
        <w:t>within the building) between the first and last TLA assessments</w:t>
      </w:r>
      <w:r w:rsidR="00CB3EC7">
        <w:t xml:space="preserve">. </w:t>
      </w:r>
    </w:p>
    <w:p w14:paraId="0A13BC38" w14:textId="77777777" w:rsidR="003F13A3" w:rsidRDefault="003346C7" w:rsidP="003F13A3">
      <w:pPr>
        <w:pStyle w:val="BodyText"/>
      </w:pPr>
      <w:r>
        <w:fldChar w:fldCharType="begin"/>
      </w:r>
      <w:r>
        <w:instrText xml:space="preserve"> REF _Ref407095622 \h  \* MERGEFORMAT </w:instrText>
      </w:r>
      <w:r>
        <w:fldChar w:fldCharType="separate"/>
      </w:r>
      <w:r w:rsidR="006A273E">
        <w:t xml:space="preserve">Figure </w:t>
      </w:r>
      <w:r w:rsidR="006A273E">
        <w:rPr>
          <w:noProof/>
        </w:rPr>
        <w:t>14</w:t>
      </w:r>
      <w:r>
        <w:fldChar w:fldCharType="end"/>
      </w:r>
      <w:r w:rsidR="003F13A3">
        <w:t xml:space="preserve"> shows the histogram of NLPD changes for all buildings in the sample, with improvements in TLA for buildings grouped into bins of 3 W/m</w:t>
      </w:r>
      <w:r w:rsidR="003F13A3" w:rsidRPr="00487E6D">
        <w:rPr>
          <w:vertAlign w:val="superscript"/>
        </w:rPr>
        <w:t>2</w:t>
      </w:r>
      <w:r w:rsidR="003F13A3">
        <w:t>.</w:t>
      </w:r>
    </w:p>
    <w:p w14:paraId="3228623F" w14:textId="77777777" w:rsidR="003F13A3" w:rsidRDefault="003F13A3" w:rsidP="003F13A3">
      <w:pPr>
        <w:pStyle w:val="Caption"/>
      </w:pPr>
      <w:bookmarkStart w:id="185" w:name="_Ref407095622"/>
      <w:bookmarkStart w:id="186" w:name="_Toc415660959"/>
      <w:r>
        <w:lastRenderedPageBreak/>
        <w:t xml:space="preserve">Figure </w:t>
      </w:r>
      <w:r w:rsidR="00492194">
        <w:fldChar w:fldCharType="begin"/>
      </w:r>
      <w:r w:rsidR="0044208C">
        <w:instrText xml:space="preserve"> SEQ Figure \* ARABIC </w:instrText>
      </w:r>
      <w:r w:rsidR="00492194">
        <w:fldChar w:fldCharType="separate"/>
      </w:r>
      <w:r w:rsidR="006A273E">
        <w:rPr>
          <w:noProof/>
        </w:rPr>
        <w:t>14</w:t>
      </w:r>
      <w:r w:rsidR="00492194">
        <w:rPr>
          <w:noProof/>
        </w:rPr>
        <w:fldChar w:fldCharType="end"/>
      </w:r>
      <w:bookmarkEnd w:id="185"/>
      <w:r w:rsidRPr="004E0C91">
        <w:rPr>
          <w:b/>
          <w:color w:val="000080"/>
        </w:rPr>
        <w:tab/>
      </w:r>
      <w:r w:rsidRPr="00E66FF3">
        <w:rPr>
          <w:b/>
          <w:color w:val="000000" w:themeColor="text1"/>
        </w:rPr>
        <w:t>Distribution of NLPD changes (all buildings, bins 3 W/m</w:t>
      </w:r>
      <w:r w:rsidRPr="00E66FF3">
        <w:rPr>
          <w:b/>
          <w:color w:val="000000" w:themeColor="text1"/>
          <w:vertAlign w:val="superscript"/>
        </w:rPr>
        <w:t>2</w:t>
      </w:r>
      <w:r w:rsidRPr="00E66FF3">
        <w:rPr>
          <w:b/>
          <w:color w:val="000000" w:themeColor="text1"/>
        </w:rPr>
        <w:t xml:space="preserve"> wide)</w:t>
      </w:r>
      <w:bookmarkEnd w:id="186"/>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3F13A3" w14:paraId="1124470E" w14:textId="77777777">
        <w:trPr>
          <w:cantSplit/>
        </w:trPr>
        <w:tc>
          <w:tcPr>
            <w:tcW w:w="5000" w:type="pct"/>
          </w:tcPr>
          <w:p w14:paraId="524DE3AD" w14:textId="77777777" w:rsidR="003F13A3" w:rsidRDefault="003F13A3" w:rsidP="00594865">
            <w:pPr>
              <w:pStyle w:val="SmallDeltasRightAligned"/>
              <w:keepNext/>
            </w:pPr>
            <w:r>
              <w:rPr>
                <w:noProof/>
                <w:lang w:eastAsia="en-AU"/>
              </w:rPr>
              <w:drawing>
                <wp:inline distT="0" distB="0" distL="0" distR="0" wp14:anchorId="3E549A5A" wp14:editId="492D3CE2">
                  <wp:extent cx="481585" cy="234696"/>
                  <wp:effectExtent l="0" t="0" r="0" b="0"/>
                  <wp:docPr id="14" name="Picture 14"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3F13A3" w14:paraId="5B85A065" w14:textId="77777777">
        <w:tblPrEx>
          <w:tblCellMar>
            <w:left w:w="108" w:type="dxa"/>
            <w:right w:w="108" w:type="dxa"/>
          </w:tblCellMar>
        </w:tblPrEx>
        <w:trPr>
          <w:cantSplit/>
        </w:trPr>
        <w:tc>
          <w:tcPr>
            <w:tcW w:w="5000" w:type="pct"/>
          </w:tcPr>
          <w:p w14:paraId="37C6AA72" w14:textId="77777777" w:rsidR="003F13A3" w:rsidRDefault="003F13A3" w:rsidP="00594865">
            <w:pPr>
              <w:pStyle w:val="Figure"/>
            </w:pPr>
            <w:r>
              <w:rPr>
                <w:noProof/>
                <w:lang w:eastAsia="en-AU"/>
              </w:rPr>
              <w:drawing>
                <wp:inline distT="0" distB="0" distL="0" distR="0" wp14:anchorId="251A6989" wp14:editId="634FC3B5">
                  <wp:extent cx="4543425" cy="2908300"/>
                  <wp:effectExtent l="0" t="0" r="0" b="6350"/>
                  <wp:docPr id="15" name="Chart 15" descr="Distribution of NLPD changes (all buildings, bins 3 W/m2 wide)" title="Distribution of NLPD changes (all buildings, bins 3 W/m2 wide)"/>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30671962" w14:textId="77777777" w:rsidR="003F13A3" w:rsidRDefault="003F13A3" w:rsidP="003F13A3">
      <w:pPr>
        <w:pStyle w:val="Note"/>
      </w:pPr>
      <w:r>
        <w:rPr>
          <w:i/>
        </w:rPr>
        <w:t>Note:</w:t>
      </w:r>
      <w:r>
        <w:t xml:space="preserve"> Excludes buildings with no change to average NLPD (i.e</w:t>
      </w:r>
      <w:r w:rsidR="00CB3EC7">
        <w:t xml:space="preserve">. </w:t>
      </w:r>
      <w:r>
        <w:sym w:font="Symbol" w:char="F044"/>
      </w:r>
      <w:r>
        <w:t xml:space="preserve"> NLPD = 0)</w:t>
      </w:r>
      <w:r w:rsidR="00116341">
        <w:t>.</w:t>
      </w:r>
    </w:p>
    <w:p w14:paraId="7E45A482" w14:textId="77777777" w:rsidR="003F13A3" w:rsidRPr="00B50A1B" w:rsidRDefault="003F13A3" w:rsidP="003F13A3">
      <w:pPr>
        <w:pStyle w:val="Source"/>
        <w:rPr>
          <w:i/>
        </w:rPr>
      </w:pPr>
      <w:r>
        <w:t>S</w:t>
      </w:r>
      <w:r w:rsidRPr="00B50A1B">
        <w:t>ource:</w:t>
      </w:r>
      <w:r w:rsidRPr="00954EED">
        <w:t xml:space="preserve"> </w:t>
      </w:r>
      <w:r>
        <w:t>ACIL Allen analysis of CBD data</w:t>
      </w:r>
    </w:p>
    <w:p w14:paraId="50C4FC3F" w14:textId="77777777" w:rsidR="003F13A3" w:rsidRDefault="003F13A3" w:rsidP="003F13A3">
      <w:pPr>
        <w:pStyle w:val="BodyText"/>
      </w:pPr>
      <w:r>
        <w:t>A mean improvement of 0.81 W/m</w:t>
      </w:r>
      <w:r w:rsidRPr="00487E6D">
        <w:rPr>
          <w:vertAlign w:val="superscript"/>
        </w:rPr>
        <w:t>2</w:t>
      </w:r>
      <w:r>
        <w:t xml:space="preserve"> was calculated for the sample, with 56</w:t>
      </w:r>
      <w:r w:rsidR="00A71D53">
        <w:t xml:space="preserve"> per cent</w:t>
      </w:r>
      <w:r>
        <w:t xml:space="preserve"> of </w:t>
      </w:r>
      <w:r w:rsidR="0049479E">
        <w:t xml:space="preserve">buildings’ functional space </w:t>
      </w:r>
      <w:r>
        <w:t>showing improvement, 36</w:t>
      </w:r>
      <w:r w:rsidR="00A71D53">
        <w:t xml:space="preserve"> per cent</w:t>
      </w:r>
      <w:r>
        <w:t xml:space="preserve"> showing deterioration and 6</w:t>
      </w:r>
      <w:r w:rsidR="00A71D53">
        <w:t xml:space="preserve"> per cent</w:t>
      </w:r>
      <w:r>
        <w:t xml:space="preserve"> showing no change.</w:t>
      </w:r>
    </w:p>
    <w:p w14:paraId="300DE1D1" w14:textId="77777777" w:rsidR="003F13A3" w:rsidRDefault="003F13A3" w:rsidP="003F13A3">
      <w:pPr>
        <w:pStyle w:val="BodyText"/>
      </w:pPr>
      <w:r>
        <w:t>The majority of buildings had an estimated change within 3 W/m</w:t>
      </w:r>
      <w:r w:rsidRPr="00487E6D">
        <w:rPr>
          <w:vertAlign w:val="superscript"/>
        </w:rPr>
        <w:t>2</w:t>
      </w:r>
      <w:r w:rsidR="00CB3EC7">
        <w:t xml:space="preserve">. </w:t>
      </w:r>
      <w:r>
        <w:t xml:space="preserve">According to </w:t>
      </w:r>
      <w:r w:rsidR="00780F54">
        <w:t>the Department’s</w:t>
      </w:r>
      <w:r>
        <w:t xml:space="preserve"> analysis, the</w:t>
      </w:r>
      <w:r w:rsidR="00D25D6C">
        <w:t xml:space="preserve"> </w:t>
      </w:r>
      <w:r>
        <w:t xml:space="preserve">reported margin of error for estimates </w:t>
      </w:r>
      <w:r w:rsidR="00D25D6C">
        <w:t xml:space="preserve">of </w:t>
      </w:r>
      <w:r>
        <w:t xml:space="preserve">power densities </w:t>
      </w:r>
      <w:r w:rsidR="00D25D6C">
        <w:t xml:space="preserve">is </w:t>
      </w:r>
      <w:r>
        <w:t>approximately 1 W/m</w:t>
      </w:r>
      <w:r w:rsidRPr="00487E6D">
        <w:rPr>
          <w:vertAlign w:val="superscript"/>
        </w:rPr>
        <w:t>2</w:t>
      </w:r>
      <w:r w:rsidR="00CB3EC7">
        <w:t xml:space="preserve">. </w:t>
      </w:r>
      <w:r>
        <w:t>Therefore, further analysis of changes using smaller bins of 1 W/m</w:t>
      </w:r>
      <w:r w:rsidRPr="00487E6D">
        <w:rPr>
          <w:vertAlign w:val="superscript"/>
        </w:rPr>
        <w:t>2</w:t>
      </w:r>
      <w:r>
        <w:t xml:space="preserve"> was conducted for buildings with average NLPD change between +/- 6 W/m</w:t>
      </w:r>
      <w:r w:rsidRPr="005339AE">
        <w:rPr>
          <w:vertAlign w:val="superscript"/>
        </w:rPr>
        <w:t>2</w:t>
      </w:r>
      <w:r w:rsidR="00CB3EC7">
        <w:t xml:space="preserve">. </w:t>
      </w:r>
      <w:r>
        <w:t xml:space="preserve">The histogram of these changes is shown in </w:t>
      </w:r>
      <w:r w:rsidR="003346C7">
        <w:fldChar w:fldCharType="begin"/>
      </w:r>
      <w:r w:rsidR="003346C7">
        <w:instrText xml:space="preserve"> REF _Ref407096552 \h  \* MERGEFORMAT </w:instrText>
      </w:r>
      <w:r w:rsidR="003346C7">
        <w:fldChar w:fldCharType="separate"/>
      </w:r>
      <w:r w:rsidR="006A273E">
        <w:t xml:space="preserve">Figure </w:t>
      </w:r>
      <w:r w:rsidR="006A273E">
        <w:rPr>
          <w:noProof/>
        </w:rPr>
        <w:t>15</w:t>
      </w:r>
      <w:r w:rsidR="003346C7">
        <w:fldChar w:fldCharType="end"/>
      </w:r>
      <w:r>
        <w:t>.</w:t>
      </w:r>
    </w:p>
    <w:p w14:paraId="1F9CDC1B" w14:textId="77777777" w:rsidR="003F13A3" w:rsidRDefault="003F13A3" w:rsidP="003F13A3">
      <w:pPr>
        <w:pStyle w:val="Caption"/>
      </w:pPr>
      <w:bookmarkStart w:id="187" w:name="_Ref407096552"/>
      <w:bookmarkStart w:id="188" w:name="_Toc415660960"/>
      <w:r>
        <w:lastRenderedPageBreak/>
        <w:t xml:space="preserve">Figure </w:t>
      </w:r>
      <w:r w:rsidR="00492194">
        <w:fldChar w:fldCharType="begin"/>
      </w:r>
      <w:r w:rsidR="0044208C">
        <w:instrText xml:space="preserve"> SEQ Figure \* ARABIC </w:instrText>
      </w:r>
      <w:r w:rsidR="00492194">
        <w:fldChar w:fldCharType="separate"/>
      </w:r>
      <w:r w:rsidR="006A273E">
        <w:rPr>
          <w:noProof/>
        </w:rPr>
        <w:t>15</w:t>
      </w:r>
      <w:r w:rsidR="00492194">
        <w:rPr>
          <w:noProof/>
        </w:rPr>
        <w:fldChar w:fldCharType="end"/>
      </w:r>
      <w:bookmarkEnd w:id="187"/>
      <w:r w:rsidRPr="004E0C91">
        <w:rPr>
          <w:b/>
          <w:color w:val="000080"/>
        </w:rPr>
        <w:tab/>
      </w:r>
      <w:r w:rsidRPr="00E66FF3">
        <w:rPr>
          <w:b/>
          <w:color w:val="000000" w:themeColor="text1"/>
        </w:rPr>
        <w:t>Distribution of NLPD changes (all buildings, bins 1 W/m</w:t>
      </w:r>
      <w:r w:rsidRPr="00E66FF3">
        <w:rPr>
          <w:b/>
          <w:color w:val="000000" w:themeColor="text1"/>
          <w:vertAlign w:val="superscript"/>
        </w:rPr>
        <w:t>2</w:t>
      </w:r>
      <w:r w:rsidRPr="00E66FF3">
        <w:rPr>
          <w:b/>
          <w:color w:val="000000" w:themeColor="text1"/>
        </w:rPr>
        <w:t xml:space="preserve"> wide)</w:t>
      </w:r>
      <w:bookmarkEnd w:id="188"/>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3F13A3" w14:paraId="31A01B3E" w14:textId="77777777">
        <w:trPr>
          <w:cantSplit/>
        </w:trPr>
        <w:tc>
          <w:tcPr>
            <w:tcW w:w="5000" w:type="pct"/>
          </w:tcPr>
          <w:p w14:paraId="5FB4AEBB" w14:textId="77777777" w:rsidR="003F13A3" w:rsidRDefault="003F13A3" w:rsidP="00594865">
            <w:pPr>
              <w:pStyle w:val="SmallDeltasRightAligned"/>
              <w:keepNext/>
            </w:pPr>
            <w:r>
              <w:rPr>
                <w:noProof/>
                <w:lang w:eastAsia="en-AU"/>
              </w:rPr>
              <w:drawing>
                <wp:inline distT="0" distB="0" distL="0" distR="0" wp14:anchorId="5ED58F6B" wp14:editId="48479005">
                  <wp:extent cx="481585" cy="234696"/>
                  <wp:effectExtent l="0" t="0" r="0" b="0"/>
                  <wp:docPr id="16" name="Picture 16"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3F13A3" w14:paraId="0B67055B" w14:textId="77777777">
        <w:tblPrEx>
          <w:tblCellMar>
            <w:left w:w="108" w:type="dxa"/>
            <w:right w:w="108" w:type="dxa"/>
          </w:tblCellMar>
        </w:tblPrEx>
        <w:trPr>
          <w:cantSplit/>
        </w:trPr>
        <w:tc>
          <w:tcPr>
            <w:tcW w:w="5000" w:type="pct"/>
          </w:tcPr>
          <w:p w14:paraId="6641F529" w14:textId="77777777" w:rsidR="003F13A3" w:rsidRDefault="003F13A3" w:rsidP="00594865">
            <w:pPr>
              <w:pStyle w:val="Figure"/>
            </w:pPr>
            <w:r>
              <w:rPr>
                <w:noProof/>
                <w:lang w:eastAsia="en-AU"/>
              </w:rPr>
              <w:drawing>
                <wp:inline distT="0" distB="0" distL="0" distR="0" wp14:anchorId="0FF6BE4F" wp14:editId="264378BA">
                  <wp:extent cx="4543425" cy="2908300"/>
                  <wp:effectExtent l="0" t="0" r="0" b="6350"/>
                  <wp:docPr id="20" name="Chart 20" descr="Distribution of NLPD changes (all buildings, bins 1 W/m2 wide)" title="Distribution of NLPD changes (all buildings, bins 1 W/m2 wide)"/>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0A453746" w14:textId="77777777" w:rsidR="003F13A3" w:rsidRDefault="003F13A3" w:rsidP="003F13A3">
      <w:pPr>
        <w:pStyle w:val="Note"/>
      </w:pPr>
      <w:r>
        <w:rPr>
          <w:i/>
        </w:rPr>
        <w:t>Note:</w:t>
      </w:r>
      <w:r>
        <w:t xml:space="preserve"> Excludes buildings with no change to average NLPD (i.e</w:t>
      </w:r>
      <w:r w:rsidR="00CB3EC7">
        <w:t xml:space="preserve">. </w:t>
      </w:r>
      <w:r>
        <w:sym w:font="Symbol" w:char="F044"/>
      </w:r>
      <w:r>
        <w:t xml:space="preserve"> NLPD = 0)</w:t>
      </w:r>
      <w:r w:rsidR="00116341">
        <w:t>.</w:t>
      </w:r>
    </w:p>
    <w:p w14:paraId="1C662949" w14:textId="77777777" w:rsidR="003F13A3" w:rsidRPr="00B50A1B" w:rsidRDefault="003F13A3" w:rsidP="003F13A3">
      <w:pPr>
        <w:pStyle w:val="Source"/>
        <w:rPr>
          <w:i/>
        </w:rPr>
      </w:pPr>
      <w:r>
        <w:t>S</w:t>
      </w:r>
      <w:r w:rsidRPr="00B50A1B">
        <w:t>ource:</w:t>
      </w:r>
      <w:r w:rsidRPr="00954EED">
        <w:t xml:space="preserve"> </w:t>
      </w:r>
      <w:r>
        <w:t>ACIL Allen analysis of CBD data</w:t>
      </w:r>
    </w:p>
    <w:p w14:paraId="164A997B" w14:textId="77777777" w:rsidR="003F13A3" w:rsidRDefault="003F13A3" w:rsidP="003F13A3">
      <w:pPr>
        <w:pStyle w:val="BodyText"/>
      </w:pPr>
      <w:r>
        <w:t>The average improvement for 56</w:t>
      </w:r>
      <w:r w:rsidR="00D716F5">
        <w:t xml:space="preserve"> per cent</w:t>
      </w:r>
      <w:r>
        <w:t xml:space="preserve"> of buildings</w:t>
      </w:r>
      <w:r w:rsidR="0049479E">
        <w:t>’ functional space</w:t>
      </w:r>
      <w:r>
        <w:t xml:space="preserve"> was within +/- 1 W/m</w:t>
      </w:r>
      <w:r w:rsidRPr="005339AE">
        <w:rPr>
          <w:vertAlign w:val="superscript"/>
        </w:rPr>
        <w:t>2</w:t>
      </w:r>
      <w:r>
        <w:t>, with 32</w:t>
      </w:r>
      <w:r w:rsidR="00D716F5">
        <w:t xml:space="preserve"> per cent</w:t>
      </w:r>
      <w:r>
        <w:t xml:space="preserve"> having an improvement greater than 1 W/m</w:t>
      </w:r>
      <w:r w:rsidRPr="005339AE">
        <w:rPr>
          <w:vertAlign w:val="superscript"/>
        </w:rPr>
        <w:t>2</w:t>
      </w:r>
      <w:r>
        <w:rPr>
          <w:vertAlign w:val="superscript"/>
        </w:rPr>
        <w:t xml:space="preserve"> </w:t>
      </w:r>
      <w:r>
        <w:t>and 10</w:t>
      </w:r>
      <w:r w:rsidR="00D716F5">
        <w:t xml:space="preserve"> per cent </w:t>
      </w:r>
      <w:r>
        <w:t>with deterioration poorer than 1 W/m</w:t>
      </w:r>
      <w:r w:rsidRPr="005339AE">
        <w:rPr>
          <w:vertAlign w:val="superscript"/>
        </w:rPr>
        <w:t>2</w:t>
      </w:r>
      <w:r>
        <w:t>.</w:t>
      </w:r>
    </w:p>
    <w:p w14:paraId="46EED3DB" w14:textId="4643CC95" w:rsidR="003F13A3" w:rsidRDefault="003F13A3" w:rsidP="003F13A3">
      <w:pPr>
        <w:pStyle w:val="BodyText"/>
      </w:pPr>
      <w:r>
        <w:t>This does not suggest that 56</w:t>
      </w:r>
      <w:r w:rsidR="00EE7230">
        <w:t xml:space="preserve"> per cent</w:t>
      </w:r>
      <w:r>
        <w:t xml:space="preserve"> of buildings are likely to have had no change to lighting</w:t>
      </w:r>
      <w:r w:rsidR="00A91174">
        <w:t xml:space="preserve"> systems</w:t>
      </w:r>
      <w:r w:rsidR="00CB3EC7">
        <w:t xml:space="preserve">. </w:t>
      </w:r>
      <w:r w:rsidR="00A91174">
        <w:t xml:space="preserve">The </w:t>
      </w:r>
      <w:r>
        <w:t>estimated +/- 1 W/m</w:t>
      </w:r>
      <w:r w:rsidRPr="005339AE">
        <w:rPr>
          <w:vertAlign w:val="superscript"/>
        </w:rPr>
        <w:t>2</w:t>
      </w:r>
      <w:r>
        <w:rPr>
          <w:vertAlign w:val="superscript"/>
        </w:rPr>
        <w:t xml:space="preserve"> </w:t>
      </w:r>
      <w:r>
        <w:t xml:space="preserve">margin of error applies to individual </w:t>
      </w:r>
      <w:r w:rsidR="00A91174">
        <w:t xml:space="preserve">functional </w:t>
      </w:r>
      <w:r>
        <w:t>spaces (rather than whole building)</w:t>
      </w:r>
      <w:r w:rsidR="00837B5E">
        <w:t>,</w:t>
      </w:r>
      <w:r w:rsidR="00A91174">
        <w:t xml:space="preserve"> whereas the analysis was conducted using the average NLPD for whole buildings</w:t>
      </w:r>
      <w:r w:rsidR="00CB3EC7">
        <w:t xml:space="preserve">. </w:t>
      </w:r>
      <w:r>
        <w:t>A building may have had genuine improvement in at</w:t>
      </w:r>
      <w:r w:rsidR="00EE7230">
        <w:t xml:space="preserve"> </w:t>
      </w:r>
      <w:r>
        <w:t xml:space="preserve">least one individual space </w:t>
      </w:r>
      <w:r w:rsidR="00A91174">
        <w:t>of greater than 1 W/m</w:t>
      </w:r>
      <w:r w:rsidR="00A91174" w:rsidRPr="005339AE">
        <w:rPr>
          <w:vertAlign w:val="superscript"/>
        </w:rPr>
        <w:t>2</w:t>
      </w:r>
      <w:r w:rsidR="00A91174">
        <w:rPr>
          <w:vertAlign w:val="superscript"/>
        </w:rPr>
        <w:t xml:space="preserve"> </w:t>
      </w:r>
      <w:r>
        <w:t>which still resulted in overall building improvement lower than 1 W/m</w:t>
      </w:r>
      <w:r w:rsidRPr="005339AE">
        <w:rPr>
          <w:vertAlign w:val="superscript"/>
        </w:rPr>
        <w:t>2</w:t>
      </w:r>
      <w:r w:rsidR="00837B5E">
        <w:t>;</w:t>
      </w:r>
      <w:r w:rsidR="00CB3EC7">
        <w:t xml:space="preserve"> </w:t>
      </w:r>
      <w:r w:rsidR="00837B5E">
        <w:t>h</w:t>
      </w:r>
      <w:r>
        <w:t>owever, analysis by functional space was not possible due to data limitations</w:t>
      </w:r>
      <w:r w:rsidR="00CB3EC7">
        <w:t xml:space="preserve">. </w:t>
      </w:r>
    </w:p>
    <w:p w14:paraId="53426009" w14:textId="77777777" w:rsidR="003F13A3" w:rsidRDefault="003F13A3" w:rsidP="003F13A3">
      <w:pPr>
        <w:pStyle w:val="BodyText"/>
      </w:pPr>
      <w:r>
        <w:t>Note that the sample includes all buildings contained within the CBD</w:t>
      </w:r>
      <w:r w:rsidR="0025774C">
        <w:t xml:space="preserve"> downloadable</w:t>
      </w:r>
      <w:r>
        <w:t xml:space="preserve"> database</w:t>
      </w:r>
      <w:r w:rsidR="0025774C">
        <w:rPr>
          <w:rStyle w:val="FootnoteReference"/>
        </w:rPr>
        <w:footnoteReference w:id="23"/>
      </w:r>
      <w:r>
        <w:t xml:space="preserve"> (including voluntary </w:t>
      </w:r>
      <w:proofErr w:type="spellStart"/>
      <w:r>
        <w:t>raters</w:t>
      </w:r>
      <w:proofErr w:type="spellEnd"/>
      <w:r>
        <w:t xml:space="preserve">, mandatory </w:t>
      </w:r>
      <w:proofErr w:type="spellStart"/>
      <w:r>
        <w:t>raters</w:t>
      </w:r>
      <w:proofErr w:type="spellEnd"/>
      <w:r>
        <w:t xml:space="preserve"> and those that have been classified as new buildings)</w:t>
      </w:r>
      <w:r w:rsidR="00CB3EC7">
        <w:t xml:space="preserve">. </w:t>
      </w:r>
      <w:r>
        <w:t xml:space="preserve">The analysis was undertaken for voluntary and mandatory </w:t>
      </w:r>
      <w:proofErr w:type="spellStart"/>
      <w:r>
        <w:t>raters</w:t>
      </w:r>
      <w:proofErr w:type="spellEnd"/>
      <w:r>
        <w:t xml:space="preserve"> separately to investigate whether there were any significant differences in improvements to NLPDs.</w:t>
      </w:r>
    </w:p>
    <w:p w14:paraId="346B0D31" w14:textId="320C5D9A" w:rsidR="003F13A3" w:rsidRDefault="003346C7" w:rsidP="003F13A3">
      <w:pPr>
        <w:pStyle w:val="BodyText"/>
      </w:pPr>
      <w:r>
        <w:fldChar w:fldCharType="begin"/>
      </w:r>
      <w:r>
        <w:instrText xml:space="preserve"> REF _Ref407097764 \h  \* MERGEFORMAT </w:instrText>
      </w:r>
      <w:r>
        <w:fldChar w:fldCharType="separate"/>
      </w:r>
      <w:r w:rsidR="006A273E">
        <w:t xml:space="preserve">Figure </w:t>
      </w:r>
      <w:r w:rsidR="006A273E">
        <w:rPr>
          <w:noProof/>
        </w:rPr>
        <w:t>16</w:t>
      </w:r>
      <w:r>
        <w:fldChar w:fldCharType="end"/>
      </w:r>
      <w:r w:rsidR="003F13A3">
        <w:t xml:space="preserve"> shows the histogram of NLPD changes for voluntary </w:t>
      </w:r>
      <w:proofErr w:type="spellStart"/>
      <w:r w:rsidR="003F13A3">
        <w:t>rater</w:t>
      </w:r>
      <w:proofErr w:type="spellEnd"/>
      <w:r w:rsidR="003F13A3">
        <w:t xml:space="preserve"> buildings in the sample</w:t>
      </w:r>
      <w:r w:rsidR="00662D96">
        <w:t>,</w:t>
      </w:r>
      <w:r w:rsidR="003F13A3">
        <w:t xml:space="preserve"> </w:t>
      </w:r>
      <w:r w:rsidR="00EE7230">
        <w:t>while</w:t>
      </w:r>
      <w:r w:rsidR="003F13A3">
        <w:t xml:space="preserve"> </w:t>
      </w:r>
      <w:r>
        <w:fldChar w:fldCharType="begin"/>
      </w:r>
      <w:r>
        <w:instrText xml:space="preserve"> REF _Ref407097797 \h  \* MERGEFORMAT </w:instrText>
      </w:r>
      <w:r>
        <w:fldChar w:fldCharType="separate"/>
      </w:r>
      <w:r w:rsidR="006A273E">
        <w:t xml:space="preserve">Figure </w:t>
      </w:r>
      <w:r w:rsidR="006A273E">
        <w:rPr>
          <w:noProof/>
        </w:rPr>
        <w:t>17</w:t>
      </w:r>
      <w:r>
        <w:fldChar w:fldCharType="end"/>
      </w:r>
      <w:r w:rsidR="003F13A3">
        <w:t xml:space="preserve"> shows the histogram of NLPD changes for mandatory </w:t>
      </w:r>
      <w:proofErr w:type="spellStart"/>
      <w:r w:rsidR="003F13A3">
        <w:t>rater</w:t>
      </w:r>
      <w:proofErr w:type="spellEnd"/>
      <w:r w:rsidR="003F13A3">
        <w:t xml:space="preserve"> buildings in the sample</w:t>
      </w:r>
      <w:r w:rsidR="00662D96">
        <w:t>;</w:t>
      </w:r>
      <w:r w:rsidR="003F13A3">
        <w:t xml:space="preserve"> both with improvements in TLA for buildings grouped into bins of 3 W/m</w:t>
      </w:r>
      <w:r w:rsidR="003F13A3" w:rsidRPr="005339AE">
        <w:rPr>
          <w:vertAlign w:val="superscript"/>
        </w:rPr>
        <w:t>2</w:t>
      </w:r>
      <w:r w:rsidR="003F13A3">
        <w:t>.</w:t>
      </w:r>
    </w:p>
    <w:p w14:paraId="09E5D510" w14:textId="77777777" w:rsidR="003F13A3" w:rsidRPr="00E66FF3" w:rsidRDefault="003F13A3" w:rsidP="003F13A3">
      <w:pPr>
        <w:pStyle w:val="BodyText"/>
      </w:pPr>
    </w:p>
    <w:p w14:paraId="512B8C7F" w14:textId="77777777" w:rsidR="003F13A3" w:rsidRDefault="003F13A3" w:rsidP="003F13A3">
      <w:pPr>
        <w:pStyle w:val="Caption"/>
      </w:pPr>
      <w:bookmarkStart w:id="189" w:name="_Ref407097764"/>
      <w:bookmarkStart w:id="190" w:name="_Toc415660961"/>
      <w:r>
        <w:lastRenderedPageBreak/>
        <w:t xml:space="preserve">Figure </w:t>
      </w:r>
      <w:r w:rsidR="00492194">
        <w:fldChar w:fldCharType="begin"/>
      </w:r>
      <w:r w:rsidR="0044208C">
        <w:instrText xml:space="preserve"> SEQ Figure \* ARABIC </w:instrText>
      </w:r>
      <w:r w:rsidR="00492194">
        <w:fldChar w:fldCharType="separate"/>
      </w:r>
      <w:r w:rsidR="006A273E">
        <w:rPr>
          <w:noProof/>
        </w:rPr>
        <w:t>16</w:t>
      </w:r>
      <w:r w:rsidR="00492194">
        <w:rPr>
          <w:noProof/>
        </w:rPr>
        <w:fldChar w:fldCharType="end"/>
      </w:r>
      <w:bookmarkEnd w:id="189"/>
      <w:r w:rsidRPr="004E0C91">
        <w:rPr>
          <w:b/>
          <w:color w:val="000080"/>
        </w:rPr>
        <w:tab/>
      </w:r>
      <w:r w:rsidRPr="00E66FF3">
        <w:rPr>
          <w:b/>
          <w:color w:val="000000" w:themeColor="text1"/>
        </w:rPr>
        <w:t>Distribution of NLPD changes (voluntary group, bins 3 W/m</w:t>
      </w:r>
      <w:r w:rsidRPr="00E66FF3">
        <w:rPr>
          <w:b/>
          <w:color w:val="000000" w:themeColor="text1"/>
          <w:vertAlign w:val="superscript"/>
        </w:rPr>
        <w:t>2</w:t>
      </w:r>
      <w:r w:rsidRPr="00E66FF3">
        <w:rPr>
          <w:b/>
          <w:color w:val="000000" w:themeColor="text1"/>
        </w:rPr>
        <w:t xml:space="preserve"> wide)</w:t>
      </w:r>
      <w:bookmarkEnd w:id="190"/>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3F13A3" w14:paraId="064CB669" w14:textId="77777777">
        <w:trPr>
          <w:cantSplit/>
        </w:trPr>
        <w:tc>
          <w:tcPr>
            <w:tcW w:w="5000" w:type="pct"/>
          </w:tcPr>
          <w:p w14:paraId="0EB9BB22" w14:textId="77777777" w:rsidR="003F13A3" w:rsidRDefault="003F13A3" w:rsidP="00594865">
            <w:pPr>
              <w:pStyle w:val="SmallDeltasRightAligned"/>
              <w:keepNext/>
            </w:pPr>
            <w:r>
              <w:rPr>
                <w:noProof/>
                <w:lang w:eastAsia="en-AU"/>
              </w:rPr>
              <w:drawing>
                <wp:inline distT="0" distB="0" distL="0" distR="0" wp14:anchorId="0B8C4AC2" wp14:editId="791BC5E6">
                  <wp:extent cx="481585" cy="234696"/>
                  <wp:effectExtent l="0" t="0" r="0" b="0"/>
                  <wp:docPr id="17" name="Picture 17"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3F13A3" w14:paraId="0BF359C8" w14:textId="77777777">
        <w:tblPrEx>
          <w:tblCellMar>
            <w:left w:w="108" w:type="dxa"/>
            <w:right w:w="108" w:type="dxa"/>
          </w:tblCellMar>
        </w:tblPrEx>
        <w:trPr>
          <w:cantSplit/>
        </w:trPr>
        <w:tc>
          <w:tcPr>
            <w:tcW w:w="5000" w:type="pct"/>
          </w:tcPr>
          <w:p w14:paraId="47FE9051" w14:textId="77777777" w:rsidR="003F13A3" w:rsidRDefault="003F13A3" w:rsidP="00594865">
            <w:pPr>
              <w:pStyle w:val="Figure"/>
            </w:pPr>
            <w:r>
              <w:rPr>
                <w:noProof/>
                <w:lang w:eastAsia="en-AU"/>
              </w:rPr>
              <w:drawing>
                <wp:inline distT="0" distB="0" distL="0" distR="0" wp14:anchorId="05D733A7" wp14:editId="6DD554F4">
                  <wp:extent cx="4543425" cy="2908300"/>
                  <wp:effectExtent l="0" t="0" r="0" b="6350"/>
                  <wp:docPr id="25" name="Chart 25" descr="Distribution of NLPD changes (voluntary group, bins 3 W/m2 wide)" title="Distribution of NLPD changes (voluntary group, bins 3 W/m2 wide)"/>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11C805C8" w14:textId="77777777" w:rsidR="003F13A3" w:rsidRDefault="003F13A3" w:rsidP="003F13A3">
      <w:pPr>
        <w:pStyle w:val="Note"/>
      </w:pPr>
      <w:r>
        <w:rPr>
          <w:i/>
        </w:rPr>
        <w:t>Note:</w:t>
      </w:r>
      <w:r>
        <w:t xml:space="preserve"> Excludes buildings with no change to average NLPD (i.e</w:t>
      </w:r>
      <w:r w:rsidR="00CB3EC7">
        <w:t xml:space="preserve">. </w:t>
      </w:r>
      <w:r>
        <w:sym w:font="Symbol" w:char="F044"/>
      </w:r>
      <w:r>
        <w:t xml:space="preserve"> NLPD = 0)</w:t>
      </w:r>
      <w:r w:rsidR="00662D96">
        <w:t>.</w:t>
      </w:r>
    </w:p>
    <w:p w14:paraId="41927F01" w14:textId="77777777" w:rsidR="003F13A3" w:rsidRPr="00B50A1B" w:rsidRDefault="003F13A3" w:rsidP="003F13A3">
      <w:pPr>
        <w:pStyle w:val="Source"/>
        <w:rPr>
          <w:i/>
        </w:rPr>
      </w:pPr>
      <w:r>
        <w:t>S</w:t>
      </w:r>
      <w:r w:rsidRPr="00B50A1B">
        <w:t>ource:</w:t>
      </w:r>
      <w:r w:rsidRPr="00954EED">
        <w:t xml:space="preserve"> </w:t>
      </w:r>
      <w:r>
        <w:t>ACIL Allen analysis of CBD data</w:t>
      </w:r>
    </w:p>
    <w:p w14:paraId="2C1F2FCB" w14:textId="77777777" w:rsidR="003F13A3" w:rsidRDefault="003F13A3" w:rsidP="003F13A3">
      <w:pPr>
        <w:pStyle w:val="Caption"/>
      </w:pPr>
      <w:bookmarkStart w:id="191" w:name="_Ref407097797"/>
      <w:bookmarkStart w:id="192" w:name="_Toc415660962"/>
      <w:r>
        <w:t xml:space="preserve">Figure </w:t>
      </w:r>
      <w:r w:rsidR="00492194">
        <w:fldChar w:fldCharType="begin"/>
      </w:r>
      <w:r w:rsidR="0044208C">
        <w:instrText xml:space="preserve"> SEQ Figure \* ARABIC </w:instrText>
      </w:r>
      <w:r w:rsidR="00492194">
        <w:fldChar w:fldCharType="separate"/>
      </w:r>
      <w:r w:rsidR="006A273E">
        <w:rPr>
          <w:noProof/>
        </w:rPr>
        <w:t>17</w:t>
      </w:r>
      <w:r w:rsidR="00492194">
        <w:rPr>
          <w:noProof/>
        </w:rPr>
        <w:fldChar w:fldCharType="end"/>
      </w:r>
      <w:bookmarkEnd w:id="191"/>
      <w:r w:rsidRPr="004E0C91">
        <w:rPr>
          <w:b/>
          <w:color w:val="000080"/>
        </w:rPr>
        <w:tab/>
      </w:r>
      <w:r w:rsidRPr="00E66FF3">
        <w:rPr>
          <w:b/>
          <w:color w:val="000000" w:themeColor="text1"/>
        </w:rPr>
        <w:t>Distribution of NLPD changes (mandatory group, bins 3 W/m</w:t>
      </w:r>
      <w:r w:rsidRPr="00E66FF3">
        <w:rPr>
          <w:b/>
          <w:color w:val="000000" w:themeColor="text1"/>
          <w:vertAlign w:val="superscript"/>
        </w:rPr>
        <w:t>2</w:t>
      </w:r>
      <w:r w:rsidRPr="00E66FF3">
        <w:rPr>
          <w:b/>
          <w:color w:val="000000" w:themeColor="text1"/>
        </w:rPr>
        <w:t xml:space="preserve"> wide)</w:t>
      </w:r>
      <w:bookmarkEnd w:id="192"/>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3F13A3" w14:paraId="1D461256" w14:textId="77777777">
        <w:trPr>
          <w:cantSplit/>
        </w:trPr>
        <w:tc>
          <w:tcPr>
            <w:tcW w:w="5000" w:type="pct"/>
          </w:tcPr>
          <w:p w14:paraId="43793DD6" w14:textId="77777777" w:rsidR="003F13A3" w:rsidRDefault="003F13A3" w:rsidP="00594865">
            <w:pPr>
              <w:pStyle w:val="SmallDeltasRightAligned"/>
              <w:keepNext/>
            </w:pPr>
            <w:r>
              <w:rPr>
                <w:noProof/>
                <w:lang w:eastAsia="en-AU"/>
              </w:rPr>
              <w:drawing>
                <wp:inline distT="0" distB="0" distL="0" distR="0" wp14:anchorId="1673C96F" wp14:editId="18429862">
                  <wp:extent cx="481585" cy="234696"/>
                  <wp:effectExtent l="0" t="0" r="0" b="0"/>
                  <wp:docPr id="19" name="Picture 19"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3F13A3" w14:paraId="66F74E24" w14:textId="77777777">
        <w:tblPrEx>
          <w:tblCellMar>
            <w:left w:w="108" w:type="dxa"/>
            <w:right w:w="108" w:type="dxa"/>
          </w:tblCellMar>
        </w:tblPrEx>
        <w:trPr>
          <w:cantSplit/>
        </w:trPr>
        <w:tc>
          <w:tcPr>
            <w:tcW w:w="5000" w:type="pct"/>
          </w:tcPr>
          <w:p w14:paraId="243A2DAF" w14:textId="77777777" w:rsidR="003F13A3" w:rsidRDefault="003F13A3" w:rsidP="00594865">
            <w:pPr>
              <w:pStyle w:val="Figure"/>
            </w:pPr>
            <w:r>
              <w:rPr>
                <w:noProof/>
                <w:lang w:eastAsia="en-AU"/>
              </w:rPr>
              <w:drawing>
                <wp:inline distT="0" distB="0" distL="0" distR="0" wp14:anchorId="637FD37A" wp14:editId="42F6832B">
                  <wp:extent cx="4543425" cy="2936240"/>
                  <wp:effectExtent l="0" t="0" r="0" b="0"/>
                  <wp:docPr id="26" name="Chart 26" descr="Distribution of NLPD changes (mandatory group, bins 3 W/m2 wide)" title="Distribution of NLPD changes (mandatory group, bins 3 W/m2 wide)"/>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387DA46E" w14:textId="77777777" w:rsidR="003F13A3" w:rsidRDefault="003F13A3" w:rsidP="003F13A3">
      <w:pPr>
        <w:pStyle w:val="Note"/>
      </w:pPr>
      <w:r>
        <w:rPr>
          <w:i/>
        </w:rPr>
        <w:t>Note:</w:t>
      </w:r>
      <w:r>
        <w:t xml:space="preserve"> Excludes buildings with no change to average NLPD (i.e</w:t>
      </w:r>
      <w:r w:rsidR="00CB3EC7">
        <w:t xml:space="preserve">. </w:t>
      </w:r>
      <w:r>
        <w:sym w:font="Symbol" w:char="F044"/>
      </w:r>
      <w:r>
        <w:t xml:space="preserve"> NLPD = 0)</w:t>
      </w:r>
      <w:r w:rsidR="00662D96">
        <w:t>.</w:t>
      </w:r>
    </w:p>
    <w:p w14:paraId="4719D246" w14:textId="77777777" w:rsidR="003F13A3" w:rsidRPr="00B50A1B" w:rsidRDefault="003F13A3" w:rsidP="003F13A3">
      <w:pPr>
        <w:pStyle w:val="Source"/>
        <w:rPr>
          <w:i/>
        </w:rPr>
      </w:pPr>
      <w:r>
        <w:t>S</w:t>
      </w:r>
      <w:r w:rsidRPr="00B50A1B">
        <w:t>ource:</w:t>
      </w:r>
      <w:r w:rsidRPr="00954EED">
        <w:t xml:space="preserve"> </w:t>
      </w:r>
      <w:r>
        <w:t>ACIL Allen analysis of CBD data</w:t>
      </w:r>
    </w:p>
    <w:p w14:paraId="44A497C1" w14:textId="77777777" w:rsidR="003F13A3" w:rsidRDefault="003F13A3" w:rsidP="003F13A3">
      <w:pPr>
        <w:pStyle w:val="BodyText"/>
      </w:pPr>
      <w:r>
        <w:t>A mean improvement of 0.97 W/m</w:t>
      </w:r>
      <w:r w:rsidRPr="00376270">
        <w:rPr>
          <w:vertAlign w:val="superscript"/>
        </w:rPr>
        <w:t>2</w:t>
      </w:r>
      <w:r>
        <w:t xml:space="preserve"> was calculated for voluntary </w:t>
      </w:r>
      <w:proofErr w:type="spellStart"/>
      <w:r>
        <w:t>raters</w:t>
      </w:r>
      <w:proofErr w:type="spellEnd"/>
      <w:r>
        <w:t>, compared with 0.68</w:t>
      </w:r>
      <w:r w:rsidRPr="00A774E3">
        <w:t xml:space="preserve"> </w:t>
      </w:r>
      <w:r>
        <w:t>W/m</w:t>
      </w:r>
      <w:r w:rsidRPr="00376270">
        <w:rPr>
          <w:vertAlign w:val="superscript"/>
        </w:rPr>
        <w:t>2</w:t>
      </w:r>
      <w:r>
        <w:t xml:space="preserve"> for mandatory </w:t>
      </w:r>
      <w:proofErr w:type="spellStart"/>
      <w:r>
        <w:t>raters</w:t>
      </w:r>
      <w:proofErr w:type="spellEnd"/>
      <w:r w:rsidR="00CB3EC7">
        <w:t xml:space="preserve">. </w:t>
      </w:r>
    </w:p>
    <w:p w14:paraId="795E9629" w14:textId="77777777" w:rsidR="003F13A3" w:rsidRDefault="003F13A3" w:rsidP="003F13A3">
      <w:pPr>
        <w:pStyle w:val="BodyText"/>
      </w:pPr>
      <w:r>
        <w:t xml:space="preserve">For voluntary </w:t>
      </w:r>
      <w:proofErr w:type="spellStart"/>
      <w:r>
        <w:t>raters</w:t>
      </w:r>
      <w:proofErr w:type="spellEnd"/>
      <w:r>
        <w:t>, 64</w:t>
      </w:r>
      <w:r w:rsidR="002A7606">
        <w:t xml:space="preserve"> per cent</w:t>
      </w:r>
      <w:r>
        <w:t xml:space="preserve"> of buildings had an improvement in average NLPD, 33</w:t>
      </w:r>
      <w:r w:rsidR="002A7606">
        <w:t xml:space="preserve"> per cent</w:t>
      </w:r>
      <w:r>
        <w:t xml:space="preserve"> of buildings had a deterioration and 3</w:t>
      </w:r>
      <w:r w:rsidR="002A7606">
        <w:t xml:space="preserve"> per cent</w:t>
      </w:r>
      <w:r>
        <w:t xml:space="preserve"> had no change</w:t>
      </w:r>
      <w:r w:rsidR="00CB3EC7">
        <w:t xml:space="preserve">. </w:t>
      </w:r>
      <w:r>
        <w:t xml:space="preserve">For mandatory </w:t>
      </w:r>
      <w:proofErr w:type="spellStart"/>
      <w:r>
        <w:t>raters</w:t>
      </w:r>
      <w:proofErr w:type="spellEnd"/>
      <w:r>
        <w:t>, 55</w:t>
      </w:r>
      <w:r w:rsidR="002A7606">
        <w:t xml:space="preserve"> per cent</w:t>
      </w:r>
      <w:r>
        <w:t xml:space="preserve"> of buildings had an improvement in average NLPD, 36</w:t>
      </w:r>
      <w:r w:rsidR="002A7606">
        <w:t xml:space="preserve"> per cent</w:t>
      </w:r>
      <w:r>
        <w:t xml:space="preserve"> of buildings had a deterioration and 9</w:t>
      </w:r>
      <w:r w:rsidR="002A7606">
        <w:t xml:space="preserve"> per cent</w:t>
      </w:r>
      <w:r>
        <w:t xml:space="preserve"> had no change</w:t>
      </w:r>
      <w:r w:rsidR="00CB3EC7">
        <w:t xml:space="preserve">. </w:t>
      </w:r>
    </w:p>
    <w:p w14:paraId="3CB394F0" w14:textId="1F6F9EE2" w:rsidR="003F13A3" w:rsidRPr="005367F3" w:rsidRDefault="00492194" w:rsidP="003F13A3">
      <w:pPr>
        <w:pStyle w:val="BodyText"/>
      </w:pPr>
      <w:r>
        <w:lastRenderedPageBreak/>
        <w:fldChar w:fldCharType="begin"/>
      </w:r>
      <w:r w:rsidR="003F13A3">
        <w:instrText xml:space="preserve"> REF _Ref407107169 \h </w:instrText>
      </w:r>
      <w:r>
        <w:fldChar w:fldCharType="separate"/>
      </w:r>
      <w:r w:rsidR="006A273E">
        <w:t xml:space="preserve">Figure </w:t>
      </w:r>
      <w:r w:rsidR="006A273E">
        <w:rPr>
          <w:noProof/>
        </w:rPr>
        <w:t>18</w:t>
      </w:r>
      <w:r>
        <w:fldChar w:fldCharType="end"/>
      </w:r>
      <w:r w:rsidR="003F13A3">
        <w:t xml:space="preserve"> compares the distribution of voluntary and mandatory </w:t>
      </w:r>
      <w:proofErr w:type="spellStart"/>
      <w:r w:rsidR="003F13A3">
        <w:t>raters</w:t>
      </w:r>
      <w:proofErr w:type="spellEnd"/>
      <w:r w:rsidR="003F13A3">
        <w:t xml:space="preserve"> in percentage terms (</w:t>
      </w:r>
      <w:r w:rsidR="002A7606">
        <w:t>for example,</w:t>
      </w:r>
      <w:r w:rsidR="003F13A3">
        <w:t xml:space="preserve"> per cent of all voluntary </w:t>
      </w:r>
      <w:proofErr w:type="spellStart"/>
      <w:r w:rsidR="003F13A3">
        <w:t>raters</w:t>
      </w:r>
      <w:proofErr w:type="spellEnd"/>
      <w:r w:rsidR="003F13A3">
        <w:t xml:space="preserve"> with a change between 3 and 6 W/m</w:t>
      </w:r>
      <w:r w:rsidR="003F13A3" w:rsidRPr="00376270">
        <w:rPr>
          <w:vertAlign w:val="superscript"/>
        </w:rPr>
        <w:t>2</w:t>
      </w:r>
      <w:r w:rsidR="003F13A3">
        <w:t xml:space="preserve"> </w:t>
      </w:r>
      <w:proofErr w:type="spellStart"/>
      <w:r w:rsidR="003F13A3">
        <w:t>etc</w:t>
      </w:r>
      <w:proofErr w:type="spellEnd"/>
      <w:r w:rsidR="003F13A3">
        <w:t>).</w:t>
      </w:r>
    </w:p>
    <w:p w14:paraId="50658058" w14:textId="77777777" w:rsidR="003F13A3" w:rsidRDefault="003F13A3" w:rsidP="003F13A3">
      <w:pPr>
        <w:pStyle w:val="Caption"/>
      </w:pPr>
      <w:bookmarkStart w:id="193" w:name="_Ref407107169"/>
      <w:bookmarkStart w:id="194" w:name="_Toc415660963"/>
      <w:r>
        <w:t xml:space="preserve">Figure </w:t>
      </w:r>
      <w:r w:rsidR="00492194">
        <w:fldChar w:fldCharType="begin"/>
      </w:r>
      <w:r w:rsidR="0044208C">
        <w:instrText xml:space="preserve"> SEQ Figure \* ARABIC </w:instrText>
      </w:r>
      <w:r w:rsidR="00492194">
        <w:fldChar w:fldCharType="separate"/>
      </w:r>
      <w:r w:rsidR="006A273E">
        <w:rPr>
          <w:noProof/>
        </w:rPr>
        <w:t>18</w:t>
      </w:r>
      <w:r w:rsidR="00492194">
        <w:rPr>
          <w:noProof/>
        </w:rPr>
        <w:fldChar w:fldCharType="end"/>
      </w:r>
      <w:bookmarkEnd w:id="193"/>
      <w:r w:rsidRPr="004E0C91">
        <w:rPr>
          <w:b/>
          <w:color w:val="000080"/>
        </w:rPr>
        <w:tab/>
      </w:r>
      <w:r w:rsidRPr="00E66FF3">
        <w:rPr>
          <w:b/>
          <w:color w:val="000000" w:themeColor="text1"/>
        </w:rPr>
        <w:t>Distribution of NLPD changes (voluntary and mandatory compared)</w:t>
      </w:r>
      <w:bookmarkEnd w:id="194"/>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3F13A3" w14:paraId="63EB908C" w14:textId="77777777">
        <w:trPr>
          <w:cantSplit/>
        </w:trPr>
        <w:tc>
          <w:tcPr>
            <w:tcW w:w="5000" w:type="pct"/>
          </w:tcPr>
          <w:p w14:paraId="60F9A2E8" w14:textId="77777777" w:rsidR="003F13A3" w:rsidRDefault="003F13A3" w:rsidP="00594865">
            <w:pPr>
              <w:pStyle w:val="SmallDeltasRightAligned"/>
              <w:keepNext/>
            </w:pPr>
            <w:r>
              <w:rPr>
                <w:noProof/>
                <w:lang w:eastAsia="en-AU"/>
              </w:rPr>
              <w:drawing>
                <wp:inline distT="0" distB="0" distL="0" distR="0" wp14:anchorId="04210710" wp14:editId="4C6737A7">
                  <wp:extent cx="481585" cy="234696"/>
                  <wp:effectExtent l="0" t="0" r="0" b="0"/>
                  <wp:docPr id="18" name="Picture 18"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3F13A3" w14:paraId="49309892" w14:textId="77777777">
        <w:tblPrEx>
          <w:tblCellMar>
            <w:left w:w="108" w:type="dxa"/>
            <w:right w:w="108" w:type="dxa"/>
          </w:tblCellMar>
        </w:tblPrEx>
        <w:trPr>
          <w:cantSplit/>
        </w:trPr>
        <w:tc>
          <w:tcPr>
            <w:tcW w:w="5000" w:type="pct"/>
          </w:tcPr>
          <w:p w14:paraId="5F1524C6" w14:textId="77777777" w:rsidR="003F13A3" w:rsidRDefault="003F13A3" w:rsidP="00594865">
            <w:pPr>
              <w:pStyle w:val="Figure"/>
            </w:pPr>
            <w:r>
              <w:rPr>
                <w:noProof/>
                <w:lang w:eastAsia="en-AU"/>
              </w:rPr>
              <w:drawing>
                <wp:inline distT="0" distB="0" distL="0" distR="0" wp14:anchorId="088B63BA" wp14:editId="2606CF51">
                  <wp:extent cx="4543425" cy="2908300"/>
                  <wp:effectExtent l="0" t="0" r="0" b="6350"/>
                  <wp:docPr id="28" name="Chart 28" descr="Distribution of NLPD changes (voluntary and mandatory compared)" title="Distribution of NLPD changes (voluntary and mandatory compared)"/>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6859EE4E" w14:textId="77777777" w:rsidR="003F13A3" w:rsidRDefault="003F13A3" w:rsidP="003F13A3">
      <w:pPr>
        <w:pStyle w:val="Note"/>
      </w:pPr>
      <w:r>
        <w:rPr>
          <w:i/>
        </w:rPr>
        <w:t>Note:</w:t>
      </w:r>
      <w:r>
        <w:t xml:space="preserve"> Excludes buildings with no change to average NLPD (i.e</w:t>
      </w:r>
      <w:r w:rsidR="00CB3EC7">
        <w:t xml:space="preserve">. </w:t>
      </w:r>
      <w:r>
        <w:sym w:font="Symbol" w:char="F044"/>
      </w:r>
      <w:r>
        <w:t xml:space="preserve"> NLPD = 0)</w:t>
      </w:r>
      <w:r w:rsidR="00662D96">
        <w:t>.</w:t>
      </w:r>
    </w:p>
    <w:p w14:paraId="5D181B4C" w14:textId="77777777" w:rsidR="003F13A3" w:rsidRPr="00B50A1B" w:rsidRDefault="003F13A3" w:rsidP="003F13A3">
      <w:pPr>
        <w:pStyle w:val="Source"/>
        <w:rPr>
          <w:i/>
        </w:rPr>
      </w:pPr>
      <w:r>
        <w:t>S</w:t>
      </w:r>
      <w:r w:rsidRPr="00B50A1B">
        <w:t>ource:</w:t>
      </w:r>
      <w:r w:rsidRPr="00954EED">
        <w:t xml:space="preserve"> </w:t>
      </w:r>
      <w:r>
        <w:t>ACIL Allen analysis of CBD data</w:t>
      </w:r>
    </w:p>
    <w:p w14:paraId="00DC2135" w14:textId="77777777" w:rsidR="003F13A3" w:rsidRDefault="002A7606" w:rsidP="003F13A3">
      <w:pPr>
        <w:pStyle w:val="BodyText"/>
      </w:pPr>
      <w:r>
        <w:t>While v</w:t>
      </w:r>
      <w:r w:rsidR="003F13A3">
        <w:t xml:space="preserve">oluntary </w:t>
      </w:r>
      <w:proofErr w:type="spellStart"/>
      <w:r w:rsidR="003F13A3">
        <w:t>raters</w:t>
      </w:r>
      <w:proofErr w:type="spellEnd"/>
      <w:r w:rsidR="003F13A3">
        <w:t xml:space="preserve"> demonstrate greater mean improvement</w:t>
      </w:r>
      <w:r>
        <w:t xml:space="preserve"> than </w:t>
      </w:r>
      <w:r w:rsidR="00EB1955">
        <w:t xml:space="preserve">mandatory </w:t>
      </w:r>
      <w:proofErr w:type="spellStart"/>
      <w:r>
        <w:t>raters</w:t>
      </w:r>
      <w:proofErr w:type="spellEnd"/>
      <w:r w:rsidR="003F13A3">
        <w:t>, the differences in tenancy lighting performance do not appear to be as marked as differences in NABERS ratings.</w:t>
      </w:r>
    </w:p>
    <w:p w14:paraId="17F2A5A1" w14:textId="77777777" w:rsidR="00BB1C15" w:rsidRDefault="00BB1C15" w:rsidP="00BB1C15">
      <w:pPr>
        <w:pStyle w:val="Heading3"/>
      </w:pPr>
      <w:bookmarkStart w:id="195" w:name="_Toc415660874"/>
      <w:r>
        <w:t>Conclusions from analysis of tenancy lighting</w:t>
      </w:r>
      <w:bookmarkEnd w:id="195"/>
    </w:p>
    <w:p w14:paraId="52C8CDE1" w14:textId="77777777" w:rsidR="003F13A3" w:rsidRDefault="003F13A3" w:rsidP="003F13A3">
      <w:pPr>
        <w:pStyle w:val="BodyText"/>
      </w:pPr>
      <w:r>
        <w:t>Data availability limits the level of analysis that may be conducted</w:t>
      </w:r>
      <w:r w:rsidR="00686016">
        <w:t xml:space="preserve"> on the efficacy of TLA</w:t>
      </w:r>
      <w:r>
        <w:t>, particularly due to the difficulties in tracking improvements in individual functional spaces</w:t>
      </w:r>
      <w:r w:rsidR="00CB3EC7">
        <w:t xml:space="preserve">. </w:t>
      </w:r>
      <w:r>
        <w:t>(</w:t>
      </w:r>
      <w:r w:rsidR="00686016">
        <w:t>As noted previously,</w:t>
      </w:r>
      <w:r>
        <w:t xml:space="preserve"> whole building improvements have been calculated as an alternative</w:t>
      </w:r>
      <w:r w:rsidR="00686016">
        <w:t>.</w:t>
      </w:r>
      <w:r>
        <w:t>) However, a number of observations can be made:</w:t>
      </w:r>
    </w:p>
    <w:p w14:paraId="7C8F2583" w14:textId="77777777" w:rsidR="003F13A3" w:rsidRDefault="003F13A3" w:rsidP="003F13A3">
      <w:pPr>
        <w:pStyle w:val="ListDash"/>
      </w:pPr>
      <w:r>
        <w:t xml:space="preserve">There are relatively low improvements in </w:t>
      </w:r>
      <w:r w:rsidRPr="00D2351F">
        <w:t xml:space="preserve">NLPD </w:t>
      </w:r>
      <w:r>
        <w:t xml:space="preserve">across all groups, </w:t>
      </w:r>
      <w:r w:rsidR="000C7A87">
        <w:t xml:space="preserve">particularly </w:t>
      </w:r>
      <w:r w:rsidR="004A2CE8">
        <w:t xml:space="preserve">when </w:t>
      </w:r>
      <w:r w:rsidR="000C7A87">
        <w:t xml:space="preserve">compared against </w:t>
      </w:r>
      <w:r>
        <w:t xml:space="preserve">the results of </w:t>
      </w:r>
      <w:r w:rsidR="00686016">
        <w:t xml:space="preserve">the </w:t>
      </w:r>
      <w:r>
        <w:t xml:space="preserve">base building </w:t>
      </w:r>
      <w:r w:rsidR="00686016">
        <w:t xml:space="preserve">NABERS </w:t>
      </w:r>
      <w:r>
        <w:t>performance analysis</w:t>
      </w:r>
      <w:r w:rsidR="00CB3EC7">
        <w:t xml:space="preserve">. </w:t>
      </w:r>
    </w:p>
    <w:p w14:paraId="1A9F02FC" w14:textId="77777777" w:rsidR="003F13A3" w:rsidRDefault="003F13A3" w:rsidP="003F13A3">
      <w:pPr>
        <w:pStyle w:val="ListDash"/>
      </w:pPr>
      <w:r>
        <w:t xml:space="preserve">Much </w:t>
      </w:r>
      <w:r w:rsidRPr="00D2351F">
        <w:t xml:space="preserve">of the change </w:t>
      </w:r>
      <w:r w:rsidR="00534030">
        <w:t xml:space="preserve">in </w:t>
      </w:r>
      <w:r>
        <w:t xml:space="preserve">NLPD is </w:t>
      </w:r>
      <w:r w:rsidRPr="00D2351F">
        <w:t>within the ‘margin of error’ (+/- 1 W/m</w:t>
      </w:r>
      <w:r w:rsidRPr="00487E6D">
        <w:rPr>
          <w:vertAlign w:val="superscript"/>
        </w:rPr>
        <w:t>2</w:t>
      </w:r>
      <w:r w:rsidRPr="00D2351F">
        <w:t>)</w:t>
      </w:r>
      <w:r w:rsidR="00686016">
        <w:t>.</w:t>
      </w:r>
    </w:p>
    <w:p w14:paraId="614242B4" w14:textId="77777777" w:rsidR="003F13A3" w:rsidRDefault="003F13A3" w:rsidP="003F13A3">
      <w:pPr>
        <w:pStyle w:val="ListDash"/>
      </w:pPr>
      <w:r w:rsidRPr="00D2351F">
        <w:t>There is, however, noticeably more improved floor space than deteriorated (excluding those within the margin of error)</w:t>
      </w:r>
      <w:r w:rsidR="00686016">
        <w:t>.</w:t>
      </w:r>
    </w:p>
    <w:p w14:paraId="4605E655" w14:textId="77777777" w:rsidR="003F13A3" w:rsidRDefault="003F13A3" w:rsidP="003F13A3">
      <w:pPr>
        <w:pStyle w:val="ListDash"/>
      </w:pPr>
      <w:r w:rsidRPr="00E66FF3">
        <w:t xml:space="preserve">Voluntary </w:t>
      </w:r>
      <w:proofErr w:type="spellStart"/>
      <w:r w:rsidRPr="00E66FF3">
        <w:t>raters</w:t>
      </w:r>
      <w:proofErr w:type="spellEnd"/>
      <w:r w:rsidRPr="00E66FF3">
        <w:t xml:space="preserve"> showed </w:t>
      </w:r>
      <w:r w:rsidR="00534030">
        <w:t>a</w:t>
      </w:r>
      <w:r w:rsidR="00534030" w:rsidRPr="00E66FF3">
        <w:t xml:space="preserve"> </w:t>
      </w:r>
      <w:r w:rsidRPr="00E66FF3">
        <w:t xml:space="preserve">marginally greater improvement than mandatory </w:t>
      </w:r>
      <w:proofErr w:type="spellStart"/>
      <w:r w:rsidRPr="00E66FF3">
        <w:t>raters</w:t>
      </w:r>
      <w:proofErr w:type="spellEnd"/>
      <w:r>
        <w:t>.</w:t>
      </w:r>
    </w:p>
    <w:p w14:paraId="6B6216C7" w14:textId="77777777" w:rsidR="003F13A3" w:rsidRDefault="003F13A3" w:rsidP="003F13A3">
      <w:pPr>
        <w:pStyle w:val="BodyText"/>
      </w:pPr>
      <w:r w:rsidRPr="00E66FF3">
        <w:t xml:space="preserve">The small </w:t>
      </w:r>
      <w:r>
        <w:t xml:space="preserve">overall </w:t>
      </w:r>
      <w:r w:rsidRPr="00E66FF3">
        <w:t>improvement makes it difficult to</w:t>
      </w:r>
      <w:r>
        <w:t xml:space="preserve"> </w:t>
      </w:r>
      <w:r w:rsidR="00534030">
        <w:t xml:space="preserve">argue </w:t>
      </w:r>
      <w:r>
        <w:t xml:space="preserve">that the CBD has </w:t>
      </w:r>
      <w:r w:rsidR="00534030">
        <w:t xml:space="preserve">had </w:t>
      </w:r>
      <w:r>
        <w:t>a significant and measurable</w:t>
      </w:r>
      <w:r w:rsidRPr="00E66FF3">
        <w:t xml:space="preserve"> impact </w:t>
      </w:r>
      <w:r>
        <w:t xml:space="preserve">on tenancy lighting performance, particularly considering that </w:t>
      </w:r>
      <w:r w:rsidRPr="00E66FF3">
        <w:t xml:space="preserve">there would always </w:t>
      </w:r>
      <w:r>
        <w:t xml:space="preserve">likely to have </w:t>
      </w:r>
      <w:r w:rsidRPr="00E66FF3">
        <w:t>b</w:t>
      </w:r>
      <w:r>
        <w:t>een some autonomous improvement</w:t>
      </w:r>
      <w:r w:rsidR="00CB3EC7">
        <w:t xml:space="preserve">. </w:t>
      </w:r>
      <w:r>
        <w:t xml:space="preserve">While </w:t>
      </w:r>
      <w:r w:rsidRPr="00E66FF3">
        <w:t>some evidence of upgrades can be seen</w:t>
      </w:r>
      <w:r>
        <w:t xml:space="preserve">, it is </w:t>
      </w:r>
      <w:r w:rsidR="00534030">
        <w:t xml:space="preserve">impossible </w:t>
      </w:r>
      <w:r>
        <w:t>to distinguish upgrades that were beyond business as usual.</w:t>
      </w:r>
    </w:p>
    <w:p w14:paraId="2D10D092" w14:textId="77777777" w:rsidR="003F13A3" w:rsidRPr="00E66FF3" w:rsidRDefault="003F13A3" w:rsidP="003F13A3">
      <w:pPr>
        <w:pStyle w:val="BodyText"/>
      </w:pPr>
      <w:r>
        <w:lastRenderedPageBreak/>
        <w:t xml:space="preserve">Based on this analysis, no incremental benefits from the TLA component of the CBD have been </w:t>
      </w:r>
      <w:r w:rsidR="00686016">
        <w:t>incorporated in the cost-benefit analysis</w:t>
      </w:r>
      <w:r w:rsidR="00CB3EC7">
        <w:t xml:space="preserve">. </w:t>
      </w:r>
      <w:r>
        <w:t xml:space="preserve">While </w:t>
      </w:r>
      <w:r w:rsidR="00686016">
        <w:t>it is</w:t>
      </w:r>
      <w:r>
        <w:t xml:space="preserve"> acknowledge</w:t>
      </w:r>
      <w:r w:rsidR="00686016">
        <w:t>d</w:t>
      </w:r>
      <w:r>
        <w:t xml:space="preserve"> that some upgrades </w:t>
      </w:r>
      <w:r w:rsidR="00534030">
        <w:t xml:space="preserve">are likely to </w:t>
      </w:r>
      <w:r>
        <w:t>have been prompted by the CBD, this is taken into consideration when interpreting the results of the CBA rather than being explicitly quantified.</w:t>
      </w:r>
    </w:p>
    <w:p w14:paraId="791E49AD" w14:textId="77777777" w:rsidR="00792563" w:rsidRDefault="00792563" w:rsidP="004572F4">
      <w:pPr>
        <w:pStyle w:val="Heading2"/>
      </w:pPr>
      <w:bookmarkStart w:id="196" w:name="_Toc408824556"/>
      <w:bookmarkStart w:id="197" w:name="_Toc408824663"/>
      <w:bookmarkStart w:id="198" w:name="_Toc408824828"/>
      <w:bookmarkStart w:id="199" w:name="_Toc408827014"/>
      <w:bookmarkStart w:id="200" w:name="_Toc408828987"/>
      <w:bookmarkStart w:id="201" w:name="_Toc408832013"/>
      <w:bookmarkStart w:id="202" w:name="_Toc408832116"/>
      <w:bookmarkStart w:id="203" w:name="_Toc408833591"/>
      <w:bookmarkStart w:id="204" w:name="_Toc408834891"/>
      <w:bookmarkStart w:id="205" w:name="_Toc408869997"/>
      <w:bookmarkStart w:id="206" w:name="_Toc408824557"/>
      <w:bookmarkStart w:id="207" w:name="_Toc408824664"/>
      <w:bookmarkStart w:id="208" w:name="_Toc408824829"/>
      <w:bookmarkStart w:id="209" w:name="_Toc408827015"/>
      <w:bookmarkStart w:id="210" w:name="_Toc408828988"/>
      <w:bookmarkStart w:id="211" w:name="_Toc408832014"/>
      <w:bookmarkStart w:id="212" w:name="_Toc408832117"/>
      <w:bookmarkStart w:id="213" w:name="_Toc408833592"/>
      <w:bookmarkStart w:id="214" w:name="_Toc408834892"/>
      <w:bookmarkStart w:id="215" w:name="_Toc408869998"/>
      <w:bookmarkStart w:id="216" w:name="_Toc408824558"/>
      <w:bookmarkStart w:id="217" w:name="_Toc408824665"/>
      <w:bookmarkStart w:id="218" w:name="_Toc408824830"/>
      <w:bookmarkStart w:id="219" w:name="_Toc408827016"/>
      <w:bookmarkStart w:id="220" w:name="_Toc408828989"/>
      <w:bookmarkStart w:id="221" w:name="_Toc408832015"/>
      <w:bookmarkStart w:id="222" w:name="_Toc408832118"/>
      <w:bookmarkStart w:id="223" w:name="_Toc408833593"/>
      <w:bookmarkStart w:id="224" w:name="_Toc408834893"/>
      <w:bookmarkStart w:id="225" w:name="_Toc408869999"/>
      <w:bookmarkStart w:id="226" w:name="_Toc408824559"/>
      <w:bookmarkStart w:id="227" w:name="_Toc408824666"/>
      <w:bookmarkStart w:id="228" w:name="_Toc408824831"/>
      <w:bookmarkStart w:id="229" w:name="_Toc408827017"/>
      <w:bookmarkStart w:id="230" w:name="_Toc408828990"/>
      <w:bookmarkStart w:id="231" w:name="_Toc408832016"/>
      <w:bookmarkStart w:id="232" w:name="_Toc408832119"/>
      <w:bookmarkStart w:id="233" w:name="_Toc408833594"/>
      <w:bookmarkStart w:id="234" w:name="_Toc408834894"/>
      <w:bookmarkStart w:id="235" w:name="_Toc408870000"/>
      <w:bookmarkStart w:id="236" w:name="_Toc408824560"/>
      <w:bookmarkStart w:id="237" w:name="_Toc408824667"/>
      <w:bookmarkStart w:id="238" w:name="_Toc408824832"/>
      <w:bookmarkStart w:id="239" w:name="_Toc408827018"/>
      <w:bookmarkStart w:id="240" w:name="_Toc408828991"/>
      <w:bookmarkStart w:id="241" w:name="_Toc408832017"/>
      <w:bookmarkStart w:id="242" w:name="_Toc408832120"/>
      <w:bookmarkStart w:id="243" w:name="_Toc408833595"/>
      <w:bookmarkStart w:id="244" w:name="_Toc408834895"/>
      <w:bookmarkStart w:id="245" w:name="_Toc408870001"/>
      <w:bookmarkStart w:id="246" w:name="_Toc408824561"/>
      <w:bookmarkStart w:id="247" w:name="_Toc408824668"/>
      <w:bookmarkStart w:id="248" w:name="_Toc408824833"/>
      <w:bookmarkStart w:id="249" w:name="_Toc408827019"/>
      <w:bookmarkStart w:id="250" w:name="_Toc408828992"/>
      <w:bookmarkStart w:id="251" w:name="_Toc408832018"/>
      <w:bookmarkStart w:id="252" w:name="_Toc408832121"/>
      <w:bookmarkStart w:id="253" w:name="_Toc408833596"/>
      <w:bookmarkStart w:id="254" w:name="_Toc408834896"/>
      <w:bookmarkStart w:id="255" w:name="_Toc408870002"/>
      <w:bookmarkStart w:id="256" w:name="_Toc408824562"/>
      <w:bookmarkStart w:id="257" w:name="_Toc408824669"/>
      <w:bookmarkStart w:id="258" w:name="_Toc408824834"/>
      <w:bookmarkStart w:id="259" w:name="_Toc408827020"/>
      <w:bookmarkStart w:id="260" w:name="_Toc408828993"/>
      <w:bookmarkStart w:id="261" w:name="_Toc408832019"/>
      <w:bookmarkStart w:id="262" w:name="_Toc408832122"/>
      <w:bookmarkStart w:id="263" w:name="_Toc408833597"/>
      <w:bookmarkStart w:id="264" w:name="_Toc408834897"/>
      <w:bookmarkStart w:id="265" w:name="_Toc408870003"/>
      <w:bookmarkStart w:id="266" w:name="_Toc408824563"/>
      <w:bookmarkStart w:id="267" w:name="_Toc408824670"/>
      <w:bookmarkStart w:id="268" w:name="_Toc408824835"/>
      <w:bookmarkStart w:id="269" w:name="_Toc408827021"/>
      <w:bookmarkStart w:id="270" w:name="_Toc408828994"/>
      <w:bookmarkStart w:id="271" w:name="_Toc408832020"/>
      <w:bookmarkStart w:id="272" w:name="_Toc408832123"/>
      <w:bookmarkStart w:id="273" w:name="_Toc408833598"/>
      <w:bookmarkStart w:id="274" w:name="_Toc408834898"/>
      <w:bookmarkStart w:id="275" w:name="_Toc408870004"/>
      <w:bookmarkStart w:id="276" w:name="_Toc408824564"/>
      <w:bookmarkStart w:id="277" w:name="_Toc408824671"/>
      <w:bookmarkStart w:id="278" w:name="_Toc408824836"/>
      <w:bookmarkStart w:id="279" w:name="_Toc408827022"/>
      <w:bookmarkStart w:id="280" w:name="_Toc408828995"/>
      <w:bookmarkStart w:id="281" w:name="_Toc408832021"/>
      <w:bookmarkStart w:id="282" w:name="_Toc408832124"/>
      <w:bookmarkStart w:id="283" w:name="_Toc408833599"/>
      <w:bookmarkStart w:id="284" w:name="_Toc408834899"/>
      <w:bookmarkStart w:id="285" w:name="_Toc408870005"/>
      <w:bookmarkStart w:id="286" w:name="_Toc408824565"/>
      <w:bookmarkStart w:id="287" w:name="_Toc408824672"/>
      <w:bookmarkStart w:id="288" w:name="_Toc408824837"/>
      <w:bookmarkStart w:id="289" w:name="_Toc408827023"/>
      <w:bookmarkStart w:id="290" w:name="_Toc408828996"/>
      <w:bookmarkStart w:id="291" w:name="_Toc408832022"/>
      <w:bookmarkStart w:id="292" w:name="_Toc408832125"/>
      <w:bookmarkStart w:id="293" w:name="_Toc408833600"/>
      <w:bookmarkStart w:id="294" w:name="_Toc408834900"/>
      <w:bookmarkStart w:id="295" w:name="_Toc408870006"/>
      <w:bookmarkStart w:id="296" w:name="_Toc408824566"/>
      <w:bookmarkStart w:id="297" w:name="_Toc408824673"/>
      <w:bookmarkStart w:id="298" w:name="_Toc408824838"/>
      <w:bookmarkStart w:id="299" w:name="_Toc408827024"/>
      <w:bookmarkStart w:id="300" w:name="_Toc408828997"/>
      <w:bookmarkStart w:id="301" w:name="_Toc408832023"/>
      <w:bookmarkStart w:id="302" w:name="_Toc408832126"/>
      <w:bookmarkStart w:id="303" w:name="_Toc408833601"/>
      <w:bookmarkStart w:id="304" w:name="_Toc408834901"/>
      <w:bookmarkStart w:id="305" w:name="_Toc408870007"/>
      <w:bookmarkStart w:id="306" w:name="_Toc408824567"/>
      <w:bookmarkStart w:id="307" w:name="_Toc408824674"/>
      <w:bookmarkStart w:id="308" w:name="_Toc408824839"/>
      <w:bookmarkStart w:id="309" w:name="_Toc408827025"/>
      <w:bookmarkStart w:id="310" w:name="_Toc408828998"/>
      <w:bookmarkStart w:id="311" w:name="_Toc408832024"/>
      <w:bookmarkStart w:id="312" w:name="_Toc408832127"/>
      <w:bookmarkStart w:id="313" w:name="_Toc408833602"/>
      <w:bookmarkStart w:id="314" w:name="_Toc408834902"/>
      <w:bookmarkStart w:id="315" w:name="_Toc408870008"/>
      <w:bookmarkStart w:id="316" w:name="_Toc408824568"/>
      <w:bookmarkStart w:id="317" w:name="_Toc408824675"/>
      <w:bookmarkStart w:id="318" w:name="_Toc408824840"/>
      <w:bookmarkStart w:id="319" w:name="_Toc408827026"/>
      <w:bookmarkStart w:id="320" w:name="_Toc408828999"/>
      <w:bookmarkStart w:id="321" w:name="_Toc408832025"/>
      <w:bookmarkStart w:id="322" w:name="_Toc408832128"/>
      <w:bookmarkStart w:id="323" w:name="_Toc408833603"/>
      <w:bookmarkStart w:id="324" w:name="_Toc408834903"/>
      <w:bookmarkStart w:id="325" w:name="_Toc408870009"/>
      <w:bookmarkStart w:id="326" w:name="_Toc408824569"/>
      <w:bookmarkStart w:id="327" w:name="_Toc408824676"/>
      <w:bookmarkStart w:id="328" w:name="_Toc408824841"/>
      <w:bookmarkStart w:id="329" w:name="_Toc408827027"/>
      <w:bookmarkStart w:id="330" w:name="_Toc408829000"/>
      <w:bookmarkStart w:id="331" w:name="_Toc408832026"/>
      <w:bookmarkStart w:id="332" w:name="_Toc408832129"/>
      <w:bookmarkStart w:id="333" w:name="_Toc408833604"/>
      <w:bookmarkStart w:id="334" w:name="_Toc408834904"/>
      <w:bookmarkStart w:id="335" w:name="_Toc408870010"/>
      <w:bookmarkStart w:id="336" w:name="_Toc408824570"/>
      <w:bookmarkStart w:id="337" w:name="_Toc408824677"/>
      <w:bookmarkStart w:id="338" w:name="_Toc408824842"/>
      <w:bookmarkStart w:id="339" w:name="_Toc408827028"/>
      <w:bookmarkStart w:id="340" w:name="_Toc408829001"/>
      <w:bookmarkStart w:id="341" w:name="_Toc408832027"/>
      <w:bookmarkStart w:id="342" w:name="_Toc408832130"/>
      <w:bookmarkStart w:id="343" w:name="_Toc408833605"/>
      <w:bookmarkStart w:id="344" w:name="_Toc408834905"/>
      <w:bookmarkStart w:id="345" w:name="_Toc408870011"/>
      <w:bookmarkStart w:id="346" w:name="_Toc408824571"/>
      <w:bookmarkStart w:id="347" w:name="_Toc408824678"/>
      <w:bookmarkStart w:id="348" w:name="_Toc408824843"/>
      <w:bookmarkStart w:id="349" w:name="_Toc408827029"/>
      <w:bookmarkStart w:id="350" w:name="_Toc408829002"/>
      <w:bookmarkStart w:id="351" w:name="_Toc408832028"/>
      <w:bookmarkStart w:id="352" w:name="_Toc408832131"/>
      <w:bookmarkStart w:id="353" w:name="_Toc408833606"/>
      <w:bookmarkStart w:id="354" w:name="_Toc408834906"/>
      <w:bookmarkStart w:id="355" w:name="_Toc408870012"/>
      <w:bookmarkStart w:id="356" w:name="_Toc408824572"/>
      <w:bookmarkStart w:id="357" w:name="_Toc408824679"/>
      <w:bookmarkStart w:id="358" w:name="_Toc408824844"/>
      <w:bookmarkStart w:id="359" w:name="_Toc408827030"/>
      <w:bookmarkStart w:id="360" w:name="_Toc408829003"/>
      <w:bookmarkStart w:id="361" w:name="_Toc408832029"/>
      <w:bookmarkStart w:id="362" w:name="_Toc408832132"/>
      <w:bookmarkStart w:id="363" w:name="_Toc408833607"/>
      <w:bookmarkStart w:id="364" w:name="_Toc408834907"/>
      <w:bookmarkStart w:id="365" w:name="_Toc408870013"/>
      <w:bookmarkStart w:id="366" w:name="_Toc408824573"/>
      <w:bookmarkStart w:id="367" w:name="_Toc408824680"/>
      <w:bookmarkStart w:id="368" w:name="_Toc408824845"/>
      <w:bookmarkStart w:id="369" w:name="_Toc408827031"/>
      <w:bookmarkStart w:id="370" w:name="_Toc408829004"/>
      <w:bookmarkStart w:id="371" w:name="_Toc408832030"/>
      <w:bookmarkStart w:id="372" w:name="_Toc408832133"/>
      <w:bookmarkStart w:id="373" w:name="_Toc408833608"/>
      <w:bookmarkStart w:id="374" w:name="_Toc408834908"/>
      <w:bookmarkStart w:id="375" w:name="_Toc408870014"/>
      <w:bookmarkStart w:id="376" w:name="_Toc408824574"/>
      <w:bookmarkStart w:id="377" w:name="_Toc408824681"/>
      <w:bookmarkStart w:id="378" w:name="_Toc408824846"/>
      <w:bookmarkStart w:id="379" w:name="_Toc408827032"/>
      <w:bookmarkStart w:id="380" w:name="_Toc408829005"/>
      <w:bookmarkStart w:id="381" w:name="_Toc408832031"/>
      <w:bookmarkStart w:id="382" w:name="_Toc408832134"/>
      <w:bookmarkStart w:id="383" w:name="_Toc408833609"/>
      <w:bookmarkStart w:id="384" w:name="_Toc408834909"/>
      <w:bookmarkStart w:id="385" w:name="_Toc408870015"/>
      <w:bookmarkStart w:id="386" w:name="_Toc408824575"/>
      <w:bookmarkStart w:id="387" w:name="_Toc408824682"/>
      <w:bookmarkStart w:id="388" w:name="_Toc408824847"/>
      <w:bookmarkStart w:id="389" w:name="_Toc408827033"/>
      <w:bookmarkStart w:id="390" w:name="_Toc408829006"/>
      <w:bookmarkStart w:id="391" w:name="_Toc408832032"/>
      <w:bookmarkStart w:id="392" w:name="_Toc408832135"/>
      <w:bookmarkStart w:id="393" w:name="_Toc408833610"/>
      <w:bookmarkStart w:id="394" w:name="_Toc408834910"/>
      <w:bookmarkStart w:id="395" w:name="_Toc408870016"/>
      <w:bookmarkStart w:id="396" w:name="_Toc408824576"/>
      <w:bookmarkStart w:id="397" w:name="_Toc408824683"/>
      <w:bookmarkStart w:id="398" w:name="_Toc408824848"/>
      <w:bookmarkStart w:id="399" w:name="_Toc408827034"/>
      <w:bookmarkStart w:id="400" w:name="_Toc408829007"/>
      <w:bookmarkStart w:id="401" w:name="_Toc408832033"/>
      <w:bookmarkStart w:id="402" w:name="_Toc408832136"/>
      <w:bookmarkStart w:id="403" w:name="_Toc408833611"/>
      <w:bookmarkStart w:id="404" w:name="_Toc408834911"/>
      <w:bookmarkStart w:id="405" w:name="_Toc408870017"/>
      <w:bookmarkStart w:id="406" w:name="_Toc408824577"/>
      <w:bookmarkStart w:id="407" w:name="_Toc408824684"/>
      <w:bookmarkStart w:id="408" w:name="_Toc408824849"/>
      <w:bookmarkStart w:id="409" w:name="_Toc408827035"/>
      <w:bookmarkStart w:id="410" w:name="_Toc408829008"/>
      <w:bookmarkStart w:id="411" w:name="_Toc408832034"/>
      <w:bookmarkStart w:id="412" w:name="_Toc408832137"/>
      <w:bookmarkStart w:id="413" w:name="_Toc408833612"/>
      <w:bookmarkStart w:id="414" w:name="_Toc408834912"/>
      <w:bookmarkStart w:id="415" w:name="_Toc408870018"/>
      <w:bookmarkStart w:id="416" w:name="_Toc408824578"/>
      <w:bookmarkStart w:id="417" w:name="_Toc408824685"/>
      <w:bookmarkStart w:id="418" w:name="_Toc408824850"/>
      <w:bookmarkStart w:id="419" w:name="_Toc408827036"/>
      <w:bookmarkStart w:id="420" w:name="_Toc408829009"/>
      <w:bookmarkStart w:id="421" w:name="_Toc408832035"/>
      <w:bookmarkStart w:id="422" w:name="_Toc408832138"/>
      <w:bookmarkStart w:id="423" w:name="_Toc408833613"/>
      <w:bookmarkStart w:id="424" w:name="_Toc408834913"/>
      <w:bookmarkStart w:id="425" w:name="_Toc408870019"/>
      <w:bookmarkStart w:id="426" w:name="_Toc408824579"/>
      <w:bookmarkStart w:id="427" w:name="_Toc408824686"/>
      <w:bookmarkStart w:id="428" w:name="_Toc408824851"/>
      <w:bookmarkStart w:id="429" w:name="_Toc408827037"/>
      <w:bookmarkStart w:id="430" w:name="_Toc408829010"/>
      <w:bookmarkStart w:id="431" w:name="_Toc408832036"/>
      <w:bookmarkStart w:id="432" w:name="_Toc408832139"/>
      <w:bookmarkStart w:id="433" w:name="_Toc408833614"/>
      <w:bookmarkStart w:id="434" w:name="_Toc408834914"/>
      <w:bookmarkStart w:id="435" w:name="_Toc408870020"/>
      <w:bookmarkStart w:id="436" w:name="_Toc41566087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t xml:space="preserve">Assessment of costs </w:t>
      </w:r>
      <w:r w:rsidR="00A6364A">
        <w:t xml:space="preserve">and </w:t>
      </w:r>
      <w:r>
        <w:t>benefits</w:t>
      </w:r>
      <w:bookmarkEnd w:id="436"/>
    </w:p>
    <w:p w14:paraId="19FD6D7B" w14:textId="77777777" w:rsidR="00714995" w:rsidRDefault="00714995" w:rsidP="007444A0">
      <w:pPr>
        <w:pStyle w:val="Heading3"/>
      </w:pPr>
      <w:bookmarkStart w:id="437" w:name="_Toc415660876"/>
      <w:r>
        <w:t>Items included in core assessment of cost and benefits</w:t>
      </w:r>
      <w:bookmarkEnd w:id="437"/>
    </w:p>
    <w:p w14:paraId="2A5DD66F" w14:textId="77777777" w:rsidR="00E62135" w:rsidRDefault="00714995" w:rsidP="00714995">
      <w:pPr>
        <w:pStyle w:val="BodyText"/>
      </w:pPr>
      <w:r>
        <w:t xml:space="preserve">The core CBA results are based on </w:t>
      </w:r>
      <w:r w:rsidR="00C36600">
        <w:t>comparing the magnitude of</w:t>
      </w:r>
      <w:r>
        <w:t xml:space="preserve"> </w:t>
      </w:r>
      <w:r w:rsidR="00F8159E">
        <w:t xml:space="preserve">the </w:t>
      </w:r>
      <w:r>
        <w:t>industry burden</w:t>
      </w:r>
      <w:r w:rsidR="00F8159E">
        <w:t xml:space="preserve"> and </w:t>
      </w:r>
      <w:r>
        <w:t>government costs</w:t>
      </w:r>
      <w:r w:rsidR="00F8159E">
        <w:t xml:space="preserve"> to the </w:t>
      </w:r>
      <w:r>
        <w:t xml:space="preserve">net benefits of </w:t>
      </w:r>
      <w:r w:rsidR="00F8159E">
        <w:t xml:space="preserve">greater </w:t>
      </w:r>
      <w:r>
        <w:t>energy efficiency and GHG reduction</w:t>
      </w:r>
      <w:r w:rsidR="00CB3EC7">
        <w:t xml:space="preserve">. </w:t>
      </w:r>
      <w:r>
        <w:t xml:space="preserve">Therefore, the results include benefits that </w:t>
      </w:r>
      <w:r w:rsidR="00F8159E">
        <w:t xml:space="preserve">can </w:t>
      </w:r>
      <w:r>
        <w:t>be quantified with a relatively high degree of confidence</w:t>
      </w:r>
      <w:r w:rsidR="000A50BF">
        <w:t>.</w:t>
      </w:r>
    </w:p>
    <w:p w14:paraId="6CF8367D" w14:textId="77777777" w:rsidR="00E62135" w:rsidRDefault="00627A22" w:rsidP="00714995">
      <w:pPr>
        <w:pStyle w:val="BodyText"/>
      </w:pPr>
      <w:r>
        <w:t>Our analysis of productivity benefits, although not included in the core assessment, showed that these could be significant</w:t>
      </w:r>
      <w:r w:rsidR="00CB3EC7">
        <w:t xml:space="preserve">. </w:t>
      </w:r>
      <w:r>
        <w:t>While we recognise their importance, p</w:t>
      </w:r>
      <w:r w:rsidR="00714995">
        <w:t xml:space="preserve">roductivity benefits are not included due to the </w:t>
      </w:r>
      <w:r w:rsidR="00F8159E">
        <w:t xml:space="preserve">relatively </w:t>
      </w:r>
      <w:r w:rsidR="00714995">
        <w:t>high degree of uncertainty surrounding their magnitude</w:t>
      </w:r>
      <w:r w:rsidR="000A50BF">
        <w:t>.</w:t>
      </w:r>
    </w:p>
    <w:p w14:paraId="094F5545" w14:textId="77777777" w:rsidR="00847788" w:rsidRDefault="009E7F7E" w:rsidP="00714995">
      <w:pPr>
        <w:pStyle w:val="BodyText"/>
      </w:pPr>
      <w:r>
        <w:t xml:space="preserve">The </w:t>
      </w:r>
      <w:r w:rsidR="00EA0368">
        <w:t xml:space="preserve">economic </w:t>
      </w:r>
      <w:r>
        <w:t xml:space="preserve">value to assign </w:t>
      </w:r>
      <w:r w:rsidR="00EA0368">
        <w:t xml:space="preserve">to </w:t>
      </w:r>
      <w:r w:rsidR="00E62135">
        <w:t>GHG reduction</w:t>
      </w:r>
      <w:r>
        <w:t xml:space="preserve">s in a CBA </w:t>
      </w:r>
      <w:r w:rsidR="00EA0368">
        <w:t xml:space="preserve">remains </w:t>
      </w:r>
      <w:r>
        <w:t xml:space="preserve">a </w:t>
      </w:r>
      <w:r w:rsidR="00E62135">
        <w:t>contested issue</w:t>
      </w:r>
      <w:r w:rsidR="00CB3EC7">
        <w:t xml:space="preserve">. </w:t>
      </w:r>
      <w:r w:rsidR="00EA0368">
        <w:t>A nu</w:t>
      </w:r>
      <w:r w:rsidR="00152DCE">
        <w:t xml:space="preserve">mber of approaches are possible, including an estimate of the cost from economic damage </w:t>
      </w:r>
      <w:r w:rsidR="002E5C2F">
        <w:t xml:space="preserve">caused </w:t>
      </w:r>
      <w:r w:rsidR="00152DCE">
        <w:t>by GHG emissions (the ‘external cost’), the cost of reducing emissions (the ‘abatement cost’) or society’s willingness to pay (WT</w:t>
      </w:r>
      <w:r w:rsidR="00847788">
        <w:t>P).</w:t>
      </w:r>
    </w:p>
    <w:p w14:paraId="4386F548" w14:textId="77777777" w:rsidR="004A403D" w:rsidRDefault="009E7F7E" w:rsidP="00714995">
      <w:pPr>
        <w:pStyle w:val="BodyText"/>
      </w:pPr>
      <w:r>
        <w:t>During the majority of the period 2010 to 2014, a Carbon Pric</w:t>
      </w:r>
      <w:r w:rsidR="00C21DE4">
        <w:t>ing Mechanism (CPM) was in place</w:t>
      </w:r>
      <w:r w:rsidR="00CB3EC7">
        <w:t xml:space="preserve">. </w:t>
      </w:r>
      <w:r w:rsidR="00C21DE4">
        <w:t xml:space="preserve">This provided an ‘economic price signal’ for GHG reductions </w:t>
      </w:r>
      <w:r w:rsidR="00F34A05">
        <w:t xml:space="preserve">for </w:t>
      </w:r>
      <w:r w:rsidR="00C21DE4">
        <w:t>projects undertaken during this period</w:t>
      </w:r>
      <w:r w:rsidR="00CB3EC7">
        <w:t xml:space="preserve">. </w:t>
      </w:r>
      <w:r w:rsidR="00847788">
        <w:t xml:space="preserve">The approximate price during that period </w:t>
      </w:r>
      <w:r w:rsidR="00F34A05">
        <w:t>($23/tCO</w:t>
      </w:r>
      <w:r w:rsidR="00F34A05" w:rsidRPr="003F5F13">
        <w:rPr>
          <w:vertAlign w:val="subscript"/>
        </w:rPr>
        <w:t>2</w:t>
      </w:r>
      <w:r w:rsidR="00F34A05">
        <w:t xml:space="preserve">-e) may </w:t>
      </w:r>
      <w:r w:rsidR="004A403D">
        <w:t xml:space="preserve">therefore </w:t>
      </w:r>
      <w:r w:rsidR="00F34A05">
        <w:t xml:space="preserve">be </w:t>
      </w:r>
      <w:r w:rsidR="00847788">
        <w:t xml:space="preserve">used as </w:t>
      </w:r>
      <w:r w:rsidR="00F34A05">
        <w:t xml:space="preserve">a proxy for the WTP and </w:t>
      </w:r>
      <w:r w:rsidR="00DF72D8">
        <w:t xml:space="preserve">has been used to value GHG </w:t>
      </w:r>
      <w:r w:rsidR="00766FCA">
        <w:t xml:space="preserve">reductions </w:t>
      </w:r>
      <w:r w:rsidR="00DF72D8">
        <w:t xml:space="preserve">for the </w:t>
      </w:r>
      <w:r w:rsidR="002D3877">
        <w:t>backward-looking</w:t>
      </w:r>
      <w:r w:rsidR="00DF72D8">
        <w:t xml:space="preserve"> analysis</w:t>
      </w:r>
      <w:r w:rsidR="004A403D">
        <w:t>.</w:t>
      </w:r>
    </w:p>
    <w:p w14:paraId="2B7CB45B" w14:textId="77777777" w:rsidR="00847788" w:rsidRDefault="00DF72D8" w:rsidP="00714995">
      <w:pPr>
        <w:pStyle w:val="BodyText"/>
      </w:pPr>
      <w:r>
        <w:t xml:space="preserve">As the </w:t>
      </w:r>
      <w:r w:rsidR="002D3877">
        <w:t>backward-looking</w:t>
      </w:r>
      <w:r>
        <w:t xml:space="preserve"> analysis time period extends beyond 2014 (to 2023) to take into account ongoing benefits of projects after their implementation</w:t>
      </w:r>
      <w:r w:rsidR="004A403D">
        <w:t xml:space="preserve">, the economic value </w:t>
      </w:r>
      <w:r w:rsidR="00BB35C9">
        <w:t xml:space="preserve">for GHG reductions </w:t>
      </w:r>
      <w:r w:rsidR="004A403D">
        <w:t>has been applied to 2023 (not just the period the CPM was in operation)</w:t>
      </w:r>
      <w:r w:rsidR="00CB3EC7">
        <w:t xml:space="preserve">. </w:t>
      </w:r>
      <w:r w:rsidR="004A403D">
        <w:t>This is consistent with the expectation that b</w:t>
      </w:r>
      <w:r w:rsidR="00C21DE4">
        <w:t xml:space="preserve">ase case financial projections for such projects would have likely considered a price signal to be </w:t>
      </w:r>
      <w:r w:rsidR="00847788">
        <w:t>in place over the project life.</w:t>
      </w:r>
    </w:p>
    <w:p w14:paraId="6A1FE1CB" w14:textId="77777777" w:rsidR="00714995" w:rsidRPr="00A31DAB" w:rsidRDefault="00714995" w:rsidP="00714995">
      <w:pPr>
        <w:pStyle w:val="BodyText"/>
      </w:pPr>
      <w:r>
        <w:t xml:space="preserve">The results are calculated for both the lower bound case (which excludes segments where the magnitude of the effect from the CBD is </w:t>
      </w:r>
      <w:r w:rsidR="00F8159E">
        <w:t>less clear</w:t>
      </w:r>
      <w:r>
        <w:t>) and the realistic case (which includes all segments that are expected to have been impacted as a result of the CBD).</w:t>
      </w:r>
    </w:p>
    <w:p w14:paraId="642627AC" w14:textId="77777777" w:rsidR="00792563" w:rsidRDefault="00792563" w:rsidP="004572F4">
      <w:pPr>
        <w:pStyle w:val="Heading3"/>
      </w:pPr>
      <w:bookmarkStart w:id="438" w:name="_Toc408824582"/>
      <w:bookmarkStart w:id="439" w:name="_Toc408824689"/>
      <w:bookmarkStart w:id="440" w:name="_Toc408824854"/>
      <w:bookmarkStart w:id="441" w:name="_Toc408827040"/>
      <w:bookmarkStart w:id="442" w:name="_Toc408829013"/>
      <w:bookmarkStart w:id="443" w:name="_Toc408832039"/>
      <w:bookmarkStart w:id="444" w:name="_Toc408832142"/>
      <w:bookmarkStart w:id="445" w:name="_Toc408833617"/>
      <w:bookmarkStart w:id="446" w:name="_Toc408834917"/>
      <w:bookmarkStart w:id="447" w:name="_Toc408870023"/>
      <w:bookmarkStart w:id="448" w:name="_Toc415660877"/>
      <w:bookmarkEnd w:id="438"/>
      <w:bookmarkEnd w:id="439"/>
      <w:bookmarkEnd w:id="440"/>
      <w:bookmarkEnd w:id="441"/>
      <w:bookmarkEnd w:id="442"/>
      <w:bookmarkEnd w:id="443"/>
      <w:bookmarkEnd w:id="444"/>
      <w:bookmarkEnd w:id="445"/>
      <w:bookmarkEnd w:id="446"/>
      <w:bookmarkEnd w:id="447"/>
      <w:r>
        <w:t>Lower bound estimate of net benefits</w:t>
      </w:r>
      <w:bookmarkEnd w:id="448"/>
    </w:p>
    <w:p w14:paraId="26CCE626" w14:textId="77777777" w:rsidR="0032738C" w:rsidRDefault="0032738C" w:rsidP="0032738C">
      <w:pPr>
        <w:pStyle w:val="BodyText"/>
      </w:pPr>
      <w:r>
        <w:t xml:space="preserve">The annual and present value of costs and benefits for the lower bound case are presented in </w:t>
      </w:r>
      <w:r w:rsidR="003346C7">
        <w:fldChar w:fldCharType="begin"/>
      </w:r>
      <w:r w:rsidR="003346C7">
        <w:instrText xml:space="preserve"> REF _Ref407029783 \h  \* MERGEFORMAT </w:instrText>
      </w:r>
      <w:r w:rsidR="003346C7">
        <w:fldChar w:fldCharType="separate"/>
      </w:r>
      <w:r w:rsidR="006A273E">
        <w:t xml:space="preserve">Table </w:t>
      </w:r>
      <w:r w:rsidR="006A273E">
        <w:rPr>
          <w:noProof/>
        </w:rPr>
        <w:t>10</w:t>
      </w:r>
      <w:r w:rsidR="003346C7">
        <w:fldChar w:fldCharType="end"/>
      </w:r>
      <w:r>
        <w:t>.</w:t>
      </w:r>
    </w:p>
    <w:p w14:paraId="1DA61287" w14:textId="77777777" w:rsidR="0032738C" w:rsidRDefault="0032738C" w:rsidP="000133E7">
      <w:pPr>
        <w:pStyle w:val="Caption"/>
        <w:ind w:left="-1701"/>
      </w:pPr>
      <w:bookmarkStart w:id="449" w:name="_Ref407029783"/>
      <w:bookmarkStart w:id="450" w:name="_Toc415661017"/>
      <w:r>
        <w:lastRenderedPageBreak/>
        <w:t xml:space="preserve">Table </w:t>
      </w:r>
      <w:r w:rsidR="00366ADF">
        <w:fldChar w:fldCharType="begin"/>
      </w:r>
      <w:r w:rsidR="00366ADF">
        <w:instrText xml:space="preserve"> SEQ Table \* MERGEFORMAT </w:instrText>
      </w:r>
      <w:r w:rsidR="00366ADF">
        <w:fldChar w:fldCharType="separate"/>
      </w:r>
      <w:r w:rsidR="006A273E">
        <w:rPr>
          <w:noProof/>
        </w:rPr>
        <w:t>10</w:t>
      </w:r>
      <w:r w:rsidR="00366ADF">
        <w:rPr>
          <w:noProof/>
        </w:rPr>
        <w:fldChar w:fldCharType="end"/>
      </w:r>
      <w:bookmarkEnd w:id="449"/>
      <w:r w:rsidRPr="00487E6D">
        <w:rPr>
          <w:b/>
          <w:color w:val="000000"/>
        </w:rPr>
        <w:tab/>
      </w:r>
      <w:r>
        <w:rPr>
          <w:b/>
          <w:color w:val="000000"/>
        </w:rPr>
        <w:t>Annual and present value of costs and benefits for lower bound case (2014 $m)</w:t>
      </w:r>
      <w:bookmarkEnd w:id="450"/>
    </w:p>
    <w:tbl>
      <w:tblPr>
        <w:tblW w:w="10064" w:type="dxa"/>
        <w:tblInd w:w="-2551"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2267"/>
        <w:gridCol w:w="931"/>
        <w:gridCol w:w="932"/>
        <w:gridCol w:w="931"/>
        <w:gridCol w:w="932"/>
        <w:gridCol w:w="931"/>
        <w:gridCol w:w="932"/>
        <w:gridCol w:w="932"/>
        <w:gridCol w:w="1276"/>
      </w:tblGrid>
      <w:tr w:rsidR="0032738C" w14:paraId="510566EE" w14:textId="77777777">
        <w:trPr>
          <w:cantSplit/>
        </w:trPr>
        <w:tc>
          <w:tcPr>
            <w:tcW w:w="2267" w:type="dxa"/>
            <w:tcBorders>
              <w:top w:val="nil"/>
            </w:tcBorders>
            <w:shd w:val="solid" w:color="9757A6" w:fill="auto"/>
            <w:vAlign w:val="center"/>
          </w:tcPr>
          <w:p w14:paraId="07218CE7" w14:textId="77777777" w:rsidR="0032738C" w:rsidRDefault="0032738C" w:rsidP="00594865">
            <w:pPr>
              <w:pStyle w:val="Tablecolumnheadings"/>
            </w:pPr>
            <w:r>
              <w:t>Item</w:t>
            </w:r>
          </w:p>
        </w:tc>
        <w:tc>
          <w:tcPr>
            <w:tcW w:w="931" w:type="dxa"/>
            <w:tcBorders>
              <w:top w:val="nil"/>
            </w:tcBorders>
            <w:shd w:val="solid" w:color="9757A6" w:fill="auto"/>
            <w:vAlign w:val="center"/>
          </w:tcPr>
          <w:p w14:paraId="2D2734D0" w14:textId="77777777" w:rsidR="0032738C" w:rsidRDefault="0032738C" w:rsidP="00594865">
            <w:pPr>
              <w:pStyle w:val="Tablecolumnheadings"/>
              <w:jc w:val="center"/>
            </w:pPr>
            <w:r w:rsidRPr="00487E6D">
              <w:t>2010</w:t>
            </w:r>
          </w:p>
        </w:tc>
        <w:tc>
          <w:tcPr>
            <w:tcW w:w="932" w:type="dxa"/>
            <w:tcBorders>
              <w:top w:val="nil"/>
            </w:tcBorders>
            <w:shd w:val="solid" w:color="9757A6" w:fill="auto"/>
            <w:vAlign w:val="center"/>
          </w:tcPr>
          <w:p w14:paraId="5421E08F" w14:textId="77777777" w:rsidR="0032738C" w:rsidRDefault="0032738C" w:rsidP="00594865">
            <w:pPr>
              <w:pStyle w:val="Tablecolumnheadings"/>
              <w:jc w:val="center"/>
            </w:pPr>
            <w:r w:rsidRPr="00487E6D">
              <w:t>2011</w:t>
            </w:r>
          </w:p>
        </w:tc>
        <w:tc>
          <w:tcPr>
            <w:tcW w:w="931" w:type="dxa"/>
            <w:tcBorders>
              <w:top w:val="nil"/>
            </w:tcBorders>
            <w:shd w:val="solid" w:color="9757A6" w:fill="auto"/>
            <w:vAlign w:val="center"/>
          </w:tcPr>
          <w:p w14:paraId="32B0B55A" w14:textId="77777777" w:rsidR="0032738C" w:rsidRDefault="0032738C" w:rsidP="00594865">
            <w:pPr>
              <w:pStyle w:val="Tablecolumnheadings"/>
              <w:jc w:val="center"/>
            </w:pPr>
            <w:r w:rsidRPr="00487E6D">
              <w:t>2012</w:t>
            </w:r>
          </w:p>
        </w:tc>
        <w:tc>
          <w:tcPr>
            <w:tcW w:w="932" w:type="dxa"/>
            <w:tcBorders>
              <w:top w:val="nil"/>
            </w:tcBorders>
            <w:shd w:val="solid" w:color="9757A6" w:fill="auto"/>
            <w:vAlign w:val="center"/>
          </w:tcPr>
          <w:p w14:paraId="402A0AA6" w14:textId="77777777" w:rsidR="0032738C" w:rsidRDefault="0032738C" w:rsidP="00594865">
            <w:pPr>
              <w:pStyle w:val="Tablecolumnheadings"/>
              <w:jc w:val="center"/>
            </w:pPr>
            <w:r w:rsidRPr="00487E6D">
              <w:t>2013</w:t>
            </w:r>
          </w:p>
        </w:tc>
        <w:tc>
          <w:tcPr>
            <w:tcW w:w="931" w:type="dxa"/>
            <w:tcBorders>
              <w:top w:val="nil"/>
            </w:tcBorders>
            <w:shd w:val="solid" w:color="9757A6" w:fill="auto"/>
            <w:vAlign w:val="center"/>
          </w:tcPr>
          <w:p w14:paraId="27E74AB0" w14:textId="77777777" w:rsidR="0032738C" w:rsidRDefault="0032738C" w:rsidP="00594865">
            <w:pPr>
              <w:pStyle w:val="Tablecolumnheadings"/>
              <w:jc w:val="center"/>
            </w:pPr>
            <w:r w:rsidRPr="00487E6D">
              <w:t>2014</w:t>
            </w:r>
          </w:p>
        </w:tc>
        <w:tc>
          <w:tcPr>
            <w:tcW w:w="932" w:type="dxa"/>
            <w:tcBorders>
              <w:top w:val="nil"/>
            </w:tcBorders>
            <w:shd w:val="solid" w:color="9757A6" w:fill="auto"/>
            <w:vAlign w:val="center"/>
          </w:tcPr>
          <w:p w14:paraId="6F29073E" w14:textId="77777777" w:rsidR="0032738C" w:rsidRDefault="0032738C" w:rsidP="00594865">
            <w:pPr>
              <w:pStyle w:val="Tablecolumnheadings"/>
              <w:jc w:val="center"/>
            </w:pPr>
            <w:r w:rsidRPr="00487E6D">
              <w:rPr>
                <w:rFonts w:hint="eastAsia"/>
              </w:rPr>
              <w:t>…</w:t>
            </w:r>
          </w:p>
        </w:tc>
        <w:tc>
          <w:tcPr>
            <w:tcW w:w="932" w:type="dxa"/>
            <w:tcBorders>
              <w:top w:val="nil"/>
            </w:tcBorders>
            <w:shd w:val="solid" w:color="9757A6" w:fill="auto"/>
            <w:vAlign w:val="center"/>
          </w:tcPr>
          <w:p w14:paraId="1407D667" w14:textId="77777777" w:rsidR="0032738C" w:rsidRDefault="0032738C" w:rsidP="00594865">
            <w:pPr>
              <w:pStyle w:val="Tablecolumnheadings"/>
              <w:jc w:val="center"/>
            </w:pPr>
            <w:r w:rsidRPr="00487E6D">
              <w:t>2023</w:t>
            </w:r>
          </w:p>
        </w:tc>
        <w:tc>
          <w:tcPr>
            <w:tcW w:w="1276" w:type="dxa"/>
            <w:tcBorders>
              <w:top w:val="nil"/>
            </w:tcBorders>
            <w:shd w:val="solid" w:color="9757A6" w:fill="auto"/>
            <w:vAlign w:val="center"/>
          </w:tcPr>
          <w:p w14:paraId="0BB8F115" w14:textId="77777777" w:rsidR="0032738C" w:rsidRDefault="0032738C" w:rsidP="00594865">
            <w:pPr>
              <w:pStyle w:val="Tablecolumnheadings"/>
              <w:jc w:val="center"/>
            </w:pPr>
            <w:r w:rsidRPr="00487E6D">
              <w:t>Present Value</w:t>
            </w:r>
          </w:p>
        </w:tc>
      </w:tr>
      <w:tr w:rsidR="009459C0" w14:paraId="54029FFA" w14:textId="77777777">
        <w:trPr>
          <w:cantSplit/>
        </w:trPr>
        <w:tc>
          <w:tcPr>
            <w:tcW w:w="2267" w:type="dxa"/>
            <w:shd w:val="clear" w:color="auto" w:fill="auto"/>
            <w:vAlign w:val="center"/>
          </w:tcPr>
          <w:p w14:paraId="574A8A0F" w14:textId="77777777" w:rsidR="009459C0" w:rsidRDefault="009459C0" w:rsidP="009459C0">
            <w:pPr>
              <w:pStyle w:val="Tabletext"/>
            </w:pPr>
            <w:r>
              <w:t>Industry burden</w:t>
            </w:r>
          </w:p>
        </w:tc>
        <w:tc>
          <w:tcPr>
            <w:tcW w:w="931" w:type="dxa"/>
            <w:shd w:val="clear" w:color="auto" w:fill="auto"/>
          </w:tcPr>
          <w:p w14:paraId="619F33DE" w14:textId="77777777" w:rsidR="009459C0" w:rsidRDefault="009459C0" w:rsidP="009459C0">
            <w:pPr>
              <w:pStyle w:val="Tabletext"/>
              <w:jc w:val="center"/>
            </w:pPr>
            <w:r w:rsidRPr="00957ACE">
              <w:t>-5.5</w:t>
            </w:r>
          </w:p>
        </w:tc>
        <w:tc>
          <w:tcPr>
            <w:tcW w:w="932" w:type="dxa"/>
            <w:shd w:val="clear" w:color="auto" w:fill="auto"/>
          </w:tcPr>
          <w:p w14:paraId="3395C45C" w14:textId="77777777" w:rsidR="009459C0" w:rsidRDefault="009459C0" w:rsidP="009459C0">
            <w:pPr>
              <w:pStyle w:val="Tabletext"/>
              <w:jc w:val="center"/>
            </w:pPr>
            <w:r w:rsidRPr="00957ACE">
              <w:t>-5.4</w:t>
            </w:r>
          </w:p>
        </w:tc>
        <w:tc>
          <w:tcPr>
            <w:tcW w:w="931" w:type="dxa"/>
            <w:shd w:val="clear" w:color="auto" w:fill="auto"/>
          </w:tcPr>
          <w:p w14:paraId="139AC8CE" w14:textId="77777777" w:rsidR="009459C0" w:rsidRDefault="009459C0" w:rsidP="009459C0">
            <w:pPr>
              <w:pStyle w:val="Tabletext"/>
              <w:jc w:val="center"/>
            </w:pPr>
            <w:r w:rsidRPr="00957ACE">
              <w:t>-5.3</w:t>
            </w:r>
          </w:p>
        </w:tc>
        <w:tc>
          <w:tcPr>
            <w:tcW w:w="932" w:type="dxa"/>
            <w:shd w:val="clear" w:color="auto" w:fill="auto"/>
          </w:tcPr>
          <w:p w14:paraId="34162FF9" w14:textId="77777777" w:rsidR="009459C0" w:rsidRDefault="009459C0" w:rsidP="009459C0">
            <w:pPr>
              <w:pStyle w:val="Tabletext"/>
              <w:jc w:val="center"/>
            </w:pPr>
            <w:r w:rsidRPr="00957ACE">
              <w:t>-5.1</w:t>
            </w:r>
          </w:p>
        </w:tc>
        <w:tc>
          <w:tcPr>
            <w:tcW w:w="931" w:type="dxa"/>
            <w:shd w:val="clear" w:color="auto" w:fill="auto"/>
          </w:tcPr>
          <w:p w14:paraId="523B3295" w14:textId="77777777" w:rsidR="009459C0" w:rsidRDefault="009459C0" w:rsidP="009459C0">
            <w:pPr>
              <w:pStyle w:val="Tabletext"/>
              <w:jc w:val="center"/>
            </w:pPr>
            <w:r w:rsidRPr="00957ACE">
              <w:t>-4.9</w:t>
            </w:r>
          </w:p>
        </w:tc>
        <w:tc>
          <w:tcPr>
            <w:tcW w:w="932" w:type="dxa"/>
            <w:shd w:val="clear" w:color="auto" w:fill="auto"/>
            <w:vAlign w:val="center"/>
          </w:tcPr>
          <w:p w14:paraId="441050C6" w14:textId="77777777" w:rsidR="009459C0" w:rsidRDefault="009459C0" w:rsidP="009459C0">
            <w:pPr>
              <w:pStyle w:val="Tabletext"/>
              <w:jc w:val="center"/>
            </w:pPr>
          </w:p>
        </w:tc>
        <w:tc>
          <w:tcPr>
            <w:tcW w:w="932" w:type="dxa"/>
            <w:shd w:val="clear" w:color="auto" w:fill="auto"/>
            <w:vAlign w:val="center"/>
          </w:tcPr>
          <w:p w14:paraId="40F7A32E" w14:textId="77777777" w:rsidR="009459C0" w:rsidRDefault="009459C0" w:rsidP="009459C0">
            <w:pPr>
              <w:pStyle w:val="Tabletext"/>
              <w:jc w:val="center"/>
            </w:pPr>
          </w:p>
        </w:tc>
        <w:tc>
          <w:tcPr>
            <w:tcW w:w="1276" w:type="dxa"/>
            <w:shd w:val="clear" w:color="auto" w:fill="DBDBDB" w:themeFill="accent3" w:themeFillTint="66"/>
            <w:vAlign w:val="center"/>
          </w:tcPr>
          <w:p w14:paraId="773C0116" w14:textId="77777777" w:rsidR="009459C0" w:rsidRPr="003F5F13" w:rsidRDefault="009459C0" w:rsidP="00FC20D3">
            <w:pPr>
              <w:pStyle w:val="Tabletext"/>
              <w:jc w:val="center"/>
              <w:rPr>
                <w:b/>
              </w:rPr>
            </w:pPr>
            <w:r w:rsidRPr="003F5F13">
              <w:rPr>
                <w:b/>
              </w:rPr>
              <w:t>-21.6</w:t>
            </w:r>
          </w:p>
        </w:tc>
      </w:tr>
      <w:tr w:rsidR="0032738C" w14:paraId="50A6A0F6" w14:textId="77777777">
        <w:trPr>
          <w:cantSplit/>
        </w:trPr>
        <w:tc>
          <w:tcPr>
            <w:tcW w:w="2267" w:type="dxa"/>
            <w:shd w:val="clear" w:color="auto" w:fill="auto"/>
            <w:vAlign w:val="center"/>
          </w:tcPr>
          <w:p w14:paraId="03C024BF" w14:textId="77777777" w:rsidR="0032738C" w:rsidRDefault="0032738C" w:rsidP="00594865">
            <w:pPr>
              <w:pStyle w:val="Tabletext"/>
            </w:pPr>
            <w:r>
              <w:t>Net benefits of energy efficiency</w:t>
            </w:r>
          </w:p>
        </w:tc>
        <w:tc>
          <w:tcPr>
            <w:tcW w:w="931" w:type="dxa"/>
            <w:shd w:val="clear" w:color="auto" w:fill="auto"/>
            <w:vAlign w:val="center"/>
          </w:tcPr>
          <w:p w14:paraId="7D4E6E94" w14:textId="77777777" w:rsidR="0032738C" w:rsidRDefault="0032738C" w:rsidP="00594865">
            <w:pPr>
              <w:pStyle w:val="Tabletext"/>
              <w:jc w:val="center"/>
            </w:pPr>
            <w:r w:rsidRPr="00487E6D">
              <w:t>0.0</w:t>
            </w:r>
          </w:p>
        </w:tc>
        <w:tc>
          <w:tcPr>
            <w:tcW w:w="932" w:type="dxa"/>
            <w:shd w:val="clear" w:color="auto" w:fill="auto"/>
            <w:vAlign w:val="center"/>
          </w:tcPr>
          <w:p w14:paraId="44F510A3" w14:textId="77777777" w:rsidR="0032738C" w:rsidRDefault="0032738C" w:rsidP="00594865">
            <w:pPr>
              <w:pStyle w:val="Tabletext"/>
              <w:jc w:val="center"/>
            </w:pPr>
            <w:r w:rsidRPr="00487E6D">
              <w:t>0.2</w:t>
            </w:r>
          </w:p>
        </w:tc>
        <w:tc>
          <w:tcPr>
            <w:tcW w:w="931" w:type="dxa"/>
            <w:shd w:val="clear" w:color="auto" w:fill="auto"/>
            <w:vAlign w:val="center"/>
          </w:tcPr>
          <w:p w14:paraId="088C1436" w14:textId="77777777" w:rsidR="0032738C" w:rsidRDefault="0032738C" w:rsidP="00594865">
            <w:pPr>
              <w:pStyle w:val="Tabletext"/>
              <w:jc w:val="center"/>
            </w:pPr>
            <w:r w:rsidRPr="00487E6D">
              <w:t>4.3</w:t>
            </w:r>
          </w:p>
        </w:tc>
        <w:tc>
          <w:tcPr>
            <w:tcW w:w="932" w:type="dxa"/>
            <w:shd w:val="clear" w:color="auto" w:fill="auto"/>
            <w:vAlign w:val="center"/>
          </w:tcPr>
          <w:p w14:paraId="00F00AAD" w14:textId="77777777" w:rsidR="0032738C" w:rsidRDefault="0032738C" w:rsidP="00594865">
            <w:pPr>
              <w:pStyle w:val="Tabletext"/>
              <w:jc w:val="center"/>
            </w:pPr>
            <w:r w:rsidRPr="00487E6D">
              <w:t>4.7</w:t>
            </w:r>
          </w:p>
        </w:tc>
        <w:tc>
          <w:tcPr>
            <w:tcW w:w="931" w:type="dxa"/>
            <w:shd w:val="clear" w:color="auto" w:fill="auto"/>
            <w:vAlign w:val="center"/>
          </w:tcPr>
          <w:p w14:paraId="13D64506" w14:textId="77777777" w:rsidR="0032738C" w:rsidRDefault="0032738C" w:rsidP="00594865">
            <w:pPr>
              <w:pStyle w:val="Tabletext"/>
              <w:jc w:val="center"/>
            </w:pPr>
            <w:r w:rsidRPr="00487E6D">
              <w:t>5.7</w:t>
            </w:r>
          </w:p>
        </w:tc>
        <w:tc>
          <w:tcPr>
            <w:tcW w:w="932" w:type="dxa"/>
            <w:shd w:val="clear" w:color="auto" w:fill="auto"/>
            <w:vAlign w:val="center"/>
          </w:tcPr>
          <w:p w14:paraId="1E22B72C" w14:textId="77777777" w:rsidR="0032738C" w:rsidRDefault="0032738C" w:rsidP="00594865">
            <w:pPr>
              <w:pStyle w:val="Tabletext"/>
              <w:jc w:val="center"/>
            </w:pPr>
            <w:r w:rsidRPr="00487E6D">
              <w:t>…</w:t>
            </w:r>
          </w:p>
        </w:tc>
        <w:tc>
          <w:tcPr>
            <w:tcW w:w="932" w:type="dxa"/>
            <w:shd w:val="clear" w:color="auto" w:fill="auto"/>
            <w:vAlign w:val="center"/>
          </w:tcPr>
          <w:p w14:paraId="34D9D69C" w14:textId="77777777" w:rsidR="0032738C" w:rsidRDefault="0032738C" w:rsidP="00594865">
            <w:pPr>
              <w:pStyle w:val="Tabletext"/>
              <w:jc w:val="center"/>
            </w:pPr>
            <w:r w:rsidRPr="00487E6D">
              <w:t>1.0</w:t>
            </w:r>
          </w:p>
        </w:tc>
        <w:tc>
          <w:tcPr>
            <w:tcW w:w="1276" w:type="dxa"/>
            <w:shd w:val="clear" w:color="auto" w:fill="DBDBDB" w:themeFill="accent3" w:themeFillTint="66"/>
            <w:vAlign w:val="center"/>
          </w:tcPr>
          <w:p w14:paraId="240AE2AC" w14:textId="77777777" w:rsidR="0032738C" w:rsidRPr="003F5F13" w:rsidRDefault="0032738C" w:rsidP="00594865">
            <w:pPr>
              <w:pStyle w:val="Tabletext"/>
              <w:jc w:val="center"/>
              <w:rPr>
                <w:b/>
              </w:rPr>
            </w:pPr>
            <w:r w:rsidRPr="003F5F13">
              <w:rPr>
                <w:b/>
              </w:rPr>
              <w:t>33.9</w:t>
            </w:r>
          </w:p>
        </w:tc>
      </w:tr>
      <w:tr w:rsidR="0032738C" w14:paraId="4896DC67" w14:textId="77777777">
        <w:trPr>
          <w:cantSplit/>
        </w:trPr>
        <w:tc>
          <w:tcPr>
            <w:tcW w:w="2267" w:type="dxa"/>
            <w:tcBorders>
              <w:bottom w:val="single" w:sz="2" w:space="0" w:color="C0C0C0"/>
            </w:tcBorders>
            <w:shd w:val="clear" w:color="auto" w:fill="auto"/>
            <w:vAlign w:val="center"/>
          </w:tcPr>
          <w:p w14:paraId="2379CF9A" w14:textId="77777777" w:rsidR="0032738C" w:rsidRDefault="0032738C" w:rsidP="00594865">
            <w:pPr>
              <w:pStyle w:val="Tabletext"/>
            </w:pPr>
            <w:r>
              <w:t>GHG reduction</w:t>
            </w:r>
            <w:r w:rsidR="00AF1A76">
              <w:rPr>
                <w:rStyle w:val="FootnoteReference"/>
              </w:rPr>
              <w:footnoteReference w:id="24"/>
            </w:r>
          </w:p>
        </w:tc>
        <w:tc>
          <w:tcPr>
            <w:tcW w:w="931" w:type="dxa"/>
            <w:tcBorders>
              <w:bottom w:val="single" w:sz="2" w:space="0" w:color="C0C0C0"/>
            </w:tcBorders>
            <w:shd w:val="clear" w:color="auto" w:fill="auto"/>
            <w:vAlign w:val="center"/>
          </w:tcPr>
          <w:p w14:paraId="131E1B05" w14:textId="77777777" w:rsidR="0032738C" w:rsidRDefault="0032738C" w:rsidP="00594865">
            <w:pPr>
              <w:pStyle w:val="Tabletext"/>
              <w:jc w:val="center"/>
            </w:pPr>
            <w:r w:rsidRPr="00487E6D">
              <w:t>0.0</w:t>
            </w:r>
          </w:p>
        </w:tc>
        <w:tc>
          <w:tcPr>
            <w:tcW w:w="932" w:type="dxa"/>
            <w:tcBorders>
              <w:bottom w:val="single" w:sz="2" w:space="0" w:color="C0C0C0"/>
            </w:tcBorders>
            <w:shd w:val="clear" w:color="auto" w:fill="auto"/>
            <w:vAlign w:val="center"/>
          </w:tcPr>
          <w:p w14:paraId="04FF3AA7" w14:textId="77777777" w:rsidR="0032738C" w:rsidRDefault="0032738C" w:rsidP="00594865">
            <w:pPr>
              <w:pStyle w:val="Tabletext"/>
              <w:jc w:val="center"/>
            </w:pPr>
            <w:r w:rsidRPr="00487E6D">
              <w:t>0.1</w:t>
            </w:r>
          </w:p>
        </w:tc>
        <w:tc>
          <w:tcPr>
            <w:tcW w:w="931" w:type="dxa"/>
            <w:tcBorders>
              <w:bottom w:val="single" w:sz="2" w:space="0" w:color="C0C0C0"/>
            </w:tcBorders>
            <w:shd w:val="clear" w:color="auto" w:fill="auto"/>
            <w:vAlign w:val="center"/>
          </w:tcPr>
          <w:p w14:paraId="4E79D61C" w14:textId="77777777" w:rsidR="0032738C" w:rsidRDefault="0032738C" w:rsidP="00594865">
            <w:pPr>
              <w:pStyle w:val="Tabletext"/>
              <w:jc w:val="center"/>
            </w:pPr>
            <w:r w:rsidRPr="00487E6D">
              <w:t>1.6</w:t>
            </w:r>
          </w:p>
        </w:tc>
        <w:tc>
          <w:tcPr>
            <w:tcW w:w="932" w:type="dxa"/>
            <w:tcBorders>
              <w:bottom w:val="single" w:sz="2" w:space="0" w:color="C0C0C0"/>
            </w:tcBorders>
            <w:shd w:val="clear" w:color="auto" w:fill="auto"/>
            <w:vAlign w:val="center"/>
          </w:tcPr>
          <w:p w14:paraId="3317C7EA" w14:textId="77777777" w:rsidR="0032738C" w:rsidRDefault="0032738C" w:rsidP="00594865">
            <w:pPr>
              <w:pStyle w:val="Tabletext"/>
              <w:jc w:val="center"/>
            </w:pPr>
            <w:r w:rsidRPr="00487E6D">
              <w:t>1.7</w:t>
            </w:r>
          </w:p>
        </w:tc>
        <w:tc>
          <w:tcPr>
            <w:tcW w:w="931" w:type="dxa"/>
            <w:tcBorders>
              <w:bottom w:val="single" w:sz="2" w:space="0" w:color="C0C0C0"/>
            </w:tcBorders>
            <w:shd w:val="clear" w:color="auto" w:fill="auto"/>
            <w:vAlign w:val="center"/>
          </w:tcPr>
          <w:p w14:paraId="325D2A62" w14:textId="77777777" w:rsidR="0032738C" w:rsidRDefault="0032738C" w:rsidP="00594865">
            <w:pPr>
              <w:pStyle w:val="Tabletext"/>
              <w:jc w:val="center"/>
            </w:pPr>
            <w:r w:rsidRPr="00487E6D">
              <w:t>2.1</w:t>
            </w:r>
          </w:p>
        </w:tc>
        <w:tc>
          <w:tcPr>
            <w:tcW w:w="932" w:type="dxa"/>
            <w:tcBorders>
              <w:bottom w:val="single" w:sz="2" w:space="0" w:color="C0C0C0"/>
            </w:tcBorders>
            <w:shd w:val="clear" w:color="auto" w:fill="auto"/>
            <w:vAlign w:val="center"/>
          </w:tcPr>
          <w:p w14:paraId="3B2FCB4B" w14:textId="77777777" w:rsidR="0032738C" w:rsidRDefault="0032738C" w:rsidP="00594865">
            <w:pPr>
              <w:pStyle w:val="Tabletext"/>
              <w:jc w:val="center"/>
            </w:pPr>
          </w:p>
        </w:tc>
        <w:tc>
          <w:tcPr>
            <w:tcW w:w="932" w:type="dxa"/>
            <w:tcBorders>
              <w:bottom w:val="single" w:sz="2" w:space="0" w:color="C0C0C0"/>
            </w:tcBorders>
            <w:shd w:val="clear" w:color="auto" w:fill="auto"/>
            <w:vAlign w:val="center"/>
          </w:tcPr>
          <w:p w14:paraId="3396BFFB" w14:textId="77777777" w:rsidR="0032738C" w:rsidRDefault="0032738C" w:rsidP="00594865">
            <w:pPr>
              <w:pStyle w:val="Tabletext"/>
              <w:jc w:val="center"/>
            </w:pPr>
            <w:r w:rsidRPr="00487E6D">
              <w:t>0.3</w:t>
            </w:r>
          </w:p>
        </w:tc>
        <w:tc>
          <w:tcPr>
            <w:tcW w:w="1276" w:type="dxa"/>
            <w:tcBorders>
              <w:bottom w:val="single" w:sz="2" w:space="0" w:color="C0C0C0"/>
            </w:tcBorders>
            <w:shd w:val="clear" w:color="auto" w:fill="DBDBDB" w:themeFill="accent3" w:themeFillTint="66"/>
            <w:vAlign w:val="center"/>
          </w:tcPr>
          <w:p w14:paraId="394FE1D1" w14:textId="77777777" w:rsidR="0032738C" w:rsidRPr="003F5F13" w:rsidRDefault="0032738C" w:rsidP="00AF1A76">
            <w:pPr>
              <w:pStyle w:val="Tabletext"/>
              <w:jc w:val="center"/>
              <w:rPr>
                <w:b/>
              </w:rPr>
            </w:pPr>
            <w:r w:rsidRPr="003F5F13">
              <w:rPr>
                <w:b/>
              </w:rPr>
              <w:t>12.3</w:t>
            </w:r>
          </w:p>
        </w:tc>
      </w:tr>
      <w:tr w:rsidR="0032738C" w14:paraId="6DC27136" w14:textId="77777777">
        <w:trPr>
          <w:cantSplit/>
        </w:trPr>
        <w:tc>
          <w:tcPr>
            <w:tcW w:w="2267" w:type="dxa"/>
            <w:tcBorders>
              <w:top w:val="single" w:sz="2" w:space="0" w:color="C0C0C0"/>
              <w:bottom w:val="single" w:sz="2" w:space="0" w:color="999999"/>
            </w:tcBorders>
            <w:shd w:val="clear" w:color="auto" w:fill="auto"/>
            <w:vAlign w:val="center"/>
          </w:tcPr>
          <w:p w14:paraId="5E922E36" w14:textId="77777777" w:rsidR="0032738C" w:rsidRDefault="0032738C" w:rsidP="00594865">
            <w:pPr>
              <w:pStyle w:val="Tabletext"/>
            </w:pPr>
            <w:r>
              <w:t>Program costs</w:t>
            </w:r>
          </w:p>
        </w:tc>
        <w:tc>
          <w:tcPr>
            <w:tcW w:w="931" w:type="dxa"/>
            <w:tcBorders>
              <w:top w:val="single" w:sz="2" w:space="0" w:color="C0C0C0"/>
              <w:bottom w:val="single" w:sz="2" w:space="0" w:color="999999"/>
            </w:tcBorders>
            <w:shd w:val="clear" w:color="auto" w:fill="auto"/>
            <w:vAlign w:val="center"/>
          </w:tcPr>
          <w:p w14:paraId="2903C2CF" w14:textId="77777777" w:rsidR="0032738C" w:rsidRDefault="0032738C" w:rsidP="00594865">
            <w:pPr>
              <w:pStyle w:val="Tabletext"/>
              <w:jc w:val="center"/>
            </w:pPr>
          </w:p>
        </w:tc>
        <w:tc>
          <w:tcPr>
            <w:tcW w:w="932" w:type="dxa"/>
            <w:tcBorders>
              <w:top w:val="single" w:sz="2" w:space="0" w:color="C0C0C0"/>
              <w:bottom w:val="single" w:sz="2" w:space="0" w:color="999999"/>
            </w:tcBorders>
            <w:shd w:val="clear" w:color="auto" w:fill="auto"/>
            <w:vAlign w:val="center"/>
          </w:tcPr>
          <w:p w14:paraId="105535FA" w14:textId="77777777" w:rsidR="0032738C" w:rsidRDefault="0032738C" w:rsidP="00594865">
            <w:pPr>
              <w:pStyle w:val="Tabletext"/>
              <w:jc w:val="center"/>
            </w:pPr>
            <w:r w:rsidRPr="00487E6D">
              <w:t>-2.0</w:t>
            </w:r>
          </w:p>
        </w:tc>
        <w:tc>
          <w:tcPr>
            <w:tcW w:w="931" w:type="dxa"/>
            <w:tcBorders>
              <w:top w:val="single" w:sz="2" w:space="0" w:color="C0C0C0"/>
              <w:bottom w:val="single" w:sz="2" w:space="0" w:color="999999"/>
            </w:tcBorders>
            <w:shd w:val="clear" w:color="auto" w:fill="auto"/>
            <w:vAlign w:val="center"/>
          </w:tcPr>
          <w:p w14:paraId="300462D5" w14:textId="77777777" w:rsidR="0032738C" w:rsidRDefault="0032738C" w:rsidP="00594865">
            <w:pPr>
              <w:pStyle w:val="Tabletext"/>
              <w:jc w:val="center"/>
            </w:pPr>
            <w:r w:rsidRPr="00487E6D">
              <w:t>-2.0</w:t>
            </w:r>
          </w:p>
        </w:tc>
        <w:tc>
          <w:tcPr>
            <w:tcW w:w="932" w:type="dxa"/>
            <w:tcBorders>
              <w:top w:val="single" w:sz="2" w:space="0" w:color="C0C0C0"/>
              <w:bottom w:val="single" w:sz="2" w:space="0" w:color="999999"/>
            </w:tcBorders>
            <w:shd w:val="clear" w:color="auto" w:fill="auto"/>
            <w:vAlign w:val="center"/>
          </w:tcPr>
          <w:p w14:paraId="335042E5" w14:textId="77777777" w:rsidR="0032738C" w:rsidRDefault="0032738C" w:rsidP="00594865">
            <w:pPr>
              <w:pStyle w:val="Tabletext"/>
              <w:jc w:val="center"/>
            </w:pPr>
            <w:r w:rsidRPr="00487E6D">
              <w:t>-2.0</w:t>
            </w:r>
          </w:p>
        </w:tc>
        <w:tc>
          <w:tcPr>
            <w:tcW w:w="931" w:type="dxa"/>
            <w:tcBorders>
              <w:top w:val="single" w:sz="2" w:space="0" w:color="C0C0C0"/>
              <w:bottom w:val="single" w:sz="2" w:space="0" w:color="999999"/>
            </w:tcBorders>
            <w:shd w:val="clear" w:color="auto" w:fill="auto"/>
            <w:vAlign w:val="center"/>
          </w:tcPr>
          <w:p w14:paraId="292329E7" w14:textId="77777777" w:rsidR="0032738C" w:rsidRDefault="0032738C" w:rsidP="00594865">
            <w:pPr>
              <w:pStyle w:val="Tabletext"/>
              <w:jc w:val="center"/>
            </w:pPr>
            <w:r w:rsidRPr="00487E6D">
              <w:t>-2.0</w:t>
            </w:r>
          </w:p>
        </w:tc>
        <w:tc>
          <w:tcPr>
            <w:tcW w:w="932" w:type="dxa"/>
            <w:tcBorders>
              <w:top w:val="single" w:sz="2" w:space="0" w:color="C0C0C0"/>
              <w:bottom w:val="single" w:sz="2" w:space="0" w:color="999999"/>
            </w:tcBorders>
            <w:shd w:val="clear" w:color="auto" w:fill="auto"/>
            <w:vAlign w:val="center"/>
          </w:tcPr>
          <w:p w14:paraId="450B4D2C" w14:textId="77777777" w:rsidR="0032738C" w:rsidRDefault="0032738C" w:rsidP="00594865">
            <w:pPr>
              <w:pStyle w:val="Tabletext"/>
              <w:jc w:val="center"/>
            </w:pPr>
          </w:p>
        </w:tc>
        <w:tc>
          <w:tcPr>
            <w:tcW w:w="932" w:type="dxa"/>
            <w:tcBorders>
              <w:top w:val="single" w:sz="2" w:space="0" w:color="C0C0C0"/>
              <w:bottom w:val="single" w:sz="2" w:space="0" w:color="999999"/>
            </w:tcBorders>
            <w:shd w:val="clear" w:color="auto" w:fill="auto"/>
            <w:vAlign w:val="center"/>
          </w:tcPr>
          <w:p w14:paraId="5D9C6B0C" w14:textId="77777777" w:rsidR="0032738C" w:rsidRDefault="0032738C" w:rsidP="00594865">
            <w:pPr>
              <w:pStyle w:val="Tabletext"/>
              <w:jc w:val="center"/>
            </w:pPr>
          </w:p>
        </w:tc>
        <w:tc>
          <w:tcPr>
            <w:tcW w:w="1276" w:type="dxa"/>
            <w:tcBorders>
              <w:top w:val="single" w:sz="2" w:space="0" w:color="C0C0C0"/>
              <w:bottom w:val="single" w:sz="2" w:space="0" w:color="999999"/>
            </w:tcBorders>
            <w:shd w:val="clear" w:color="auto" w:fill="DBDBDB" w:themeFill="accent3" w:themeFillTint="66"/>
            <w:vAlign w:val="center"/>
          </w:tcPr>
          <w:p w14:paraId="54C391EF" w14:textId="77777777" w:rsidR="0032738C" w:rsidRPr="003F5F13" w:rsidRDefault="0032738C" w:rsidP="00FC20D3">
            <w:pPr>
              <w:pStyle w:val="Tabletext"/>
              <w:jc w:val="center"/>
              <w:rPr>
                <w:b/>
              </w:rPr>
            </w:pPr>
            <w:r w:rsidRPr="003F5F13">
              <w:rPr>
                <w:b/>
              </w:rPr>
              <w:t>-6.2</w:t>
            </w:r>
          </w:p>
        </w:tc>
      </w:tr>
    </w:tbl>
    <w:p w14:paraId="577E1A54" w14:textId="77777777" w:rsidR="0032738C" w:rsidRDefault="0032738C" w:rsidP="000133E7">
      <w:pPr>
        <w:pStyle w:val="Note"/>
        <w:ind w:left="-2551"/>
      </w:pPr>
      <w:r w:rsidRPr="00487E6D">
        <w:rPr>
          <w:i/>
        </w:rPr>
        <w:t>Note:</w:t>
      </w:r>
      <w:r w:rsidRPr="00A31DAB">
        <w:t xml:space="preserve"> </w:t>
      </w:r>
      <w:r>
        <w:t>Benefits accrue over a longer period than costs to reflect project lives of the improvements undertaken between 2010 and 2014</w:t>
      </w:r>
      <w:r w:rsidR="00DC1636">
        <w:t>.</w:t>
      </w:r>
    </w:p>
    <w:p w14:paraId="1BC4F025" w14:textId="77777777" w:rsidR="008B171B" w:rsidRPr="00B50A1B" w:rsidRDefault="008B171B" w:rsidP="008B171B">
      <w:pPr>
        <w:pStyle w:val="Source"/>
        <w:ind w:left="-2551"/>
        <w:rPr>
          <w:i/>
        </w:rPr>
      </w:pPr>
      <w:r>
        <w:t>S</w:t>
      </w:r>
      <w:r w:rsidRPr="00B50A1B">
        <w:t>ource:</w:t>
      </w:r>
      <w:r w:rsidRPr="00954EED">
        <w:t xml:space="preserve"> </w:t>
      </w:r>
      <w:r>
        <w:t>ACIL Allen</w:t>
      </w:r>
    </w:p>
    <w:p w14:paraId="6D3D76EF" w14:textId="61B68291" w:rsidR="0032738C" w:rsidRDefault="001C65D1" w:rsidP="0032738C">
      <w:pPr>
        <w:pStyle w:val="BodyText"/>
      </w:pPr>
      <w:r>
        <w:rPr>
          <w:lang w:eastAsia="en-US"/>
        </w:rPr>
        <w:t>Under an assumed seven per cent real discount rate, t</w:t>
      </w:r>
      <w:r w:rsidR="0032738C">
        <w:rPr>
          <w:lang w:eastAsia="en-US"/>
        </w:rPr>
        <w:t>he above cost and benefit items result in:</w:t>
      </w:r>
    </w:p>
    <w:p w14:paraId="6A089134" w14:textId="76D6EBD4" w:rsidR="0032738C" w:rsidRPr="00645869" w:rsidRDefault="0032738C" w:rsidP="0032738C">
      <w:pPr>
        <w:pStyle w:val="ListDash"/>
      </w:pPr>
      <w:r w:rsidRPr="003F5F13">
        <w:t>Net Present Value</w:t>
      </w:r>
      <w:r w:rsidR="001C65D1" w:rsidRPr="003F5F13">
        <w:t xml:space="preserve"> (NPV)</w:t>
      </w:r>
      <w:r w:rsidRPr="00645869">
        <w:t xml:space="preserve"> of $1</w:t>
      </w:r>
      <w:r w:rsidR="003E16D8" w:rsidRPr="00645869">
        <w:t>8</w:t>
      </w:r>
      <w:r w:rsidRPr="00645869">
        <w:t>.4</w:t>
      </w:r>
      <w:r w:rsidR="00B61A28">
        <w:t xml:space="preserve"> million</w:t>
      </w:r>
    </w:p>
    <w:p w14:paraId="65B764C2" w14:textId="77777777" w:rsidR="0032738C" w:rsidRPr="00645869" w:rsidRDefault="0032738C" w:rsidP="0032738C">
      <w:pPr>
        <w:pStyle w:val="ListDash"/>
      </w:pPr>
      <w:r w:rsidRPr="003F5F13">
        <w:t>Benefit</w:t>
      </w:r>
      <w:r w:rsidR="001C65D1" w:rsidRPr="003F5F13">
        <w:t>-</w:t>
      </w:r>
      <w:r w:rsidRPr="003F5F13">
        <w:t>Cost Ratio</w:t>
      </w:r>
      <w:r w:rsidR="001C65D1" w:rsidRPr="003F5F13">
        <w:t xml:space="preserve"> (BCR)</w:t>
      </w:r>
      <w:r w:rsidRPr="00645869">
        <w:t xml:space="preserve"> of 1.</w:t>
      </w:r>
      <w:r w:rsidR="003E16D8" w:rsidRPr="00645869">
        <w:t>66</w:t>
      </w:r>
    </w:p>
    <w:p w14:paraId="47A163C2" w14:textId="77777777" w:rsidR="0032738C" w:rsidRPr="00645869" w:rsidRDefault="0032738C" w:rsidP="0032738C">
      <w:pPr>
        <w:pStyle w:val="ListDash"/>
      </w:pPr>
      <w:r w:rsidRPr="003F5F13">
        <w:t>Internal Rate of Return</w:t>
      </w:r>
      <w:r w:rsidR="001C65D1" w:rsidRPr="003F5F13">
        <w:t xml:space="preserve"> (IRR)</w:t>
      </w:r>
      <w:r w:rsidRPr="00645869">
        <w:t xml:space="preserve"> of 2</w:t>
      </w:r>
      <w:r w:rsidR="003E16D8" w:rsidRPr="00645869">
        <w:t>2</w:t>
      </w:r>
      <w:r w:rsidR="000133E7" w:rsidRPr="00645869">
        <w:t xml:space="preserve"> per cent</w:t>
      </w:r>
      <w:r w:rsidRPr="00645869">
        <w:t>.</w:t>
      </w:r>
    </w:p>
    <w:p w14:paraId="157CD7EE" w14:textId="77777777" w:rsidR="001C65D1" w:rsidRDefault="001C65D1" w:rsidP="0032738C">
      <w:pPr>
        <w:pStyle w:val="BodyText"/>
        <w:rPr>
          <w:lang w:eastAsia="en-US"/>
        </w:rPr>
      </w:pPr>
      <w:r>
        <w:rPr>
          <w:lang w:eastAsia="en-US"/>
        </w:rPr>
        <w:t>(NPV is the difference between the present value of benefits and the present value of costs, while BCR is the ratio of the present value of benefits to the present value of costs</w:t>
      </w:r>
      <w:r w:rsidR="00CB3EC7">
        <w:rPr>
          <w:lang w:eastAsia="en-US"/>
        </w:rPr>
        <w:t xml:space="preserve">. </w:t>
      </w:r>
      <w:r>
        <w:rPr>
          <w:lang w:eastAsia="en-US"/>
        </w:rPr>
        <w:t xml:space="preserve">IRR is the discount rate that equalises the present value of costs and benefits.) </w:t>
      </w:r>
    </w:p>
    <w:p w14:paraId="71747FC1" w14:textId="77777777" w:rsidR="0032738C" w:rsidRDefault="0032738C" w:rsidP="0032738C">
      <w:pPr>
        <w:pStyle w:val="BodyText"/>
        <w:rPr>
          <w:lang w:eastAsia="en-US"/>
        </w:rPr>
      </w:pPr>
      <w:r>
        <w:rPr>
          <w:lang w:eastAsia="en-US"/>
        </w:rPr>
        <w:t>Industry burden costs accrue between 2010 and 2014</w:t>
      </w:r>
      <w:r w:rsidR="00CB3EC7">
        <w:rPr>
          <w:lang w:eastAsia="en-US"/>
        </w:rPr>
        <w:t xml:space="preserve">. </w:t>
      </w:r>
      <w:r>
        <w:rPr>
          <w:lang w:eastAsia="en-US"/>
        </w:rPr>
        <w:t>The industry burden is incurred in 2010</w:t>
      </w:r>
      <w:r w:rsidR="006A01F0">
        <w:rPr>
          <w:lang w:eastAsia="en-US"/>
        </w:rPr>
        <w:t>,</w:t>
      </w:r>
      <w:r>
        <w:rPr>
          <w:lang w:eastAsia="en-US"/>
        </w:rPr>
        <w:t xml:space="preserve"> despite the policy being in place for the full year</w:t>
      </w:r>
      <w:r w:rsidR="006A01F0">
        <w:rPr>
          <w:lang w:eastAsia="en-US"/>
        </w:rPr>
        <w:t>,</w:t>
      </w:r>
      <w:r>
        <w:rPr>
          <w:lang w:eastAsia="en-US"/>
        </w:rPr>
        <w:t xml:space="preserve"> as it is expected that building owners conducted assessments in anticipation of the CBD policy</w:t>
      </w:r>
      <w:r w:rsidR="00CB3EC7">
        <w:rPr>
          <w:lang w:eastAsia="en-US"/>
        </w:rPr>
        <w:t xml:space="preserve">. </w:t>
      </w:r>
      <w:r>
        <w:rPr>
          <w:lang w:eastAsia="en-US"/>
        </w:rPr>
        <w:t>The cost reflects the incremental costs associated with the CBD policy (</w:t>
      </w:r>
      <w:r w:rsidR="000133E7">
        <w:rPr>
          <w:lang w:eastAsia="en-US"/>
        </w:rPr>
        <w:t>that is,</w:t>
      </w:r>
      <w:r>
        <w:rPr>
          <w:lang w:eastAsia="en-US"/>
        </w:rPr>
        <w:t xml:space="preserve"> the cost of NABERS ratings that were estimated to have occurred voluntarily is subtracted from total cost estimates derived from </w:t>
      </w:r>
      <w:r w:rsidR="001C65D1">
        <w:rPr>
          <w:lang w:eastAsia="en-US"/>
        </w:rPr>
        <w:t xml:space="preserve">the </w:t>
      </w:r>
      <w:r>
        <w:rPr>
          <w:lang w:eastAsia="en-US"/>
        </w:rPr>
        <w:t>Department</w:t>
      </w:r>
      <w:r w:rsidR="001C65D1">
        <w:rPr>
          <w:lang w:eastAsia="en-US"/>
        </w:rPr>
        <w:t>’s</w:t>
      </w:r>
      <w:r>
        <w:rPr>
          <w:lang w:eastAsia="en-US"/>
        </w:rPr>
        <w:t xml:space="preserve"> cost burden analysis).</w:t>
      </w:r>
    </w:p>
    <w:p w14:paraId="1D55F518" w14:textId="77777777" w:rsidR="0032738C" w:rsidRDefault="0032738C" w:rsidP="0032738C">
      <w:pPr>
        <w:pStyle w:val="BodyText"/>
        <w:rPr>
          <w:lang w:eastAsia="en-US"/>
        </w:rPr>
      </w:pPr>
      <w:r>
        <w:rPr>
          <w:lang w:eastAsia="en-US"/>
        </w:rPr>
        <w:t>Government costs reflect the employee resource costs associated with administering the scheme between 2011 and 2014.</w:t>
      </w:r>
    </w:p>
    <w:p w14:paraId="05A85571" w14:textId="31BBE4D8" w:rsidR="0032738C" w:rsidRDefault="0032738C" w:rsidP="0032738C">
      <w:pPr>
        <w:pStyle w:val="BodyText"/>
      </w:pPr>
      <w:r>
        <w:rPr>
          <w:lang w:eastAsia="en-US"/>
        </w:rPr>
        <w:t>While only the costs of the program between 2010 and 2014 are included, the benefits of the program are estimated to 2023</w:t>
      </w:r>
      <w:r w:rsidR="00CB3EC7">
        <w:rPr>
          <w:lang w:eastAsia="en-US"/>
        </w:rPr>
        <w:t xml:space="preserve">. </w:t>
      </w:r>
      <w:r>
        <w:rPr>
          <w:lang w:eastAsia="en-US"/>
        </w:rPr>
        <w:t xml:space="preserve">This is because while the program is expected to have triggered improvements between 2010 and 2014, the improvements </w:t>
      </w:r>
      <w:r w:rsidR="00330496">
        <w:rPr>
          <w:lang w:eastAsia="en-US"/>
        </w:rPr>
        <w:t>will continue to</w:t>
      </w:r>
      <w:r>
        <w:rPr>
          <w:lang w:eastAsia="en-US"/>
        </w:rPr>
        <w:t xml:space="preserve"> deliver benefits over the life</w:t>
      </w:r>
      <w:r w:rsidR="00330496">
        <w:rPr>
          <w:lang w:eastAsia="en-US"/>
        </w:rPr>
        <w:t xml:space="preserve"> of the upgraded systems</w:t>
      </w:r>
      <w:r w:rsidR="006A01F0">
        <w:rPr>
          <w:lang w:eastAsia="en-US"/>
        </w:rPr>
        <w:t>.</w:t>
      </w:r>
      <w:r>
        <w:rPr>
          <w:rStyle w:val="FootnoteReference"/>
          <w:lang w:eastAsia="en-US"/>
        </w:rPr>
        <w:footnoteReference w:id="25"/>
      </w:r>
      <w:r w:rsidR="00CB3EC7">
        <w:rPr>
          <w:lang w:eastAsia="en-US"/>
        </w:rPr>
        <w:t xml:space="preserve"> </w:t>
      </w:r>
    </w:p>
    <w:p w14:paraId="25E27A9D" w14:textId="77777777" w:rsidR="00792563" w:rsidRDefault="0032738C" w:rsidP="004572F4">
      <w:pPr>
        <w:pStyle w:val="Heading3"/>
      </w:pPr>
      <w:bookmarkStart w:id="451" w:name="_Toc408824584"/>
      <w:bookmarkStart w:id="452" w:name="_Toc408824691"/>
      <w:bookmarkStart w:id="453" w:name="_Toc408824856"/>
      <w:bookmarkStart w:id="454" w:name="_Toc408827042"/>
      <w:bookmarkStart w:id="455" w:name="_Toc408829015"/>
      <w:bookmarkStart w:id="456" w:name="_Toc408832041"/>
      <w:bookmarkStart w:id="457" w:name="_Toc408832144"/>
      <w:bookmarkStart w:id="458" w:name="_Toc408833619"/>
      <w:bookmarkStart w:id="459" w:name="_Toc408834919"/>
      <w:bookmarkStart w:id="460" w:name="_Toc408870025"/>
      <w:bookmarkStart w:id="461" w:name="_Toc415660878"/>
      <w:bookmarkEnd w:id="451"/>
      <w:bookmarkEnd w:id="452"/>
      <w:bookmarkEnd w:id="453"/>
      <w:bookmarkEnd w:id="454"/>
      <w:bookmarkEnd w:id="455"/>
      <w:bookmarkEnd w:id="456"/>
      <w:bookmarkEnd w:id="457"/>
      <w:bookmarkEnd w:id="458"/>
      <w:bookmarkEnd w:id="459"/>
      <w:bookmarkEnd w:id="460"/>
      <w:r>
        <w:t>‘</w:t>
      </w:r>
      <w:r w:rsidR="006A1EE5">
        <w:t>Realistic</w:t>
      </w:r>
      <w:r>
        <w:t>’</w:t>
      </w:r>
      <w:r w:rsidR="006A1EE5">
        <w:t xml:space="preserve"> estimate of net benefits</w:t>
      </w:r>
      <w:bookmarkEnd w:id="461"/>
      <w:r w:rsidR="003F13A3">
        <w:t xml:space="preserve"> </w:t>
      </w:r>
    </w:p>
    <w:p w14:paraId="7C86931A" w14:textId="77777777" w:rsidR="0032738C" w:rsidRPr="000505E8" w:rsidRDefault="0032738C" w:rsidP="0032738C">
      <w:pPr>
        <w:pStyle w:val="BodyText"/>
      </w:pPr>
      <w:r>
        <w:t>The present value of costs and benefits for the realistic case are presented in</w:t>
      </w:r>
      <w:r w:rsidRPr="000505E8">
        <w:t xml:space="preserve"> </w:t>
      </w:r>
      <w:r w:rsidR="003346C7">
        <w:fldChar w:fldCharType="begin"/>
      </w:r>
      <w:r w:rsidR="003346C7">
        <w:instrText xml:space="preserve"> REF _Ref407032409 \h  \* MERGEFORMAT </w:instrText>
      </w:r>
      <w:r w:rsidR="003346C7">
        <w:fldChar w:fldCharType="separate"/>
      </w:r>
      <w:r w:rsidR="006A273E">
        <w:t xml:space="preserve">Table </w:t>
      </w:r>
      <w:r w:rsidR="006A273E">
        <w:rPr>
          <w:noProof/>
        </w:rPr>
        <w:t>11</w:t>
      </w:r>
      <w:r w:rsidR="003346C7">
        <w:fldChar w:fldCharType="end"/>
      </w:r>
      <w:r w:rsidRPr="000505E8">
        <w:t>.</w:t>
      </w:r>
    </w:p>
    <w:p w14:paraId="51C643E1" w14:textId="77777777" w:rsidR="0032738C" w:rsidRDefault="0032738C" w:rsidP="0032738C">
      <w:pPr>
        <w:pStyle w:val="Caption"/>
      </w:pPr>
      <w:bookmarkStart w:id="462" w:name="_Ref407032409"/>
      <w:bookmarkStart w:id="463" w:name="_Toc415661018"/>
      <w:r>
        <w:lastRenderedPageBreak/>
        <w:t xml:space="preserve">Table </w:t>
      </w:r>
      <w:r w:rsidR="00366ADF">
        <w:fldChar w:fldCharType="begin"/>
      </w:r>
      <w:r w:rsidR="00366ADF">
        <w:instrText xml:space="preserve"> SEQ Table \* MERGEFORMAT </w:instrText>
      </w:r>
      <w:r w:rsidR="00366ADF">
        <w:fldChar w:fldCharType="separate"/>
      </w:r>
      <w:r w:rsidR="006A273E">
        <w:rPr>
          <w:noProof/>
        </w:rPr>
        <w:t>11</w:t>
      </w:r>
      <w:r w:rsidR="00366ADF">
        <w:rPr>
          <w:noProof/>
        </w:rPr>
        <w:fldChar w:fldCharType="end"/>
      </w:r>
      <w:bookmarkEnd w:id="462"/>
      <w:r w:rsidRPr="00487E6D">
        <w:rPr>
          <w:b/>
          <w:color w:val="000000"/>
        </w:rPr>
        <w:tab/>
      </w:r>
      <w:r>
        <w:rPr>
          <w:b/>
          <w:color w:val="000000"/>
        </w:rPr>
        <w:t>Present value of costs and benefits for realistic case (2014 $m)</w:t>
      </w:r>
      <w:bookmarkEnd w:id="463"/>
    </w:p>
    <w:tbl>
      <w:tblPr>
        <w:tblW w:w="7372" w:type="dxa"/>
        <w:tblInd w:w="28"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4367"/>
        <w:gridCol w:w="3005"/>
      </w:tblGrid>
      <w:tr w:rsidR="0032738C" w14:paraId="2A6C96E7" w14:textId="77777777">
        <w:trPr>
          <w:cantSplit/>
        </w:trPr>
        <w:tc>
          <w:tcPr>
            <w:tcW w:w="4367" w:type="dxa"/>
            <w:tcBorders>
              <w:top w:val="nil"/>
            </w:tcBorders>
            <w:shd w:val="solid" w:color="9757A6" w:fill="auto"/>
            <w:vAlign w:val="center"/>
          </w:tcPr>
          <w:p w14:paraId="3E26FD42" w14:textId="77777777" w:rsidR="0032738C" w:rsidRDefault="0032738C" w:rsidP="00594865">
            <w:pPr>
              <w:pStyle w:val="Tablecolumnheadings"/>
            </w:pPr>
            <w:r>
              <w:t>Item</w:t>
            </w:r>
          </w:p>
        </w:tc>
        <w:tc>
          <w:tcPr>
            <w:tcW w:w="3005" w:type="dxa"/>
            <w:tcBorders>
              <w:top w:val="nil"/>
            </w:tcBorders>
            <w:shd w:val="solid" w:color="9757A6" w:fill="auto"/>
            <w:vAlign w:val="center"/>
          </w:tcPr>
          <w:p w14:paraId="78CEA3BE" w14:textId="77777777" w:rsidR="0032738C" w:rsidRDefault="0032738C" w:rsidP="00594865">
            <w:pPr>
              <w:pStyle w:val="Tablecolumnheadings"/>
              <w:jc w:val="center"/>
            </w:pPr>
            <w:r>
              <w:t>Present Value (2014 $m)</w:t>
            </w:r>
          </w:p>
        </w:tc>
      </w:tr>
      <w:tr w:rsidR="0032738C" w14:paraId="1F4C8217" w14:textId="77777777">
        <w:trPr>
          <w:cantSplit/>
        </w:trPr>
        <w:tc>
          <w:tcPr>
            <w:tcW w:w="4367" w:type="dxa"/>
            <w:shd w:val="clear" w:color="auto" w:fill="auto"/>
            <w:vAlign w:val="center"/>
          </w:tcPr>
          <w:p w14:paraId="22E5DE88" w14:textId="77777777" w:rsidR="0032738C" w:rsidRDefault="0032738C" w:rsidP="00594865">
            <w:pPr>
              <w:pStyle w:val="Tabletext"/>
            </w:pPr>
            <w:r>
              <w:t>Industry burden</w:t>
            </w:r>
          </w:p>
        </w:tc>
        <w:tc>
          <w:tcPr>
            <w:tcW w:w="3005" w:type="dxa"/>
            <w:shd w:val="clear" w:color="auto" w:fill="auto"/>
            <w:vAlign w:val="center"/>
          </w:tcPr>
          <w:p w14:paraId="6796CD3D" w14:textId="77777777" w:rsidR="0032738C" w:rsidRDefault="0032738C" w:rsidP="003B60AB">
            <w:pPr>
              <w:pStyle w:val="Tabletext"/>
              <w:jc w:val="center"/>
            </w:pPr>
            <w:r w:rsidRPr="00487E6D">
              <w:t>-$2</w:t>
            </w:r>
            <w:r w:rsidR="003B60AB">
              <w:t>1</w:t>
            </w:r>
            <w:r w:rsidRPr="00487E6D">
              <w:t>.6</w:t>
            </w:r>
          </w:p>
        </w:tc>
      </w:tr>
      <w:tr w:rsidR="0032738C" w14:paraId="2CC1EC9C" w14:textId="77777777">
        <w:trPr>
          <w:cantSplit/>
        </w:trPr>
        <w:tc>
          <w:tcPr>
            <w:tcW w:w="4367" w:type="dxa"/>
            <w:shd w:val="clear" w:color="auto" w:fill="auto"/>
            <w:vAlign w:val="center"/>
          </w:tcPr>
          <w:p w14:paraId="55277988" w14:textId="77777777" w:rsidR="0032738C" w:rsidRDefault="0032738C" w:rsidP="00594865">
            <w:pPr>
              <w:pStyle w:val="Tabletext"/>
            </w:pPr>
            <w:r>
              <w:t>Benefits for mandatory 4</w:t>
            </w:r>
            <w:r w:rsidRPr="00487E6D">
              <w:rPr>
                <w:vertAlign w:val="superscript"/>
              </w:rPr>
              <w:t>th</w:t>
            </w:r>
            <w:r>
              <w:t xml:space="preserve"> quartile</w:t>
            </w:r>
          </w:p>
        </w:tc>
        <w:tc>
          <w:tcPr>
            <w:tcW w:w="3005" w:type="dxa"/>
            <w:shd w:val="clear" w:color="auto" w:fill="auto"/>
            <w:vAlign w:val="center"/>
          </w:tcPr>
          <w:p w14:paraId="666E33B1" w14:textId="77777777" w:rsidR="0032738C" w:rsidRDefault="0032738C" w:rsidP="00594865">
            <w:pPr>
              <w:pStyle w:val="Tabletext"/>
              <w:jc w:val="center"/>
            </w:pPr>
            <w:r w:rsidRPr="00487E6D">
              <w:t>$33.9</w:t>
            </w:r>
          </w:p>
        </w:tc>
      </w:tr>
      <w:tr w:rsidR="0032738C" w14:paraId="55F9BE1B" w14:textId="77777777">
        <w:trPr>
          <w:cantSplit/>
        </w:trPr>
        <w:tc>
          <w:tcPr>
            <w:tcW w:w="4367" w:type="dxa"/>
            <w:shd w:val="clear" w:color="auto" w:fill="auto"/>
            <w:vAlign w:val="center"/>
          </w:tcPr>
          <w:p w14:paraId="269EF850" w14:textId="77777777" w:rsidR="0032738C" w:rsidRDefault="0032738C" w:rsidP="00594865">
            <w:pPr>
              <w:pStyle w:val="Tabletext"/>
            </w:pPr>
            <w:r>
              <w:t>Benefits for mandatory 3</w:t>
            </w:r>
            <w:r w:rsidRPr="00487E6D">
              <w:rPr>
                <w:vertAlign w:val="superscript"/>
              </w:rPr>
              <w:t>rd</w:t>
            </w:r>
            <w:r>
              <w:t xml:space="preserve"> quartile</w:t>
            </w:r>
          </w:p>
        </w:tc>
        <w:tc>
          <w:tcPr>
            <w:tcW w:w="3005" w:type="dxa"/>
            <w:shd w:val="clear" w:color="auto" w:fill="auto"/>
            <w:vAlign w:val="center"/>
          </w:tcPr>
          <w:p w14:paraId="3BA8CE29" w14:textId="77777777" w:rsidR="0032738C" w:rsidRDefault="0032738C" w:rsidP="00594865">
            <w:pPr>
              <w:pStyle w:val="Tabletext"/>
              <w:jc w:val="center"/>
            </w:pPr>
            <w:r w:rsidRPr="00487E6D">
              <w:t>$5.4</w:t>
            </w:r>
          </w:p>
        </w:tc>
      </w:tr>
      <w:tr w:rsidR="0032738C" w14:paraId="752EA609" w14:textId="77777777">
        <w:trPr>
          <w:cantSplit/>
        </w:trPr>
        <w:tc>
          <w:tcPr>
            <w:tcW w:w="4367" w:type="dxa"/>
            <w:shd w:val="clear" w:color="auto" w:fill="auto"/>
            <w:vAlign w:val="center"/>
          </w:tcPr>
          <w:p w14:paraId="68FEE906" w14:textId="77777777" w:rsidR="0032738C" w:rsidRDefault="0032738C" w:rsidP="00594865">
            <w:pPr>
              <w:pStyle w:val="Tabletext"/>
            </w:pPr>
            <w:r>
              <w:t>Benefits for mandatory 1</w:t>
            </w:r>
            <w:r w:rsidRPr="00487E6D">
              <w:rPr>
                <w:vertAlign w:val="superscript"/>
              </w:rPr>
              <w:t>st</w:t>
            </w:r>
            <w:r>
              <w:t xml:space="preserve"> quartile</w:t>
            </w:r>
          </w:p>
        </w:tc>
        <w:tc>
          <w:tcPr>
            <w:tcW w:w="3005" w:type="dxa"/>
            <w:shd w:val="clear" w:color="auto" w:fill="auto"/>
            <w:vAlign w:val="center"/>
          </w:tcPr>
          <w:p w14:paraId="163E7581" w14:textId="77777777" w:rsidR="0032738C" w:rsidRDefault="0032738C" w:rsidP="00594865">
            <w:pPr>
              <w:pStyle w:val="Tabletext"/>
              <w:jc w:val="center"/>
            </w:pPr>
            <w:r w:rsidRPr="00487E6D">
              <w:t>$3.9</w:t>
            </w:r>
          </w:p>
        </w:tc>
      </w:tr>
      <w:tr w:rsidR="0032738C" w14:paraId="3145BFD5" w14:textId="77777777">
        <w:trPr>
          <w:cantSplit/>
        </w:trPr>
        <w:tc>
          <w:tcPr>
            <w:tcW w:w="4367" w:type="dxa"/>
            <w:tcBorders>
              <w:bottom w:val="single" w:sz="2" w:space="0" w:color="C0C0C0"/>
            </w:tcBorders>
            <w:shd w:val="clear" w:color="auto" w:fill="auto"/>
            <w:vAlign w:val="center"/>
          </w:tcPr>
          <w:p w14:paraId="19A48EC0" w14:textId="77777777" w:rsidR="0032738C" w:rsidRDefault="0032738C" w:rsidP="00594865">
            <w:pPr>
              <w:pStyle w:val="Tabletext"/>
            </w:pPr>
            <w:r>
              <w:t>GHG reduction</w:t>
            </w:r>
            <w:r w:rsidR="00EC2268">
              <w:rPr>
                <w:rStyle w:val="FootnoteReference"/>
              </w:rPr>
              <w:footnoteReference w:id="26"/>
            </w:r>
          </w:p>
        </w:tc>
        <w:tc>
          <w:tcPr>
            <w:tcW w:w="3005" w:type="dxa"/>
            <w:tcBorders>
              <w:bottom w:val="single" w:sz="2" w:space="0" w:color="C0C0C0"/>
            </w:tcBorders>
            <w:shd w:val="clear" w:color="auto" w:fill="auto"/>
            <w:vAlign w:val="center"/>
          </w:tcPr>
          <w:p w14:paraId="59050961" w14:textId="77777777" w:rsidR="0032738C" w:rsidRDefault="0032738C" w:rsidP="00594865">
            <w:pPr>
              <w:pStyle w:val="Tabletext"/>
              <w:jc w:val="center"/>
            </w:pPr>
            <w:r w:rsidRPr="00487E6D">
              <w:t>$28.6</w:t>
            </w:r>
          </w:p>
        </w:tc>
      </w:tr>
      <w:tr w:rsidR="0032738C" w14:paraId="45D47445" w14:textId="77777777">
        <w:trPr>
          <w:cantSplit/>
        </w:trPr>
        <w:tc>
          <w:tcPr>
            <w:tcW w:w="4367" w:type="dxa"/>
            <w:tcBorders>
              <w:top w:val="single" w:sz="2" w:space="0" w:color="C0C0C0"/>
              <w:bottom w:val="single" w:sz="2" w:space="0" w:color="C0C0C0"/>
            </w:tcBorders>
            <w:shd w:val="clear" w:color="auto" w:fill="auto"/>
            <w:vAlign w:val="center"/>
          </w:tcPr>
          <w:p w14:paraId="5BDD0FF1" w14:textId="77777777" w:rsidR="0032738C" w:rsidRDefault="0032738C" w:rsidP="00594865">
            <w:pPr>
              <w:pStyle w:val="Tabletext"/>
            </w:pPr>
            <w:r>
              <w:t>Program costs</w:t>
            </w:r>
          </w:p>
        </w:tc>
        <w:tc>
          <w:tcPr>
            <w:tcW w:w="3005" w:type="dxa"/>
            <w:tcBorders>
              <w:top w:val="single" w:sz="2" w:space="0" w:color="C0C0C0"/>
              <w:bottom w:val="single" w:sz="2" w:space="0" w:color="C0C0C0"/>
            </w:tcBorders>
            <w:shd w:val="clear" w:color="auto" w:fill="auto"/>
            <w:vAlign w:val="center"/>
          </w:tcPr>
          <w:p w14:paraId="4AB967EB" w14:textId="77777777" w:rsidR="0032738C" w:rsidRDefault="0032738C" w:rsidP="00594865">
            <w:pPr>
              <w:pStyle w:val="Tabletext"/>
              <w:jc w:val="center"/>
            </w:pPr>
            <w:r w:rsidRPr="00487E6D">
              <w:t>-$6.2</w:t>
            </w:r>
          </w:p>
        </w:tc>
      </w:tr>
      <w:tr w:rsidR="0032738C" w14:paraId="3F46A32A" w14:textId="77777777">
        <w:trPr>
          <w:cantSplit/>
        </w:trPr>
        <w:tc>
          <w:tcPr>
            <w:tcW w:w="4367" w:type="dxa"/>
            <w:tcBorders>
              <w:top w:val="single" w:sz="2" w:space="0" w:color="C0C0C0"/>
              <w:bottom w:val="single" w:sz="2" w:space="0" w:color="999999"/>
            </w:tcBorders>
            <w:shd w:val="clear" w:color="auto" w:fill="DBDBDB" w:themeFill="accent3" w:themeFillTint="66"/>
            <w:vAlign w:val="center"/>
          </w:tcPr>
          <w:p w14:paraId="027D4300" w14:textId="77777777" w:rsidR="0032738C" w:rsidRPr="00487E6D" w:rsidRDefault="0032738C" w:rsidP="00594865">
            <w:pPr>
              <w:pStyle w:val="Tabletext"/>
              <w:rPr>
                <w:b/>
              </w:rPr>
            </w:pPr>
            <w:r w:rsidRPr="00487E6D">
              <w:rPr>
                <w:b/>
              </w:rPr>
              <w:t>Net Present Value</w:t>
            </w:r>
          </w:p>
        </w:tc>
        <w:tc>
          <w:tcPr>
            <w:tcW w:w="3005" w:type="dxa"/>
            <w:tcBorders>
              <w:top w:val="single" w:sz="2" w:space="0" w:color="C0C0C0"/>
              <w:bottom w:val="single" w:sz="2" w:space="0" w:color="999999"/>
            </w:tcBorders>
            <w:shd w:val="clear" w:color="auto" w:fill="DBDBDB" w:themeFill="accent3" w:themeFillTint="66"/>
            <w:vAlign w:val="center"/>
          </w:tcPr>
          <w:p w14:paraId="1A8018DD" w14:textId="77777777" w:rsidR="0032738C" w:rsidRPr="00487E6D" w:rsidRDefault="0032738C" w:rsidP="003B60AB">
            <w:pPr>
              <w:pStyle w:val="Tabletext"/>
              <w:jc w:val="center"/>
              <w:rPr>
                <w:b/>
              </w:rPr>
            </w:pPr>
            <w:r w:rsidRPr="00487E6D">
              <w:rPr>
                <w:b/>
              </w:rPr>
              <w:t>$4</w:t>
            </w:r>
            <w:r w:rsidR="003B60AB">
              <w:rPr>
                <w:b/>
              </w:rPr>
              <w:t>4</w:t>
            </w:r>
            <w:r w:rsidRPr="00487E6D">
              <w:rPr>
                <w:b/>
              </w:rPr>
              <w:t>.0</w:t>
            </w:r>
          </w:p>
        </w:tc>
      </w:tr>
    </w:tbl>
    <w:p w14:paraId="13EE5AAD" w14:textId="77777777" w:rsidR="0032738C" w:rsidRDefault="0032738C" w:rsidP="0032738C">
      <w:pPr>
        <w:pStyle w:val="Note"/>
      </w:pPr>
      <w:r w:rsidRPr="00487E6D">
        <w:rPr>
          <w:i/>
        </w:rPr>
        <w:t>Note:</w:t>
      </w:r>
      <w:r w:rsidRPr="00A31DAB">
        <w:t xml:space="preserve"> </w:t>
      </w:r>
      <w:r>
        <w:t>Benefits accrue over a longer period than costs to reflect project lives of the improvements undertaken between 2010 and 2014</w:t>
      </w:r>
      <w:r w:rsidR="00CB2DED">
        <w:t>.</w:t>
      </w:r>
    </w:p>
    <w:p w14:paraId="3A195F36" w14:textId="77777777" w:rsidR="008B171B" w:rsidRPr="00B85543" w:rsidRDefault="008B171B" w:rsidP="00F71862">
      <w:pPr>
        <w:pStyle w:val="Source"/>
      </w:pPr>
      <w:r>
        <w:t>Source</w:t>
      </w:r>
      <w:r w:rsidRPr="00B85543">
        <w:t xml:space="preserve">: </w:t>
      </w:r>
      <w:r>
        <w:t>ACIL Allen</w:t>
      </w:r>
    </w:p>
    <w:p w14:paraId="7A667594" w14:textId="103469EF" w:rsidR="0032738C" w:rsidRDefault="0032738C" w:rsidP="0032738C">
      <w:pPr>
        <w:pStyle w:val="BodyText"/>
        <w:rPr>
          <w:lang w:eastAsia="en-US"/>
        </w:rPr>
      </w:pPr>
      <w:r>
        <w:rPr>
          <w:lang w:eastAsia="en-US"/>
        </w:rPr>
        <w:t>The above cost and benefit items result in:</w:t>
      </w:r>
    </w:p>
    <w:p w14:paraId="47B99C3C" w14:textId="6D4D5BAD" w:rsidR="0032738C" w:rsidRPr="00645869" w:rsidRDefault="00330496" w:rsidP="0032738C">
      <w:pPr>
        <w:pStyle w:val="ListDash"/>
      </w:pPr>
      <w:r w:rsidRPr="003F5F13">
        <w:t>NPV</w:t>
      </w:r>
      <w:r w:rsidR="0032738C" w:rsidRPr="00645869">
        <w:t xml:space="preserve"> of $4</w:t>
      </w:r>
      <w:r w:rsidR="009226A8" w:rsidRPr="00645869">
        <w:t>4</w:t>
      </w:r>
      <w:r w:rsidR="0032738C" w:rsidRPr="00645869">
        <w:t>.0</w:t>
      </w:r>
      <w:r w:rsidR="00B61A28">
        <w:t xml:space="preserve"> </w:t>
      </w:r>
      <w:r w:rsidR="0032738C" w:rsidRPr="00645869">
        <w:t>m</w:t>
      </w:r>
      <w:r w:rsidR="00B61A28">
        <w:t>illion</w:t>
      </w:r>
    </w:p>
    <w:p w14:paraId="36AB922C" w14:textId="77777777" w:rsidR="0032738C" w:rsidRPr="00645869" w:rsidRDefault="00330496" w:rsidP="0032738C">
      <w:pPr>
        <w:pStyle w:val="ListDash"/>
      </w:pPr>
      <w:r w:rsidRPr="003F5F13">
        <w:t>BCR</w:t>
      </w:r>
      <w:r w:rsidR="0032738C" w:rsidRPr="00645869">
        <w:t xml:space="preserve"> of 2.</w:t>
      </w:r>
      <w:r w:rsidR="009226A8" w:rsidRPr="00645869">
        <w:t>5</w:t>
      </w:r>
      <w:r w:rsidR="0032738C" w:rsidRPr="00645869">
        <w:t>8</w:t>
      </w:r>
    </w:p>
    <w:p w14:paraId="6F137CCB" w14:textId="77777777" w:rsidR="0032738C" w:rsidRDefault="00330496" w:rsidP="0032738C">
      <w:pPr>
        <w:pStyle w:val="ListDash"/>
      </w:pPr>
      <w:r w:rsidRPr="003F5F13">
        <w:t>IRR</w:t>
      </w:r>
      <w:r w:rsidR="0032738C" w:rsidRPr="00645869">
        <w:t xml:space="preserve"> of 4</w:t>
      </w:r>
      <w:r w:rsidR="009226A8" w:rsidRPr="00645869">
        <w:t>6</w:t>
      </w:r>
      <w:r>
        <w:t xml:space="preserve"> per cent</w:t>
      </w:r>
      <w:r w:rsidR="0032738C">
        <w:t>.</w:t>
      </w:r>
    </w:p>
    <w:p w14:paraId="59A77DA4" w14:textId="77777777" w:rsidR="00122CF8" w:rsidRDefault="00122CF8" w:rsidP="00122CF8">
      <w:pPr>
        <w:pStyle w:val="Heading3"/>
      </w:pPr>
      <w:bookmarkStart w:id="464" w:name="_Toc408824586"/>
      <w:bookmarkStart w:id="465" w:name="_Toc408824693"/>
      <w:bookmarkStart w:id="466" w:name="_Toc415660879"/>
      <w:bookmarkEnd w:id="464"/>
      <w:bookmarkEnd w:id="465"/>
      <w:r w:rsidRPr="00122CF8">
        <w:t>Inclusion of worker productivity benefits</w:t>
      </w:r>
      <w:bookmarkEnd w:id="466"/>
    </w:p>
    <w:p w14:paraId="098BED33" w14:textId="77777777" w:rsidR="00CD6F6B" w:rsidRDefault="00CB5F51" w:rsidP="00104113">
      <w:pPr>
        <w:pStyle w:val="Caption"/>
        <w:keepLines/>
        <w:spacing w:before="120" w:after="120" w:line="240" w:lineRule="auto"/>
        <w:ind w:left="0" w:firstLine="0"/>
      </w:pPr>
      <w:r>
        <w:t xml:space="preserve">Studies in Australia and overseas have shown that more energy efficient buildings may lead to increases in the productivity of workers within these buildings (see </w:t>
      </w:r>
      <w:r w:rsidR="0061375B">
        <w:t>Box 2).</w:t>
      </w:r>
    </w:p>
    <w:p w14:paraId="5817713A" w14:textId="77777777" w:rsidR="0061375B" w:rsidRPr="00D26202" w:rsidRDefault="0061375B" w:rsidP="00D67861">
      <w:pPr>
        <w:pStyle w:val="Caption"/>
        <w:keepLines/>
        <w:ind w:left="0" w:firstLine="0"/>
      </w:pPr>
      <w:bookmarkStart w:id="467" w:name="_Toc415660944"/>
      <w:r w:rsidRPr="00D26202">
        <w:t>Box</w:t>
      </w:r>
      <w:r>
        <w:t xml:space="preserve"> </w:t>
      </w:r>
      <w:r w:rsidR="00492194">
        <w:fldChar w:fldCharType="begin"/>
      </w:r>
      <w:r w:rsidR="0044208C">
        <w:instrText xml:space="preserve"> SEQ Box \* ARABIC  </w:instrText>
      </w:r>
      <w:r w:rsidR="00492194">
        <w:fldChar w:fldCharType="separate"/>
      </w:r>
      <w:r w:rsidR="006A273E">
        <w:rPr>
          <w:noProof/>
        </w:rPr>
        <w:t>2</w:t>
      </w:r>
      <w:r w:rsidR="00492194">
        <w:rPr>
          <w:noProof/>
        </w:rPr>
        <w:fldChar w:fldCharType="end"/>
      </w:r>
      <w:r w:rsidRPr="00FB2565">
        <w:tab/>
      </w:r>
      <w:r>
        <w:rPr>
          <w:rStyle w:val="CaptionLabel"/>
        </w:rPr>
        <w:t>Productivity impacts of energy efficient buildings</w:t>
      </w:r>
      <w:bookmarkEnd w:id="467"/>
    </w:p>
    <w:tbl>
      <w:tblPr>
        <w:tblW w:w="5000" w:type="pct"/>
        <w:tblInd w:w="57" w:type="dxa"/>
        <w:tblLayout w:type="fixed"/>
        <w:tblCellMar>
          <w:left w:w="142" w:type="dxa"/>
          <w:right w:w="142" w:type="dxa"/>
        </w:tblCellMar>
        <w:tblLook w:val="0000" w:firstRow="0" w:lastRow="0" w:firstColumn="0" w:lastColumn="0" w:noHBand="0" w:noVBand="0"/>
      </w:tblPr>
      <w:tblGrid>
        <w:gridCol w:w="7656"/>
      </w:tblGrid>
      <w:tr w:rsidR="0061375B" w:rsidRPr="00D26202" w14:paraId="6E3C4154" w14:textId="77777777">
        <w:tc>
          <w:tcPr>
            <w:tcW w:w="5000" w:type="pct"/>
            <w:shd w:val="pct12" w:color="auto" w:fill="auto"/>
          </w:tcPr>
          <w:p w14:paraId="165FA4A6" w14:textId="77777777" w:rsidR="0061375B" w:rsidRPr="00D26202" w:rsidRDefault="0061375B" w:rsidP="00656230">
            <w:pPr>
              <w:pStyle w:val="SmallDeltasRightAligned"/>
              <w:keepNext/>
              <w:keepLines/>
            </w:pPr>
            <w:r w:rsidRPr="00D26202">
              <w:rPr>
                <w:noProof/>
                <w:lang w:eastAsia="en-AU"/>
              </w:rPr>
              <w:drawing>
                <wp:inline distT="0" distB="0" distL="0" distR="0" wp14:anchorId="7B3C7EF8" wp14:editId="5223AC40">
                  <wp:extent cx="481330" cy="234315"/>
                  <wp:effectExtent l="0" t="0" r="0" b="0"/>
                  <wp:docPr id="23" name="Picture 23"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330" cy="234315"/>
                          </a:xfrm>
                          <a:prstGeom prst="rect">
                            <a:avLst/>
                          </a:prstGeom>
                        </pic:spPr>
                      </pic:pic>
                    </a:graphicData>
                  </a:graphic>
                </wp:inline>
              </w:drawing>
            </w:r>
          </w:p>
        </w:tc>
      </w:tr>
      <w:tr w:rsidR="0061375B" w14:paraId="543236D1" w14:textId="77777777">
        <w:tc>
          <w:tcPr>
            <w:tcW w:w="5000" w:type="pct"/>
            <w:shd w:val="pct12" w:color="auto" w:fill="auto"/>
          </w:tcPr>
          <w:p w14:paraId="18A3293B" w14:textId="6DC388D3" w:rsidR="0061375B" w:rsidRDefault="0061375B" w:rsidP="0061375B">
            <w:pPr>
              <w:pStyle w:val="BoxText"/>
            </w:pPr>
            <w:r>
              <w:t>In May 2009, CBRE and the University of San Diego surveyed 534 managers of tenant companies that moved from standard buildings into buildings with ENERGY STAR labels or Leadership in Energy and Environmental Design (LEED) certifications</w:t>
            </w:r>
            <w:r w:rsidR="00CB3EC7">
              <w:t xml:space="preserve">. </w:t>
            </w:r>
            <w:r>
              <w:t>Of these, 42.5 per</w:t>
            </w:r>
            <w:r w:rsidR="00FA4E78">
              <w:t xml:space="preserve"> </w:t>
            </w:r>
            <w:r>
              <w:t>cent agreed that employees were more productive, and 45 per</w:t>
            </w:r>
            <w:r w:rsidR="00FA4E78">
              <w:t xml:space="preserve"> </w:t>
            </w:r>
            <w:r>
              <w:t>cent agreed that workers were taking fewer sick days since moving</w:t>
            </w:r>
            <w:r w:rsidR="00CB3EC7">
              <w:t xml:space="preserve">. </w:t>
            </w:r>
            <w:r>
              <w:t>They perceived an average productivity increase of 4.88 per</w:t>
            </w:r>
            <w:r w:rsidR="00FA4E78">
              <w:t xml:space="preserve"> </w:t>
            </w:r>
            <w:r>
              <w:t>cent among those who reported increased productivity</w:t>
            </w:r>
            <w:r w:rsidR="00CB3EC7">
              <w:t xml:space="preserve">. </w:t>
            </w:r>
            <w:r>
              <w:t>Fifteen to 25 per</w:t>
            </w:r>
            <w:r w:rsidR="00FA4E78">
              <w:t xml:space="preserve"> </w:t>
            </w:r>
            <w:r>
              <w:t>cent also perceived higher employee morale, less turnover, and greater ease of recruitment.</w:t>
            </w:r>
          </w:p>
          <w:p w14:paraId="46717DB2" w14:textId="77777777" w:rsidR="0061375B" w:rsidRDefault="0061375B" w:rsidP="0061375B">
            <w:pPr>
              <w:pStyle w:val="BoxText"/>
            </w:pPr>
            <w:r>
              <w:t>A McGraw-Hill survey completed in 2009 showed that nearly half of all tenants who move into a green space did so in part because they anticipated productivity gains.</w:t>
            </w:r>
          </w:p>
          <w:p w14:paraId="0AEFF786" w14:textId="1C3AABEE" w:rsidR="0061375B" w:rsidRDefault="0061375B" w:rsidP="0061375B">
            <w:pPr>
              <w:pStyle w:val="BoxText"/>
            </w:pPr>
            <w:r>
              <w:t>A 2009 Michigan State University study, “Life Cycle Cost Analysis of Occupant Well-being and Productivity in LEED Offices</w:t>
            </w:r>
            <w:r w:rsidR="00FA4E78">
              <w:t>"</w:t>
            </w:r>
            <w:r>
              <w:t>, found that groups moving to LEED office buildings missed less work and put in almost 39 hours more per person annually</w:t>
            </w:r>
            <w:r w:rsidR="00CB3EC7">
              <w:t xml:space="preserve">. </w:t>
            </w:r>
            <w:r>
              <w:t>According to the study, the total bottom-line benefits from gains included fewer allergic reactions and reduced stress</w:t>
            </w:r>
            <w:r w:rsidR="00CB3EC7">
              <w:t xml:space="preserve">. </w:t>
            </w:r>
            <w:r>
              <w:t xml:space="preserve">The study showed that indoor air quality, </w:t>
            </w:r>
            <w:r w:rsidR="00FA4E78">
              <w:t xml:space="preserve">natural </w:t>
            </w:r>
            <w:r>
              <w:t>lighting and views to the outdoors correlated with the highest post-move increases in employee satisfaction.</w:t>
            </w:r>
          </w:p>
          <w:p w14:paraId="32F78BB3" w14:textId="77777777" w:rsidR="0061375B" w:rsidRDefault="0061375B" w:rsidP="0061375B">
            <w:pPr>
              <w:pStyle w:val="BoxText"/>
            </w:pPr>
            <w:r>
              <w:t>A study conducted in 2007 with two tenant companies that moved into a 5 Green Star rated building in Australia found a 39 per</w:t>
            </w:r>
            <w:r w:rsidR="00D2205D">
              <w:t xml:space="preserve"> </w:t>
            </w:r>
            <w:r>
              <w:t>cent reduction in average sick leave days per employee per month, a 9 per</w:t>
            </w:r>
            <w:r w:rsidR="00D2205D">
              <w:t xml:space="preserve"> </w:t>
            </w:r>
            <w:r>
              <w:t>cent improvement in the average typing speed of secretaries, and a 7 per</w:t>
            </w:r>
            <w:r w:rsidR="00D2205D">
              <w:t xml:space="preserve"> </w:t>
            </w:r>
            <w:r>
              <w:t>cent increase in lawyers’ billings ratios, despite a 12 per</w:t>
            </w:r>
            <w:r w:rsidR="00D2205D">
              <w:t xml:space="preserve"> </w:t>
            </w:r>
            <w:r>
              <w:t>cent decline in the average monthly hours worked by the lawyers.</w:t>
            </w:r>
          </w:p>
          <w:p w14:paraId="5DB71875" w14:textId="77777777" w:rsidR="0061375B" w:rsidRPr="00F3152C" w:rsidRDefault="0061375B" w:rsidP="0061375B">
            <w:pPr>
              <w:pStyle w:val="BoxText"/>
            </w:pPr>
            <w:r>
              <w:t>A 2003 report to California’s Sustainable Building Task Force, which involved 33 green building projects, recommended attributing a 1 per</w:t>
            </w:r>
            <w:r w:rsidR="00D2205D">
              <w:t xml:space="preserve"> </w:t>
            </w:r>
            <w:r>
              <w:t>cent increase in productivity and health to LEED Certified and LEED Silver buildings, and a 1.5 per</w:t>
            </w:r>
            <w:r w:rsidR="00D2205D">
              <w:t xml:space="preserve"> </w:t>
            </w:r>
            <w:r>
              <w:t>cent gain in LEED Gold and Platinum levels</w:t>
            </w:r>
            <w:r w:rsidR="00CB3EC7">
              <w:t xml:space="preserve">. </w:t>
            </w:r>
          </w:p>
        </w:tc>
      </w:tr>
    </w:tbl>
    <w:p w14:paraId="256DC280" w14:textId="77777777" w:rsidR="0061375B" w:rsidRDefault="0061375B" w:rsidP="00656230">
      <w:pPr>
        <w:pStyle w:val="Source"/>
        <w:keepLines/>
      </w:pPr>
      <w:r w:rsidRPr="00071B29">
        <w:t>Source:</w:t>
      </w:r>
      <w:r w:rsidRPr="00FB2565">
        <w:t xml:space="preserve">  </w:t>
      </w:r>
      <w:r>
        <w:t>Various</w:t>
      </w:r>
    </w:p>
    <w:p w14:paraId="7ECB626B" w14:textId="11E29358" w:rsidR="009F512A" w:rsidRDefault="009F512A" w:rsidP="009F512A">
      <w:pPr>
        <w:pStyle w:val="BodyText"/>
      </w:pPr>
      <w:r>
        <w:lastRenderedPageBreak/>
        <w:t>The assumed productivity benefits per star and square met</w:t>
      </w:r>
      <w:r w:rsidR="00B52469">
        <w:t>re</w:t>
      </w:r>
      <w:r>
        <w:t xml:space="preserve"> (described benefits in </w:t>
      </w:r>
      <w:r w:rsidRPr="005443D4">
        <w:t xml:space="preserve">Section </w:t>
      </w:r>
      <w:r w:rsidR="00492194">
        <w:rPr>
          <w:highlight w:val="yellow"/>
        </w:rPr>
        <w:fldChar w:fldCharType="begin"/>
      </w:r>
      <w:r>
        <w:instrText xml:space="preserve"> REF _Ref409624232 \n \h </w:instrText>
      </w:r>
      <w:r w:rsidR="00492194">
        <w:rPr>
          <w:highlight w:val="yellow"/>
        </w:rPr>
      </w:r>
      <w:r w:rsidR="00492194">
        <w:rPr>
          <w:highlight w:val="yellow"/>
        </w:rPr>
        <w:fldChar w:fldCharType="separate"/>
      </w:r>
      <w:r w:rsidR="006A273E">
        <w:t>A.6</w:t>
      </w:r>
      <w:r w:rsidR="00492194">
        <w:rPr>
          <w:highlight w:val="yellow"/>
        </w:rPr>
        <w:fldChar w:fldCharType="end"/>
      </w:r>
      <w:r w:rsidR="0026695B">
        <w:t xml:space="preserve"> in Appendix A</w:t>
      </w:r>
      <w:r>
        <w:rPr>
          <w:b/>
        </w:rPr>
        <w:t>)</w:t>
      </w:r>
      <w:r>
        <w:t>, combined with average star improvements and floor area (m</w:t>
      </w:r>
      <w:r w:rsidRPr="00D104F7">
        <w:rPr>
          <w:vertAlign w:val="superscript"/>
        </w:rPr>
        <w:t>2</w:t>
      </w:r>
      <w:r>
        <w:t xml:space="preserve">) for each segment, were used to calculate the present value of productivity benefits for mandatory quartiles 1, 3 and 4 in the lower bound and realistic cases (affecting approximately 210,000 office staff). Total productivity benefits were estimated as </w:t>
      </w:r>
      <w:r w:rsidRPr="00460D29">
        <w:t xml:space="preserve">$110.5m PV </w:t>
      </w:r>
      <w:r>
        <w:t xml:space="preserve">in the lower bound case and </w:t>
      </w:r>
      <w:r w:rsidRPr="00460D29">
        <w:t>$167.8m PV</w:t>
      </w:r>
      <w:r>
        <w:t xml:space="preserve"> in the realistic case.</w:t>
      </w:r>
    </w:p>
    <w:p w14:paraId="5B8B8C5E" w14:textId="77777777" w:rsidR="00122CF8" w:rsidRDefault="0010707E" w:rsidP="0010707E">
      <w:pPr>
        <w:pStyle w:val="BodyText"/>
      </w:pPr>
      <w:r>
        <w:t>Productivity benefits are therefore expected to be significant</w:t>
      </w:r>
      <w:r w:rsidR="00CB3EC7">
        <w:t xml:space="preserve">. </w:t>
      </w:r>
      <w:r>
        <w:t>However, due to the lack of sufficient and robust data estimating the productivity benefits of green buildings, there remains a high degree of uncertainty in estimates.</w:t>
      </w:r>
    </w:p>
    <w:p w14:paraId="1394E8C3" w14:textId="77777777" w:rsidR="00122CF8" w:rsidRDefault="00122CF8" w:rsidP="00122CF8">
      <w:pPr>
        <w:pStyle w:val="Heading3"/>
      </w:pPr>
      <w:bookmarkStart w:id="468" w:name="_Toc415660880"/>
      <w:r>
        <w:t>Additional unquantified benefits</w:t>
      </w:r>
      <w:bookmarkEnd w:id="468"/>
    </w:p>
    <w:p w14:paraId="52B248EC" w14:textId="77777777" w:rsidR="0010707E" w:rsidRDefault="0010707E" w:rsidP="0010707E">
      <w:pPr>
        <w:pStyle w:val="BodyText"/>
      </w:pPr>
      <w:r>
        <w:t>The following additional benefits have been identified but were unable to be quantified due to data and resource limitations:</w:t>
      </w:r>
    </w:p>
    <w:p w14:paraId="1CA45589" w14:textId="77777777" w:rsidR="005443D4" w:rsidRDefault="0010707E" w:rsidP="005443D4">
      <w:pPr>
        <w:pStyle w:val="ListDash"/>
      </w:pPr>
      <w:r>
        <w:t xml:space="preserve">Anecdotal evidence suggests that building owners who would be considered ‘mandatory </w:t>
      </w:r>
      <w:proofErr w:type="spellStart"/>
      <w:r>
        <w:t>raters’</w:t>
      </w:r>
      <w:proofErr w:type="spellEnd"/>
      <w:r>
        <w:t xml:space="preserve"> are undertaking NABERS water ratings at the same time as energy ratings due to the cost savings of doing two assessments simultaneously</w:t>
      </w:r>
      <w:r w:rsidR="00CB3EC7">
        <w:t xml:space="preserve">. </w:t>
      </w:r>
      <w:r>
        <w:t>This is likely to have led to greater awareness of water saving opportunities and subsequent exploitation of opportunities.</w:t>
      </w:r>
    </w:p>
    <w:p w14:paraId="67722D67" w14:textId="77777777" w:rsidR="00122CF8" w:rsidRDefault="0010707E" w:rsidP="005443D4">
      <w:pPr>
        <w:pStyle w:val="ListDash"/>
      </w:pPr>
      <w:r>
        <w:t>The assessment of energy efficiency benefits has been based on observed performance in energy performance (</w:t>
      </w:r>
      <w:r w:rsidR="00930C53">
        <w:t>that is,</w:t>
      </w:r>
      <w:r w:rsidR="00CB3EC7">
        <w:t xml:space="preserve"> </w:t>
      </w:r>
      <w:r>
        <w:t>of the mandatory segment with NABERS ratings)</w:t>
      </w:r>
      <w:r w:rsidR="00CB3EC7">
        <w:t xml:space="preserve">. </w:t>
      </w:r>
      <w:r>
        <w:t xml:space="preserve">However, </w:t>
      </w:r>
      <w:r w:rsidR="00CD546B">
        <w:t xml:space="preserve">there are </w:t>
      </w:r>
      <w:r>
        <w:t xml:space="preserve">other buildings covered by mandatory disclosure </w:t>
      </w:r>
      <w:r w:rsidR="005A78D6">
        <w:t xml:space="preserve">but </w:t>
      </w:r>
      <w:r>
        <w:t>have not yet triggered a disclosure event</w:t>
      </w:r>
      <w:r w:rsidR="00CB3EC7">
        <w:t xml:space="preserve">. </w:t>
      </w:r>
      <w:r>
        <w:t>Some of these buildings may have undertaken improvements in anticipation of a disclosure event.</w:t>
      </w:r>
    </w:p>
    <w:p w14:paraId="2244B0F2" w14:textId="77777777" w:rsidR="006A1EE5" w:rsidRDefault="006A1EE5" w:rsidP="004572F4">
      <w:pPr>
        <w:pStyle w:val="Heading3"/>
      </w:pPr>
      <w:bookmarkStart w:id="469" w:name="_Toc408824860"/>
      <w:bookmarkStart w:id="470" w:name="_Toc408827046"/>
      <w:bookmarkStart w:id="471" w:name="_Toc408829019"/>
      <w:bookmarkStart w:id="472" w:name="_Toc408832045"/>
      <w:bookmarkStart w:id="473" w:name="_Toc408832148"/>
      <w:bookmarkStart w:id="474" w:name="_Toc408833623"/>
      <w:bookmarkStart w:id="475" w:name="_Toc408834923"/>
      <w:bookmarkStart w:id="476" w:name="_Toc408870029"/>
      <w:bookmarkStart w:id="477" w:name="_Toc415660881"/>
      <w:bookmarkEnd w:id="469"/>
      <w:bookmarkEnd w:id="470"/>
      <w:bookmarkEnd w:id="471"/>
      <w:bookmarkEnd w:id="472"/>
      <w:bookmarkEnd w:id="473"/>
      <w:bookmarkEnd w:id="474"/>
      <w:bookmarkEnd w:id="475"/>
      <w:bookmarkEnd w:id="476"/>
      <w:r>
        <w:t>Sensitivity analysis</w:t>
      </w:r>
      <w:bookmarkEnd w:id="477"/>
    </w:p>
    <w:p w14:paraId="4044F64D" w14:textId="77777777" w:rsidR="00172374" w:rsidRPr="00305F64" w:rsidRDefault="00172374" w:rsidP="003F5F13">
      <w:pPr>
        <w:pStyle w:val="BodyText"/>
      </w:pPr>
      <w:r>
        <w:t>CBA</w:t>
      </w:r>
      <w:r w:rsidR="00BB35C9">
        <w:t>s</w:t>
      </w:r>
      <w:r>
        <w:t xml:space="preserve"> always require making assumptions about values for factors </w:t>
      </w:r>
      <w:r w:rsidR="00160BAC">
        <w:t xml:space="preserve">or parameters </w:t>
      </w:r>
      <w:r>
        <w:t>which are inherently uncertain</w:t>
      </w:r>
      <w:r w:rsidR="00CB3EC7">
        <w:t xml:space="preserve">. </w:t>
      </w:r>
      <w:r w:rsidR="003B5537">
        <w:t>The results of a CBA are</w:t>
      </w:r>
      <w:r w:rsidR="00B52469">
        <w:t>,</w:t>
      </w:r>
      <w:r w:rsidR="003B5537">
        <w:t xml:space="preserve"> therefore</w:t>
      </w:r>
      <w:r w:rsidR="00B52469">
        <w:t>,</w:t>
      </w:r>
      <w:r w:rsidR="003B5537">
        <w:t xml:space="preserve"> also uncertain</w:t>
      </w:r>
      <w:r w:rsidR="00CB3EC7">
        <w:t xml:space="preserve">. </w:t>
      </w:r>
      <w:r w:rsidR="003B5537">
        <w:t>Sensitivity analysis is a tool used to test the robust</w:t>
      </w:r>
      <w:r w:rsidR="009363D7">
        <w:t>ness</w:t>
      </w:r>
      <w:r w:rsidR="003B5537">
        <w:t xml:space="preserve"> of CBA results</w:t>
      </w:r>
      <w:r w:rsidR="00CB3EC7">
        <w:t xml:space="preserve">. </w:t>
      </w:r>
      <w:r w:rsidR="003B5537">
        <w:t>The purpose of sensitivity testing is to assess how the results of a CBA would change if values of uncertain factors were different from those assumed.</w:t>
      </w:r>
    </w:p>
    <w:p w14:paraId="30A9BF44" w14:textId="77777777" w:rsidR="00122CF8" w:rsidRDefault="00122CF8" w:rsidP="00122CF8">
      <w:pPr>
        <w:pStyle w:val="BodyText"/>
      </w:pPr>
      <w:r>
        <w:t>The economic value of energy efficiency improvements and the star increase in performance for the 1</w:t>
      </w:r>
      <w:r w:rsidRPr="00487E6D">
        <w:rPr>
          <w:vertAlign w:val="superscript"/>
        </w:rPr>
        <w:t>st</w:t>
      </w:r>
      <w:r>
        <w:t xml:space="preserve"> quartile of mandatory </w:t>
      </w:r>
      <w:proofErr w:type="spellStart"/>
      <w:r>
        <w:t>raters</w:t>
      </w:r>
      <w:proofErr w:type="spellEnd"/>
      <w:r>
        <w:t xml:space="preserve"> prior to first rating are two assumptions that have both a relatively high degree of uncertainty and a high degree of materiality in the analysis</w:t>
      </w:r>
      <w:r w:rsidR="00CB3EC7">
        <w:t xml:space="preserve">. </w:t>
      </w:r>
      <w:r w:rsidR="00AE67EF">
        <w:t>While t</w:t>
      </w:r>
      <w:r>
        <w:t>he assumptions have been developed by drawing on available evidence and further cross</w:t>
      </w:r>
      <w:r w:rsidR="00AE67EF">
        <w:t>-</w:t>
      </w:r>
      <w:r>
        <w:t>validated with industry stakeholders, there remains a degree of uncertainty.</w:t>
      </w:r>
    </w:p>
    <w:p w14:paraId="7B1B5EA1" w14:textId="77777777" w:rsidR="003B5537" w:rsidRDefault="00F8159E" w:rsidP="00122CF8">
      <w:pPr>
        <w:pStyle w:val="BodyText"/>
      </w:pPr>
      <w:r>
        <w:t xml:space="preserve">ACIL Allen </w:t>
      </w:r>
      <w:r w:rsidR="00160BAC">
        <w:t xml:space="preserve">therefore </w:t>
      </w:r>
      <w:r>
        <w:t xml:space="preserve">tested </w:t>
      </w:r>
      <w:r w:rsidR="00122CF8">
        <w:t xml:space="preserve">the sensitivity of </w:t>
      </w:r>
      <w:r w:rsidR="00AE67EF">
        <w:t xml:space="preserve">the CBA </w:t>
      </w:r>
      <w:r w:rsidR="00122CF8">
        <w:t>results to these two assumptions</w:t>
      </w:r>
      <w:r w:rsidR="00CB3EC7">
        <w:t xml:space="preserve">. </w:t>
      </w:r>
      <w:r w:rsidR="00122CF8">
        <w:t xml:space="preserve">The sensitivity analysis </w:t>
      </w:r>
      <w:r>
        <w:t xml:space="preserve">was </w:t>
      </w:r>
      <w:r w:rsidR="00160BAC">
        <w:t xml:space="preserve">conducted </w:t>
      </w:r>
      <w:r w:rsidR="00122CF8">
        <w:t>using ‘threshold analysis’</w:t>
      </w:r>
      <w:r w:rsidR="003B5537">
        <w:t xml:space="preserve"> (see </w:t>
      </w:r>
      <w:r w:rsidR="00492194">
        <w:fldChar w:fldCharType="begin"/>
      </w:r>
      <w:r w:rsidR="003B5537">
        <w:instrText xml:space="preserve"> REF _Ref414005273 \h </w:instrText>
      </w:r>
      <w:r w:rsidR="00492194">
        <w:fldChar w:fldCharType="separate"/>
      </w:r>
      <w:r w:rsidR="006A273E" w:rsidRPr="00D26202">
        <w:t>Box</w:t>
      </w:r>
      <w:r w:rsidR="006A273E">
        <w:t xml:space="preserve"> </w:t>
      </w:r>
      <w:r w:rsidR="006A273E">
        <w:rPr>
          <w:noProof/>
        </w:rPr>
        <w:t>3</w:t>
      </w:r>
      <w:r w:rsidR="00492194">
        <w:fldChar w:fldCharType="end"/>
      </w:r>
      <w:r w:rsidR="003B5537">
        <w:t>)</w:t>
      </w:r>
    </w:p>
    <w:p w14:paraId="640A38E7" w14:textId="77777777" w:rsidR="003B5537" w:rsidRPr="00D26202" w:rsidRDefault="003B5537" w:rsidP="003B5537">
      <w:pPr>
        <w:pStyle w:val="Caption"/>
        <w:keepLines/>
      </w:pPr>
      <w:bookmarkStart w:id="478" w:name="_Ref414005273"/>
      <w:bookmarkStart w:id="479" w:name="_Toc415660945"/>
      <w:r w:rsidRPr="00D26202">
        <w:lastRenderedPageBreak/>
        <w:t>Box</w:t>
      </w:r>
      <w:r>
        <w:t xml:space="preserve"> </w:t>
      </w:r>
      <w:r w:rsidR="00492194">
        <w:fldChar w:fldCharType="begin"/>
      </w:r>
      <w:r w:rsidR="0044208C">
        <w:instrText xml:space="preserve"> SEQ Box \* ARABIC  </w:instrText>
      </w:r>
      <w:r w:rsidR="00492194">
        <w:fldChar w:fldCharType="separate"/>
      </w:r>
      <w:r w:rsidR="006A273E">
        <w:rPr>
          <w:noProof/>
        </w:rPr>
        <w:t>3</w:t>
      </w:r>
      <w:r w:rsidR="00492194">
        <w:rPr>
          <w:noProof/>
        </w:rPr>
        <w:fldChar w:fldCharType="end"/>
      </w:r>
      <w:bookmarkEnd w:id="478"/>
      <w:r w:rsidRPr="00FB2565">
        <w:tab/>
      </w:r>
      <w:r>
        <w:rPr>
          <w:rStyle w:val="CaptionLabel"/>
        </w:rPr>
        <w:t>Threshold analysis</w:t>
      </w:r>
      <w:r w:rsidR="00612DC9">
        <w:rPr>
          <w:rStyle w:val="CaptionLabel"/>
        </w:rPr>
        <w:t xml:space="preserve"> compared with conventional sensitivity analysis</w:t>
      </w:r>
      <w:bookmarkEnd w:id="479"/>
    </w:p>
    <w:tbl>
      <w:tblPr>
        <w:tblW w:w="5000" w:type="pct"/>
        <w:tblInd w:w="57" w:type="dxa"/>
        <w:tblLayout w:type="fixed"/>
        <w:tblCellMar>
          <w:left w:w="142" w:type="dxa"/>
          <w:right w:w="142" w:type="dxa"/>
        </w:tblCellMar>
        <w:tblLook w:val="0000" w:firstRow="0" w:lastRow="0" w:firstColumn="0" w:lastColumn="0" w:noHBand="0" w:noVBand="0"/>
        <w:tblCaption w:val="Threshold analysis compared with conventional sensitivity analysis"/>
        <w:tblDescription w:val="Threshold analysis compared with conventional sensitivity analysis"/>
      </w:tblPr>
      <w:tblGrid>
        <w:gridCol w:w="7656"/>
      </w:tblGrid>
      <w:tr w:rsidR="003B5537" w:rsidRPr="00D26202" w14:paraId="688C7ED5" w14:textId="77777777">
        <w:tc>
          <w:tcPr>
            <w:tcW w:w="5000" w:type="pct"/>
            <w:shd w:val="pct12" w:color="auto" w:fill="auto"/>
          </w:tcPr>
          <w:p w14:paraId="7735DDD7" w14:textId="77777777" w:rsidR="003B5537" w:rsidRPr="00D26202" w:rsidRDefault="003B5537" w:rsidP="009C5F7D">
            <w:pPr>
              <w:pStyle w:val="SmallDeltasRightAligned"/>
              <w:keepNext/>
              <w:keepLines/>
            </w:pPr>
            <w:r w:rsidRPr="00D26202">
              <w:rPr>
                <w:noProof/>
                <w:lang w:eastAsia="en-AU"/>
              </w:rPr>
              <w:drawing>
                <wp:inline distT="0" distB="0" distL="0" distR="0" wp14:anchorId="5877AEF2" wp14:editId="6EECFDAC">
                  <wp:extent cx="481330" cy="234315"/>
                  <wp:effectExtent l="0" t="0" r="0" b="0"/>
                  <wp:docPr id="27" name="Picture 27"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158x7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330" cy="234315"/>
                          </a:xfrm>
                          <a:prstGeom prst="rect">
                            <a:avLst/>
                          </a:prstGeom>
                        </pic:spPr>
                      </pic:pic>
                    </a:graphicData>
                  </a:graphic>
                </wp:inline>
              </w:drawing>
            </w:r>
          </w:p>
        </w:tc>
      </w:tr>
      <w:tr w:rsidR="003B5537" w14:paraId="5978B127" w14:textId="77777777">
        <w:tc>
          <w:tcPr>
            <w:tcW w:w="5000" w:type="pct"/>
            <w:shd w:val="pct12" w:color="auto" w:fill="auto"/>
          </w:tcPr>
          <w:p w14:paraId="70EAA9C9" w14:textId="77777777" w:rsidR="00885C0D" w:rsidRDefault="009363D7">
            <w:pPr>
              <w:pStyle w:val="BoxText"/>
            </w:pPr>
            <w:r>
              <w:t xml:space="preserve">Threshold analysis is a type of sensitivity analysis which is used to </w:t>
            </w:r>
            <w:r w:rsidRPr="009363D7">
              <w:t xml:space="preserve">find </w:t>
            </w:r>
            <w:r>
              <w:t>conditions where the results of a CBA change from being positive (</w:t>
            </w:r>
            <w:r w:rsidR="00EC139D">
              <w:t>that is,</w:t>
            </w:r>
            <w:r w:rsidR="00CB3EC7">
              <w:t xml:space="preserve"> </w:t>
            </w:r>
            <w:r w:rsidR="00EC139D">
              <w:t xml:space="preserve">the </w:t>
            </w:r>
            <w:r>
              <w:t>policy is expected to provide a net benefit to society) to negative (</w:t>
            </w:r>
            <w:r w:rsidR="00EC139D">
              <w:t xml:space="preserve">the </w:t>
            </w:r>
            <w:r>
              <w:t xml:space="preserve">policy is expected to </w:t>
            </w:r>
            <w:r w:rsidR="00D52148">
              <w:t xml:space="preserve">incur </w:t>
            </w:r>
            <w:r>
              <w:t>a net cost to society)</w:t>
            </w:r>
            <w:r w:rsidR="00EC139D">
              <w:t xml:space="preserve">. </w:t>
            </w:r>
            <w:r w:rsidR="00885C0D">
              <w:t>It is distinguished from a conventional sensitivity analysis</w:t>
            </w:r>
            <w:r w:rsidR="00CB3EC7">
              <w:t xml:space="preserve">. </w:t>
            </w:r>
            <w:r w:rsidR="00885C0D">
              <w:t xml:space="preserve">In a conventional sensitivity </w:t>
            </w:r>
            <w:r w:rsidR="00CE6226">
              <w:t>analysis, the changes to CBA results</w:t>
            </w:r>
            <w:r w:rsidR="00B51085">
              <w:t>,</w:t>
            </w:r>
            <w:r w:rsidR="00CE6226">
              <w:t xml:space="preserve"> based on a discrete number of changes to values for uncertain factors</w:t>
            </w:r>
            <w:r w:rsidR="00B51085">
              <w:t>,</w:t>
            </w:r>
            <w:r w:rsidR="00CE6226">
              <w:t xml:space="preserve"> </w:t>
            </w:r>
            <w:r w:rsidR="00EC139D">
              <w:t>are</w:t>
            </w:r>
            <w:r w:rsidR="00CE6226">
              <w:t xml:space="preserve"> calculated</w:t>
            </w:r>
            <w:r w:rsidR="00CB3EC7">
              <w:t xml:space="preserve">. </w:t>
            </w:r>
            <w:r w:rsidR="00CE6226">
              <w:t>For example, a conventional sensitivity analysis would test</w:t>
            </w:r>
            <w:r w:rsidR="00EC139D">
              <w:t xml:space="preserve"> the following</w:t>
            </w:r>
            <w:r w:rsidR="00CE6226">
              <w:t>:</w:t>
            </w:r>
          </w:p>
          <w:p w14:paraId="7580803F" w14:textId="77777777" w:rsidR="00CE6226" w:rsidRPr="004E1D8A" w:rsidRDefault="00CE6226" w:rsidP="003F5F13">
            <w:pPr>
              <w:pStyle w:val="ListDash"/>
              <w:spacing w:before="80" w:after="40" w:line="220" w:lineRule="exact"/>
              <w:rPr>
                <w:szCs w:val="20"/>
              </w:rPr>
            </w:pPr>
            <w:r w:rsidRPr="003F5F13">
              <w:rPr>
                <w:sz w:val="20"/>
                <w:szCs w:val="20"/>
              </w:rPr>
              <w:t>What would the NPV be if energy prices were 20 per cent higher than that assumed and upgrade costs were 50 per cent lower (</w:t>
            </w:r>
            <w:r w:rsidR="00EC139D">
              <w:rPr>
                <w:sz w:val="20"/>
                <w:szCs w:val="20"/>
              </w:rPr>
              <w:t>that is,</w:t>
            </w:r>
            <w:r w:rsidR="00CB3EC7">
              <w:rPr>
                <w:sz w:val="20"/>
                <w:szCs w:val="20"/>
              </w:rPr>
              <w:t xml:space="preserve"> </w:t>
            </w:r>
            <w:r w:rsidRPr="003F5F13">
              <w:rPr>
                <w:sz w:val="20"/>
                <w:szCs w:val="20"/>
              </w:rPr>
              <w:t>the benefits of energy efficiency were higher than that assumed)?</w:t>
            </w:r>
          </w:p>
          <w:p w14:paraId="5DC4F762" w14:textId="77777777" w:rsidR="00CE6226" w:rsidRPr="004E1D8A" w:rsidRDefault="00CE6226" w:rsidP="003F5F13">
            <w:pPr>
              <w:pStyle w:val="ListDash"/>
              <w:spacing w:before="80" w:after="40" w:line="220" w:lineRule="exact"/>
              <w:rPr>
                <w:szCs w:val="20"/>
              </w:rPr>
            </w:pPr>
            <w:r w:rsidRPr="003F5F13">
              <w:rPr>
                <w:sz w:val="20"/>
                <w:szCs w:val="20"/>
              </w:rPr>
              <w:t>What would the NPV be if energy prices were 20 per cent lower and upgrade costs were 50 per cent higher?</w:t>
            </w:r>
          </w:p>
          <w:p w14:paraId="6853463D" w14:textId="77777777" w:rsidR="00CE6226" w:rsidRDefault="00612DC9">
            <w:pPr>
              <w:pStyle w:val="BoxText"/>
            </w:pPr>
            <w:r>
              <w:t>Whereas a threshold analysis asks the question:</w:t>
            </w:r>
          </w:p>
          <w:p w14:paraId="5DBA719E" w14:textId="77777777" w:rsidR="00305F64" w:rsidRPr="00531670" w:rsidRDefault="00305F64" w:rsidP="003F5F13">
            <w:pPr>
              <w:pStyle w:val="ListDash"/>
              <w:spacing w:before="80" w:after="40" w:line="220" w:lineRule="exact"/>
              <w:rPr>
                <w:sz w:val="20"/>
                <w:szCs w:val="20"/>
              </w:rPr>
            </w:pPr>
            <w:r w:rsidRPr="00305F64">
              <w:rPr>
                <w:sz w:val="20"/>
                <w:szCs w:val="20"/>
              </w:rPr>
              <w:t>What are the combinations of values for energy prices and upgrade costs where the policy is calculated as having a positive NPV?</w:t>
            </w:r>
          </w:p>
          <w:p w14:paraId="54A5A3F9" w14:textId="77777777" w:rsidR="00372E4A" w:rsidRDefault="00372E4A" w:rsidP="003F5F13">
            <w:pPr>
              <w:pStyle w:val="BoxText"/>
              <w:rPr>
                <w:szCs w:val="20"/>
              </w:rPr>
            </w:pPr>
            <w:r>
              <w:rPr>
                <w:szCs w:val="20"/>
              </w:rPr>
              <w:t xml:space="preserve">In a threshold analysis, </w:t>
            </w:r>
            <w:r w:rsidR="00305F64">
              <w:rPr>
                <w:szCs w:val="20"/>
              </w:rPr>
              <w:t>NPV</w:t>
            </w:r>
            <w:r>
              <w:rPr>
                <w:szCs w:val="20"/>
              </w:rPr>
              <w:t>s</w:t>
            </w:r>
            <w:r w:rsidR="00305F64">
              <w:rPr>
                <w:szCs w:val="20"/>
              </w:rPr>
              <w:t xml:space="preserve"> </w:t>
            </w:r>
            <w:r>
              <w:rPr>
                <w:szCs w:val="20"/>
              </w:rPr>
              <w:t xml:space="preserve">are </w:t>
            </w:r>
            <w:r w:rsidR="00305F64">
              <w:rPr>
                <w:szCs w:val="20"/>
              </w:rPr>
              <w:t xml:space="preserve">calculated for a range of possible </w:t>
            </w:r>
            <w:r>
              <w:rPr>
                <w:szCs w:val="20"/>
              </w:rPr>
              <w:t>values for uncertain variables</w:t>
            </w:r>
            <w:r w:rsidR="00CB3EC7">
              <w:rPr>
                <w:szCs w:val="20"/>
              </w:rPr>
              <w:t xml:space="preserve">. </w:t>
            </w:r>
            <w:r>
              <w:rPr>
                <w:szCs w:val="20"/>
              </w:rPr>
              <w:t>The points at which NPVs turn from negative to positive are referred to as the ‘boundary conditions’</w:t>
            </w:r>
            <w:r w:rsidR="00CB3EC7">
              <w:rPr>
                <w:szCs w:val="20"/>
              </w:rPr>
              <w:t xml:space="preserve">. </w:t>
            </w:r>
          </w:p>
          <w:p w14:paraId="71905EAC" w14:textId="77777777" w:rsidR="00372E4A" w:rsidRDefault="00372E4A" w:rsidP="003F5F13">
            <w:pPr>
              <w:pStyle w:val="BoxText"/>
              <w:rPr>
                <w:szCs w:val="20"/>
              </w:rPr>
            </w:pPr>
            <w:r>
              <w:rPr>
                <w:szCs w:val="20"/>
              </w:rPr>
              <w:t>A stylised chart for the hypothetical results of a threshold analysis of two uncertain variables (A and B) is shown below.</w:t>
            </w:r>
          </w:p>
          <w:p w14:paraId="4A8CD6CF" w14:textId="77777777" w:rsidR="00372E4A" w:rsidRDefault="00372E4A" w:rsidP="003F5F13">
            <w:pPr>
              <w:pStyle w:val="BoxText"/>
              <w:rPr>
                <w:szCs w:val="20"/>
              </w:rPr>
            </w:pPr>
            <w:r>
              <w:rPr>
                <w:szCs w:val="20"/>
              </w:rPr>
              <w:t>The chart shows:</w:t>
            </w:r>
          </w:p>
          <w:p w14:paraId="18199373" w14:textId="77777777" w:rsidR="00012051" w:rsidRDefault="00012051" w:rsidP="00372E4A">
            <w:pPr>
              <w:pStyle w:val="ListDash"/>
              <w:spacing w:before="80" w:after="40" w:line="220" w:lineRule="exact"/>
              <w:rPr>
                <w:sz w:val="20"/>
                <w:szCs w:val="20"/>
              </w:rPr>
            </w:pPr>
            <w:r>
              <w:rPr>
                <w:sz w:val="20"/>
                <w:szCs w:val="20"/>
              </w:rPr>
              <w:t>The NPV</w:t>
            </w:r>
            <w:r w:rsidR="00EC139D">
              <w:rPr>
                <w:sz w:val="20"/>
                <w:szCs w:val="20"/>
              </w:rPr>
              <w:t>s</w:t>
            </w:r>
            <w:r>
              <w:rPr>
                <w:sz w:val="20"/>
                <w:szCs w:val="20"/>
              </w:rPr>
              <w:t xml:space="preserve"> (number in each cell) for combinations of A and B</w:t>
            </w:r>
            <w:r w:rsidR="00B51085">
              <w:rPr>
                <w:sz w:val="20"/>
                <w:szCs w:val="20"/>
              </w:rPr>
              <w:t>.</w:t>
            </w:r>
            <w:r>
              <w:rPr>
                <w:sz w:val="20"/>
                <w:szCs w:val="20"/>
              </w:rPr>
              <w:t xml:space="preserve"> </w:t>
            </w:r>
          </w:p>
          <w:p w14:paraId="283A6ADC" w14:textId="77777777" w:rsidR="00372E4A" w:rsidRDefault="00372E4A" w:rsidP="00372E4A">
            <w:pPr>
              <w:pStyle w:val="ListDash"/>
              <w:spacing w:before="80" w:after="40" w:line="220" w:lineRule="exact"/>
              <w:rPr>
                <w:sz w:val="20"/>
                <w:szCs w:val="20"/>
              </w:rPr>
            </w:pPr>
            <w:r>
              <w:rPr>
                <w:sz w:val="20"/>
                <w:szCs w:val="20"/>
              </w:rPr>
              <w:t>The NPV</w:t>
            </w:r>
            <w:r w:rsidR="00EC139D">
              <w:rPr>
                <w:sz w:val="20"/>
                <w:szCs w:val="20"/>
              </w:rPr>
              <w:t>s</w:t>
            </w:r>
            <w:r>
              <w:rPr>
                <w:sz w:val="20"/>
                <w:szCs w:val="20"/>
              </w:rPr>
              <w:t xml:space="preserve"> for combinations of A and B </w:t>
            </w:r>
            <w:r w:rsidR="00EC139D">
              <w:rPr>
                <w:sz w:val="20"/>
                <w:szCs w:val="20"/>
              </w:rPr>
              <w:t xml:space="preserve">are </w:t>
            </w:r>
            <w:r w:rsidR="00012051">
              <w:rPr>
                <w:sz w:val="20"/>
                <w:szCs w:val="20"/>
              </w:rPr>
              <w:t xml:space="preserve">also </w:t>
            </w:r>
            <w:r>
              <w:rPr>
                <w:sz w:val="20"/>
                <w:szCs w:val="20"/>
              </w:rPr>
              <w:t>represented as a colour shade</w:t>
            </w:r>
            <w:r w:rsidR="00147464">
              <w:rPr>
                <w:sz w:val="20"/>
                <w:szCs w:val="20"/>
              </w:rPr>
              <w:t xml:space="preserve"> that fills each cell</w:t>
            </w:r>
            <w:r w:rsidR="00CB3EC7">
              <w:rPr>
                <w:sz w:val="20"/>
                <w:szCs w:val="20"/>
              </w:rPr>
              <w:t xml:space="preserve">. </w:t>
            </w:r>
            <w:r>
              <w:rPr>
                <w:sz w:val="20"/>
                <w:szCs w:val="20"/>
              </w:rPr>
              <w:t>Shades of blue represent a positive NPV and shades of red</w:t>
            </w:r>
            <w:r w:rsidR="00B51085">
              <w:rPr>
                <w:sz w:val="20"/>
                <w:szCs w:val="20"/>
              </w:rPr>
              <w:t>,</w:t>
            </w:r>
            <w:r>
              <w:rPr>
                <w:sz w:val="20"/>
                <w:szCs w:val="20"/>
              </w:rPr>
              <w:t xml:space="preserve"> a negative NPV</w:t>
            </w:r>
            <w:r w:rsidR="00CB3EC7">
              <w:rPr>
                <w:sz w:val="20"/>
                <w:szCs w:val="20"/>
              </w:rPr>
              <w:t xml:space="preserve">. </w:t>
            </w:r>
            <w:r>
              <w:rPr>
                <w:sz w:val="20"/>
                <w:szCs w:val="20"/>
              </w:rPr>
              <w:t>The stronger the shades the more positive or negative the NPV.</w:t>
            </w:r>
          </w:p>
          <w:p w14:paraId="642249B8" w14:textId="77777777" w:rsidR="00372E4A" w:rsidRDefault="00372E4A" w:rsidP="00372E4A">
            <w:pPr>
              <w:pStyle w:val="ListDash"/>
              <w:spacing w:before="80" w:after="40" w:line="220" w:lineRule="exact"/>
              <w:rPr>
                <w:sz w:val="20"/>
                <w:szCs w:val="20"/>
              </w:rPr>
            </w:pPr>
            <w:r>
              <w:rPr>
                <w:sz w:val="20"/>
                <w:szCs w:val="20"/>
              </w:rPr>
              <w:t xml:space="preserve">That the NPV increases </w:t>
            </w:r>
            <w:r w:rsidR="00012051">
              <w:rPr>
                <w:sz w:val="20"/>
                <w:szCs w:val="20"/>
              </w:rPr>
              <w:t>as A and B increase</w:t>
            </w:r>
            <w:r w:rsidR="00147464">
              <w:rPr>
                <w:sz w:val="20"/>
                <w:szCs w:val="20"/>
              </w:rPr>
              <w:t>.</w:t>
            </w:r>
          </w:p>
          <w:p w14:paraId="127302D8" w14:textId="77777777" w:rsidR="00012051" w:rsidRDefault="00147464" w:rsidP="00372E4A">
            <w:pPr>
              <w:pStyle w:val="ListDash"/>
              <w:spacing w:before="80" w:after="40" w:line="220" w:lineRule="exact"/>
              <w:rPr>
                <w:sz w:val="20"/>
                <w:szCs w:val="20"/>
              </w:rPr>
            </w:pPr>
            <w:r>
              <w:rPr>
                <w:sz w:val="20"/>
                <w:szCs w:val="20"/>
              </w:rPr>
              <w:t>The ‘threshold’ or ‘boundary conditions’ as the white cells (the combinations of values of A and B around which the NPV switches from positive to negative).</w:t>
            </w:r>
          </w:p>
          <w:p w14:paraId="6140DAA1" w14:textId="77777777" w:rsidR="00DE380A" w:rsidRDefault="00DE380A">
            <w:pPr>
              <w:pStyle w:val="Caption"/>
            </w:pPr>
            <w:bookmarkStart w:id="480" w:name="_Toc415660964"/>
            <w:r>
              <w:t xml:space="preserve">Figure </w:t>
            </w:r>
            <w:r w:rsidR="00492194">
              <w:fldChar w:fldCharType="begin"/>
            </w:r>
            <w:r w:rsidR="0044208C">
              <w:instrText xml:space="preserve"> SEQ Figure \* ARABIC </w:instrText>
            </w:r>
            <w:r w:rsidR="00492194">
              <w:fldChar w:fldCharType="separate"/>
            </w:r>
            <w:r w:rsidR="006A273E">
              <w:rPr>
                <w:noProof/>
              </w:rPr>
              <w:t>19</w:t>
            </w:r>
            <w:r w:rsidR="00492194">
              <w:rPr>
                <w:noProof/>
              </w:rPr>
              <w:fldChar w:fldCharType="end"/>
            </w:r>
            <w:r w:rsidRPr="004E0C91">
              <w:rPr>
                <w:b/>
                <w:color w:val="000080"/>
              </w:rPr>
              <w:tab/>
            </w:r>
            <w:r w:rsidR="003805E6">
              <w:rPr>
                <w:rStyle w:val="CaptionLabel"/>
              </w:rPr>
              <w:t>Example results of a threshold analysis</w:t>
            </w:r>
            <w:bookmarkEnd w:id="480"/>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DE380A" w14:paraId="59BD6A73" w14:textId="77777777">
              <w:trPr>
                <w:cantSplit/>
              </w:trPr>
              <w:tc>
                <w:tcPr>
                  <w:tcW w:w="5000" w:type="pct"/>
                </w:tcPr>
                <w:p w14:paraId="10103B3E" w14:textId="77777777" w:rsidR="00DE380A" w:rsidRDefault="00DE380A" w:rsidP="009C5F7D">
                  <w:pPr>
                    <w:pStyle w:val="SmallDeltasRightAligned"/>
                    <w:keepNext/>
                  </w:pPr>
                  <w:r>
                    <w:rPr>
                      <w:noProof/>
                      <w:lang w:eastAsia="en-AU"/>
                    </w:rPr>
                    <w:drawing>
                      <wp:inline distT="0" distB="0" distL="0" distR="0" wp14:anchorId="68C88FC7" wp14:editId="08C2440A">
                        <wp:extent cx="481585" cy="234696"/>
                        <wp:effectExtent l="0" t="0" r="0" b="0"/>
                        <wp:docPr id="39" name="Picture 39"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DE380A" w14:paraId="52AE1197" w14:textId="77777777">
              <w:trPr>
                <w:cantSplit/>
              </w:trPr>
              <w:tc>
                <w:tcPr>
                  <w:tcW w:w="5000" w:type="pct"/>
                </w:tcPr>
                <w:p w14:paraId="52A9AF11" w14:textId="77777777" w:rsidR="00DE380A" w:rsidRDefault="00DE380A" w:rsidP="009C5F7D">
                  <w:pPr>
                    <w:pStyle w:val="Figure"/>
                  </w:pPr>
                  <w:r w:rsidRPr="00DE380A">
                    <w:rPr>
                      <w:noProof/>
                      <w:lang w:eastAsia="en-AU"/>
                    </w:rPr>
                    <w:drawing>
                      <wp:inline distT="0" distB="0" distL="0" distR="0" wp14:anchorId="57D51C23" wp14:editId="4EC855DB">
                        <wp:extent cx="4174490" cy="2298065"/>
                        <wp:effectExtent l="0" t="0" r="0" b="6985"/>
                        <wp:docPr id="49" name="Picture 49" descr="Example results of a threshold analysis" title="Example results of a threshol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74490" cy="2298065"/>
                                </a:xfrm>
                                <a:prstGeom prst="rect">
                                  <a:avLst/>
                                </a:prstGeom>
                                <a:noFill/>
                                <a:ln>
                                  <a:noFill/>
                                </a:ln>
                              </pic:spPr>
                            </pic:pic>
                          </a:graphicData>
                        </a:graphic>
                      </wp:inline>
                    </w:drawing>
                  </w:r>
                </w:p>
              </w:tc>
            </w:tr>
          </w:tbl>
          <w:p w14:paraId="7AE5B5B4" w14:textId="77777777" w:rsidR="003B5537" w:rsidRPr="00F3152C" w:rsidRDefault="003B5537">
            <w:pPr>
              <w:pStyle w:val="BoxText"/>
            </w:pPr>
          </w:p>
        </w:tc>
      </w:tr>
    </w:tbl>
    <w:p w14:paraId="0630FB44" w14:textId="0B10AB6F" w:rsidR="003B5537" w:rsidRDefault="003B5537" w:rsidP="003B5537">
      <w:pPr>
        <w:pStyle w:val="Source"/>
        <w:keepLines/>
      </w:pPr>
      <w:r w:rsidRPr="00071B29">
        <w:t>Source:</w:t>
      </w:r>
      <w:r w:rsidRPr="00FB2565">
        <w:t xml:space="preserve">  </w:t>
      </w:r>
      <w:r>
        <w:t>ACIL Allen</w:t>
      </w:r>
    </w:p>
    <w:p w14:paraId="202407DE" w14:textId="77777777" w:rsidR="003B5537" w:rsidRDefault="00365608" w:rsidP="00122CF8">
      <w:pPr>
        <w:pStyle w:val="BodyText"/>
      </w:pPr>
      <w:r>
        <w:t>The threshold analysis for this CBA was conducted by fixing some of the assumptions (referred to as base settings) and varying the two selected assumptions (t</w:t>
      </w:r>
      <w:r w:rsidRPr="00365608">
        <w:t xml:space="preserve">he economic value of energy efficiency improvements and the star increase in performance for the 1st quartile of mandatory </w:t>
      </w:r>
      <w:proofErr w:type="spellStart"/>
      <w:r w:rsidRPr="00365608">
        <w:t>raters</w:t>
      </w:r>
      <w:proofErr w:type="spellEnd"/>
      <w:r w:rsidRPr="00365608">
        <w:t xml:space="preserve"> prior to first rating</w:t>
      </w:r>
      <w:r>
        <w:t xml:space="preserve">) to </w:t>
      </w:r>
      <w:r w:rsidR="00EC139D">
        <w:t>examine</w:t>
      </w:r>
      <w:r>
        <w:t xml:space="preserve"> the impact that this has on </w:t>
      </w:r>
      <w:r w:rsidR="00EC139D">
        <w:t xml:space="preserve">the </w:t>
      </w:r>
      <w:r>
        <w:t>NPV</w:t>
      </w:r>
      <w:r w:rsidR="00EC139D">
        <w:t xml:space="preserve"> of the program</w:t>
      </w:r>
      <w:r>
        <w:t>.</w:t>
      </w:r>
    </w:p>
    <w:p w14:paraId="214E90EA" w14:textId="77777777" w:rsidR="00122CF8" w:rsidRDefault="00365608" w:rsidP="00122CF8">
      <w:pPr>
        <w:pStyle w:val="BodyText"/>
      </w:pPr>
      <w:r>
        <w:lastRenderedPageBreak/>
        <w:t>The base settings</w:t>
      </w:r>
      <w:r w:rsidR="00122CF8">
        <w:t>:</w:t>
      </w:r>
    </w:p>
    <w:p w14:paraId="5E1A1C80" w14:textId="77777777" w:rsidR="00122CF8" w:rsidRDefault="00365608" w:rsidP="00122CF8">
      <w:pPr>
        <w:pStyle w:val="ListDash"/>
      </w:pPr>
      <w:r>
        <w:t xml:space="preserve">assume </w:t>
      </w:r>
      <w:r w:rsidR="00122CF8">
        <w:t>that 100</w:t>
      </w:r>
      <w:r w:rsidR="007D070D">
        <w:t xml:space="preserve"> per cent</w:t>
      </w:r>
      <w:r w:rsidR="00122CF8">
        <w:t xml:space="preserve"> of the improvements in the 4</w:t>
      </w:r>
      <w:r w:rsidR="00122CF8" w:rsidRPr="00487E6D">
        <w:rPr>
          <w:vertAlign w:val="superscript"/>
        </w:rPr>
        <w:t>th</w:t>
      </w:r>
      <w:r w:rsidR="00122CF8">
        <w:t xml:space="preserve"> quartile of mandatory </w:t>
      </w:r>
      <w:proofErr w:type="spellStart"/>
      <w:r w:rsidR="00122CF8">
        <w:t>raters</w:t>
      </w:r>
      <w:proofErr w:type="spellEnd"/>
      <w:r w:rsidR="00122CF8">
        <w:t xml:space="preserve"> is attributable to the CBD program (consistent with both the l</w:t>
      </w:r>
      <w:r w:rsidR="00AE67EF">
        <w:t>ower bound and realistic cases)</w:t>
      </w:r>
    </w:p>
    <w:p w14:paraId="2AC43CE2" w14:textId="77777777" w:rsidR="00122CF8" w:rsidRDefault="00365608" w:rsidP="00122CF8">
      <w:pPr>
        <w:pStyle w:val="ListDash"/>
      </w:pPr>
      <w:r>
        <w:t xml:space="preserve">assume </w:t>
      </w:r>
      <w:r w:rsidR="00122CF8">
        <w:t>that GHG reductions have an economic value of $23/t</w:t>
      </w:r>
      <w:r w:rsidR="006D6D81">
        <w:t>CO</w:t>
      </w:r>
      <w:r w:rsidR="006D6D81" w:rsidRPr="0024777E">
        <w:rPr>
          <w:vertAlign w:val="subscript"/>
        </w:rPr>
        <w:t>2</w:t>
      </w:r>
      <w:r w:rsidR="006D6D81" w:rsidRPr="006D6D81">
        <w:rPr>
          <w:vertAlign w:val="subscript"/>
        </w:rPr>
        <w:t>e</w:t>
      </w:r>
      <w:r w:rsidR="00122CF8">
        <w:t xml:space="preserve"> </w:t>
      </w:r>
    </w:p>
    <w:p w14:paraId="45607089" w14:textId="77777777" w:rsidR="00122CF8" w:rsidRDefault="00365608" w:rsidP="00122CF8">
      <w:pPr>
        <w:pStyle w:val="ListDash"/>
      </w:pPr>
      <w:r>
        <w:t xml:space="preserve">assume </w:t>
      </w:r>
      <w:r w:rsidR="00122CF8">
        <w:t>that none of the improvements in 2</w:t>
      </w:r>
      <w:r w:rsidR="00122CF8" w:rsidRPr="00487E6D">
        <w:rPr>
          <w:vertAlign w:val="superscript"/>
        </w:rPr>
        <w:t>nd</w:t>
      </w:r>
      <w:r w:rsidR="00122CF8">
        <w:t xml:space="preserve"> and 3</w:t>
      </w:r>
      <w:r w:rsidR="00122CF8" w:rsidRPr="00487E6D">
        <w:rPr>
          <w:vertAlign w:val="superscript"/>
        </w:rPr>
        <w:t>rd</w:t>
      </w:r>
      <w:r w:rsidR="00122CF8">
        <w:t xml:space="preserve"> quartiles of mandatory </w:t>
      </w:r>
      <w:proofErr w:type="spellStart"/>
      <w:r w:rsidR="00122CF8">
        <w:t>raters</w:t>
      </w:r>
      <w:proofErr w:type="spellEnd"/>
      <w:r w:rsidR="00122CF8">
        <w:t xml:space="preserve"> is attributable to the CBD program (consistent </w:t>
      </w:r>
      <w:r w:rsidR="00AE67EF">
        <w:t>with the lower bound cases)</w:t>
      </w:r>
    </w:p>
    <w:p w14:paraId="1FCA07B8" w14:textId="77777777" w:rsidR="00122CF8" w:rsidRDefault="00365608" w:rsidP="00122CF8">
      <w:pPr>
        <w:pStyle w:val="ListDash"/>
      </w:pPr>
      <w:r>
        <w:t xml:space="preserve">exclude </w:t>
      </w:r>
      <w:r w:rsidR="00122CF8">
        <w:t>any consideration of potential productivity benefits.</w:t>
      </w:r>
    </w:p>
    <w:p w14:paraId="2496F06B" w14:textId="77777777" w:rsidR="00122CF8" w:rsidRDefault="00122CF8" w:rsidP="00122CF8">
      <w:pPr>
        <w:pStyle w:val="BodyText"/>
      </w:pPr>
      <w:r>
        <w:t xml:space="preserve">These base settings, which are intentionally </w:t>
      </w:r>
      <w:r w:rsidR="00AE67EF">
        <w:t>chosen</w:t>
      </w:r>
      <w:r>
        <w:t xml:space="preserve"> to be conservative, are fixed for all sensitivities, whereas:</w:t>
      </w:r>
    </w:p>
    <w:p w14:paraId="4D91F2CA" w14:textId="77777777" w:rsidR="00122CF8" w:rsidRDefault="00AE67EF" w:rsidP="00122CF8">
      <w:pPr>
        <w:pStyle w:val="ListDash"/>
      </w:pPr>
      <w:r>
        <w:t>t</w:t>
      </w:r>
      <w:r w:rsidR="00122CF8">
        <w:t xml:space="preserve">he net benefit of energy efficiency is varied between </w:t>
      </w:r>
      <w:r>
        <w:t>one per cent</w:t>
      </w:r>
      <w:r w:rsidR="00122CF8">
        <w:t xml:space="preserve"> and 100</w:t>
      </w:r>
      <w:r>
        <w:t xml:space="preserve"> per cent</w:t>
      </w:r>
      <w:r w:rsidR="00122CF8">
        <w:t xml:space="preserve"> of the base assumption</w:t>
      </w:r>
    </w:p>
    <w:p w14:paraId="731C18E1" w14:textId="77777777" w:rsidR="00122CF8" w:rsidRDefault="00AE67EF" w:rsidP="00122CF8">
      <w:pPr>
        <w:pStyle w:val="ListDash"/>
      </w:pPr>
      <w:r>
        <w:t>t</w:t>
      </w:r>
      <w:r w:rsidR="00122CF8">
        <w:t xml:space="preserve">he average </w:t>
      </w:r>
      <w:r>
        <w:t xml:space="preserve">NABERS </w:t>
      </w:r>
      <w:r w:rsidR="00122CF8">
        <w:t>star increase for the 1</w:t>
      </w:r>
      <w:r w:rsidR="00122CF8" w:rsidRPr="00487E6D">
        <w:rPr>
          <w:vertAlign w:val="superscript"/>
        </w:rPr>
        <w:t>st</w:t>
      </w:r>
      <w:r w:rsidR="00122CF8">
        <w:t xml:space="preserve"> quartile of mandatory </w:t>
      </w:r>
      <w:proofErr w:type="spellStart"/>
      <w:r w:rsidR="00122CF8">
        <w:t>raters</w:t>
      </w:r>
      <w:proofErr w:type="spellEnd"/>
      <w:r w:rsidR="00BD41EB">
        <w:t xml:space="preserve"> prior to first rating</w:t>
      </w:r>
      <w:r w:rsidR="00122CF8">
        <w:t xml:space="preserve"> is varied from </w:t>
      </w:r>
      <w:r w:rsidR="00EC139D">
        <w:t xml:space="preserve">zero </w:t>
      </w:r>
      <w:r w:rsidR="00122CF8">
        <w:t>stars (consistent with the lower bound case) to 2.5 stars, in 0.25 star increments.</w:t>
      </w:r>
    </w:p>
    <w:p w14:paraId="17F3665A" w14:textId="77777777" w:rsidR="00172A99" w:rsidRDefault="00172A99" w:rsidP="00172A99">
      <w:pPr>
        <w:pStyle w:val="BodyText"/>
      </w:pPr>
      <w:r>
        <w:t>The base assumption on the net benefits of energy efficiency is that improvements in the base building energy performance of buildings in the 4</w:t>
      </w:r>
      <w:r w:rsidRPr="00487E6D">
        <w:rPr>
          <w:vertAlign w:val="superscript"/>
        </w:rPr>
        <w:t>th</w:t>
      </w:r>
      <w:r>
        <w:t xml:space="preserve"> quartile of mandatory </w:t>
      </w:r>
      <w:proofErr w:type="spellStart"/>
      <w:r>
        <w:t>raters</w:t>
      </w:r>
      <w:proofErr w:type="spellEnd"/>
      <w:r>
        <w:t xml:space="preserve"> delivered an average economic benefit of $63.4 per </w:t>
      </w:r>
      <w:r w:rsidR="0012349F" w:rsidRPr="00836ACA">
        <w:t>tCO</w:t>
      </w:r>
      <w:r w:rsidR="0012349F" w:rsidRPr="00860430">
        <w:rPr>
          <w:vertAlign w:val="subscript"/>
        </w:rPr>
        <w:t>2</w:t>
      </w:r>
      <w:r w:rsidR="0012349F">
        <w:t>-e</w:t>
      </w:r>
      <w:r>
        <w:t xml:space="preserve"> abated</w:t>
      </w:r>
      <w:r w:rsidR="00CB3EC7">
        <w:t xml:space="preserve">. </w:t>
      </w:r>
      <w:r>
        <w:t>Assuming the net benefit is 50 per cent of that under the base assumptions thus implies an assumed value of $31.7 per tCO</w:t>
      </w:r>
      <w:r w:rsidRPr="0024777E">
        <w:rPr>
          <w:vertAlign w:val="subscript"/>
        </w:rPr>
        <w:t>2</w:t>
      </w:r>
      <w:r w:rsidRPr="00C6751E">
        <w:rPr>
          <w:vertAlign w:val="subscript"/>
        </w:rPr>
        <w:t>e</w:t>
      </w:r>
      <w:r>
        <w:t xml:space="preserve"> abated.</w:t>
      </w:r>
    </w:p>
    <w:p w14:paraId="6FAA52D9" w14:textId="77777777" w:rsidR="00122CF8" w:rsidRDefault="00122CF8" w:rsidP="00721577">
      <w:pPr>
        <w:pStyle w:val="BodyText"/>
      </w:pPr>
      <w:r>
        <w:t xml:space="preserve">The results of this threshold analysis are shown in </w:t>
      </w:r>
      <w:r w:rsidR="003346C7">
        <w:fldChar w:fldCharType="begin"/>
      </w:r>
      <w:r w:rsidR="003346C7">
        <w:instrText xml:space="preserve"> REF _Ref408394386 \h  \* MERGEFORMAT </w:instrText>
      </w:r>
      <w:r w:rsidR="003346C7">
        <w:fldChar w:fldCharType="separate"/>
      </w:r>
      <w:r w:rsidR="006A273E">
        <w:t xml:space="preserve">Figure </w:t>
      </w:r>
      <w:r w:rsidR="006A273E">
        <w:rPr>
          <w:noProof/>
        </w:rPr>
        <w:t>20</w:t>
      </w:r>
      <w:r w:rsidR="003346C7">
        <w:fldChar w:fldCharType="end"/>
      </w:r>
      <w:r w:rsidR="00CB3EC7">
        <w:t xml:space="preserve">. </w:t>
      </w:r>
    </w:p>
    <w:p w14:paraId="74394BF6" w14:textId="77777777" w:rsidR="00460D29" w:rsidRDefault="00460D29" w:rsidP="00460D29">
      <w:pPr>
        <w:pStyle w:val="BodyText"/>
      </w:pPr>
      <w:r>
        <w:t>The results are interpreted as follows:</w:t>
      </w:r>
    </w:p>
    <w:p w14:paraId="55240365" w14:textId="77777777" w:rsidR="00460D29" w:rsidRDefault="00460D29" w:rsidP="00460D29">
      <w:pPr>
        <w:pStyle w:val="ListDash"/>
      </w:pPr>
      <w:r>
        <w:t>If no improvements in 1</w:t>
      </w:r>
      <w:r w:rsidRPr="00487E6D">
        <w:rPr>
          <w:vertAlign w:val="superscript"/>
        </w:rPr>
        <w:t>st</w:t>
      </w:r>
      <w:r>
        <w:t xml:space="preserve"> quartile mandatory </w:t>
      </w:r>
      <w:proofErr w:type="spellStart"/>
      <w:r>
        <w:t>raters</w:t>
      </w:r>
      <w:proofErr w:type="spellEnd"/>
      <w:r>
        <w:t xml:space="preserve"> is assumed, the net benefits of energy efficiency improvements need to be at least 33</w:t>
      </w:r>
      <w:r w:rsidRPr="00126398">
        <w:t xml:space="preserve"> per cent</w:t>
      </w:r>
      <w:r>
        <w:t xml:space="preserve"> of the base assumption for the CBD program to have delivered a positive NPV.</w:t>
      </w:r>
    </w:p>
    <w:p w14:paraId="61A30A3D" w14:textId="0A0CE9E1" w:rsidR="00460D29" w:rsidRDefault="00460D29" w:rsidP="00460D29">
      <w:pPr>
        <w:pStyle w:val="ListDash"/>
      </w:pPr>
      <w:r>
        <w:t>The CBD program is expected to have delivered benefits even if the net benefits of energy efficiency are one per cent of the base assumption</w:t>
      </w:r>
      <w:r w:rsidR="003E314A">
        <w:t>,</w:t>
      </w:r>
      <w:r>
        <w:t xml:space="preserve"> so long as there is an assumed average performance increase of </w:t>
      </w:r>
      <w:r w:rsidR="007947A6">
        <w:t>one</w:t>
      </w:r>
      <w:r>
        <w:t xml:space="preserve"> star for the mandatory 1</w:t>
      </w:r>
      <w:r w:rsidRPr="00487E6D">
        <w:rPr>
          <w:vertAlign w:val="superscript"/>
        </w:rPr>
        <w:t>st</w:t>
      </w:r>
      <w:r>
        <w:t xml:space="preserve"> quartile attributable to the CBD program.</w:t>
      </w:r>
    </w:p>
    <w:p w14:paraId="46CCAA1D" w14:textId="77777777" w:rsidR="00460D29" w:rsidRDefault="00460D29" w:rsidP="00460D29">
      <w:pPr>
        <w:pStyle w:val="BodyText"/>
      </w:pPr>
      <w:r>
        <w:t>In interpreting these results, it should be considered that (as stated above) the assumed economic value of GHG reductions is held assumed at $23/t</w:t>
      </w:r>
      <w:r w:rsidRPr="00836ACA">
        <w:t>CO</w:t>
      </w:r>
      <w:r w:rsidRPr="00860430">
        <w:rPr>
          <w:vertAlign w:val="subscript"/>
        </w:rPr>
        <w:t>2</w:t>
      </w:r>
      <w:r>
        <w:t xml:space="preserve">-e across all sensitivities, while the value of energy efficiency benefits is varied according to each sensitivity. </w:t>
      </w:r>
    </w:p>
    <w:p w14:paraId="34A70037" w14:textId="77777777" w:rsidR="00460D29" w:rsidRDefault="00460D29" w:rsidP="00721577">
      <w:pPr>
        <w:pStyle w:val="BodyText"/>
      </w:pPr>
      <w:r>
        <w:t xml:space="preserve">While uncertain, the actual values for the sensitivity variables are expected to be much higher than the threshold values calculated above. Combined with the conservative base settings for the remaining CBA assumptions, the sensitivity test reinforces the conclusion that </w:t>
      </w:r>
      <w:r w:rsidR="00982819">
        <w:t xml:space="preserve">the </w:t>
      </w:r>
      <w:r>
        <w:t>CBD program has delivered substantial net economic benefits with a very high degree of certainty.</w:t>
      </w:r>
    </w:p>
    <w:p w14:paraId="05C0041E" w14:textId="77777777" w:rsidR="00122CF8" w:rsidRDefault="00122CF8" w:rsidP="00122CF8">
      <w:pPr>
        <w:pStyle w:val="Caption"/>
      </w:pPr>
      <w:bookmarkStart w:id="481" w:name="_Ref408394386"/>
      <w:bookmarkStart w:id="482" w:name="_Toc415660965"/>
      <w:r>
        <w:lastRenderedPageBreak/>
        <w:t xml:space="preserve">Figure </w:t>
      </w:r>
      <w:r w:rsidR="00492194">
        <w:fldChar w:fldCharType="begin"/>
      </w:r>
      <w:r w:rsidR="0044208C">
        <w:instrText xml:space="preserve"> SEQ Figure \* ARABIC </w:instrText>
      </w:r>
      <w:r w:rsidR="00492194">
        <w:fldChar w:fldCharType="separate"/>
      </w:r>
      <w:r w:rsidR="006A273E">
        <w:rPr>
          <w:noProof/>
        </w:rPr>
        <w:t>20</w:t>
      </w:r>
      <w:r w:rsidR="00492194">
        <w:rPr>
          <w:noProof/>
        </w:rPr>
        <w:fldChar w:fldCharType="end"/>
      </w:r>
      <w:bookmarkEnd w:id="481"/>
      <w:r w:rsidRPr="004E0C91">
        <w:rPr>
          <w:b/>
          <w:color w:val="000080"/>
        </w:rPr>
        <w:tab/>
      </w:r>
      <w:r>
        <w:rPr>
          <w:rStyle w:val="CaptionLabel"/>
        </w:rPr>
        <w:t>Threshold analysis for benefit of CBD program to date ($m NPV)</w:t>
      </w:r>
      <w:bookmarkEnd w:id="482"/>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122CF8" w14:paraId="40948183" w14:textId="77777777">
        <w:trPr>
          <w:cantSplit/>
        </w:trPr>
        <w:tc>
          <w:tcPr>
            <w:tcW w:w="5000" w:type="pct"/>
          </w:tcPr>
          <w:p w14:paraId="326AA6FA" w14:textId="77777777" w:rsidR="00122CF8" w:rsidRDefault="00122CF8" w:rsidP="00594865">
            <w:pPr>
              <w:pStyle w:val="SmallDeltasRightAligned"/>
              <w:keepNext/>
            </w:pPr>
            <w:r>
              <w:rPr>
                <w:noProof/>
                <w:lang w:eastAsia="en-AU"/>
              </w:rPr>
              <w:drawing>
                <wp:inline distT="0" distB="0" distL="0" distR="0" wp14:anchorId="516EBFCF" wp14:editId="140E08C5">
                  <wp:extent cx="481585" cy="234696"/>
                  <wp:effectExtent l="0" t="0" r="0" b="0"/>
                  <wp:docPr id="24" name="Picture 24"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122CF8" w14:paraId="5FBFFD18" w14:textId="77777777">
        <w:trPr>
          <w:cantSplit/>
        </w:trPr>
        <w:tc>
          <w:tcPr>
            <w:tcW w:w="5000" w:type="pct"/>
          </w:tcPr>
          <w:p w14:paraId="1C395D60" w14:textId="7BBAED6E" w:rsidR="00122CF8" w:rsidRDefault="008075DB" w:rsidP="00594865">
            <w:pPr>
              <w:pStyle w:val="Figure"/>
            </w:pPr>
            <w:r>
              <w:rPr>
                <w:noProof/>
                <w:lang w:eastAsia="en-AU"/>
              </w:rPr>
              <w:drawing>
                <wp:inline distT="0" distB="0" distL="0" distR="0" wp14:anchorId="4D338F65" wp14:editId="0B336BE5">
                  <wp:extent cx="4532383" cy="7943353"/>
                  <wp:effectExtent l="0" t="0" r="1905" b="635"/>
                  <wp:docPr id="143" name="Picture 143" descr="Figure 20 Threshold analysis for benefit of CBD program to date ($m NPV)" title="Figure 20 Threshold analysis for benefit of CBD program to date ($m N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0 (fixed red oval).jpg"/>
                          <pic:cNvPicPr/>
                        </pic:nvPicPr>
                        <pic:blipFill>
                          <a:blip r:embed="rId51">
                            <a:extLst>
                              <a:ext uri="{28A0092B-C50C-407E-A947-70E740481C1C}">
                                <a14:useLocalDpi xmlns:a14="http://schemas.microsoft.com/office/drawing/2010/main" val="0"/>
                              </a:ext>
                            </a:extLst>
                          </a:blip>
                          <a:stretch>
                            <a:fillRect/>
                          </a:stretch>
                        </pic:blipFill>
                        <pic:spPr>
                          <a:xfrm>
                            <a:off x="0" y="0"/>
                            <a:ext cx="4533403" cy="7945141"/>
                          </a:xfrm>
                          <a:prstGeom prst="rect">
                            <a:avLst/>
                          </a:prstGeom>
                        </pic:spPr>
                      </pic:pic>
                    </a:graphicData>
                  </a:graphic>
                </wp:inline>
              </w:drawing>
            </w:r>
          </w:p>
        </w:tc>
      </w:tr>
    </w:tbl>
    <w:p w14:paraId="635D7E06" w14:textId="77777777" w:rsidR="007C2F31" w:rsidRDefault="007C2F31" w:rsidP="00122CF8">
      <w:pPr>
        <w:pStyle w:val="Source"/>
        <w:rPr>
          <w:i/>
        </w:rPr>
      </w:pPr>
      <w:r>
        <w:rPr>
          <w:i/>
        </w:rPr>
        <w:t>Note:</w:t>
      </w:r>
      <w:r w:rsidRPr="00487E6D">
        <w:rPr>
          <w:i/>
        </w:rPr>
        <w:t xml:space="preserve"> Red shading with grey text indicates a negative NPV, blue shading with black text indicates a positive NPV and brighter shading indicates relatively higher magnitude of NPV</w:t>
      </w:r>
      <w:r w:rsidR="00CB3EC7">
        <w:rPr>
          <w:i/>
        </w:rPr>
        <w:t xml:space="preserve">. </w:t>
      </w:r>
      <w:r w:rsidR="00473A38">
        <w:rPr>
          <w:i/>
        </w:rPr>
        <w:t xml:space="preserve">Red circle ($44m) indicates </w:t>
      </w:r>
      <w:r w:rsidR="00EC139D">
        <w:rPr>
          <w:i/>
        </w:rPr>
        <w:t xml:space="preserve">the combination of parameter values used in the </w:t>
      </w:r>
      <w:r w:rsidR="00473A38">
        <w:rPr>
          <w:i/>
        </w:rPr>
        <w:t xml:space="preserve">central </w:t>
      </w:r>
      <w:r w:rsidR="00EC139D">
        <w:rPr>
          <w:i/>
        </w:rPr>
        <w:t>analysis</w:t>
      </w:r>
      <w:r w:rsidR="00473A38">
        <w:rPr>
          <w:i/>
        </w:rPr>
        <w:t>.</w:t>
      </w:r>
    </w:p>
    <w:p w14:paraId="14B89322" w14:textId="77777777" w:rsidR="007C2F31" w:rsidRPr="00B85543" w:rsidRDefault="007C2F31" w:rsidP="00F71862">
      <w:pPr>
        <w:pStyle w:val="Source"/>
      </w:pPr>
      <w:r>
        <w:t>Source</w:t>
      </w:r>
      <w:r w:rsidRPr="00B85543">
        <w:t xml:space="preserve">: </w:t>
      </w:r>
      <w:r>
        <w:t>ACIL Allen</w:t>
      </w:r>
    </w:p>
    <w:p w14:paraId="07F148DC" w14:textId="77777777" w:rsidR="00122CF8" w:rsidRDefault="00122CF8" w:rsidP="00122CF8">
      <w:pPr>
        <w:pStyle w:val="Source"/>
        <w:rPr>
          <w:i/>
        </w:rPr>
      </w:pPr>
    </w:p>
    <w:p w14:paraId="4E84DAAA" w14:textId="77777777" w:rsidR="00122CF8" w:rsidRDefault="00122CF8" w:rsidP="00122CF8">
      <w:pPr>
        <w:pStyle w:val="Heading2"/>
      </w:pPr>
      <w:bookmarkStart w:id="483" w:name="_Ref409627480"/>
      <w:bookmarkStart w:id="484" w:name="_Toc415660882"/>
      <w:r>
        <w:lastRenderedPageBreak/>
        <w:t>Distributional impacts of the program to date</w:t>
      </w:r>
      <w:bookmarkEnd w:id="483"/>
      <w:bookmarkEnd w:id="484"/>
    </w:p>
    <w:p w14:paraId="59C5952E" w14:textId="77777777" w:rsidR="00717928" w:rsidRDefault="00717928" w:rsidP="00A90AF4">
      <w:pPr>
        <w:pStyle w:val="Heading3"/>
      </w:pPr>
      <w:bookmarkStart w:id="485" w:name="_Toc415660883"/>
      <w:r>
        <w:t>Green premium</w:t>
      </w:r>
      <w:bookmarkEnd w:id="485"/>
    </w:p>
    <w:p w14:paraId="0BF8F55C" w14:textId="77777777" w:rsidR="00CE6686" w:rsidRDefault="00CE6686" w:rsidP="00017F00">
      <w:pPr>
        <w:pStyle w:val="BodyText"/>
      </w:pPr>
      <w:r>
        <w:t>Since 2008, there has been an expanding body of research is the US investigating whether more energy efficient buildings command a “green premium” in terms of higher rental and sale prices compared with less energy efficient ones</w:t>
      </w:r>
      <w:r w:rsidR="00CB3EC7">
        <w:t xml:space="preserve">. </w:t>
      </w:r>
      <w:r w:rsidR="00017F00">
        <w:t xml:space="preserve">(See, for example, </w:t>
      </w:r>
      <w:r w:rsidR="00017F00" w:rsidRPr="00C5138C">
        <w:t xml:space="preserve">Miller et al., 2008; </w:t>
      </w:r>
      <w:proofErr w:type="spellStart"/>
      <w:r w:rsidR="00017F00" w:rsidRPr="00C5138C">
        <w:t>Eichholtz</w:t>
      </w:r>
      <w:proofErr w:type="spellEnd"/>
      <w:r w:rsidR="00017F00" w:rsidRPr="00C5138C">
        <w:t xml:space="preserve"> et al., 2010; </w:t>
      </w:r>
      <w:proofErr w:type="spellStart"/>
      <w:r w:rsidR="00017F00" w:rsidRPr="00C5138C">
        <w:t>Pivo</w:t>
      </w:r>
      <w:proofErr w:type="spellEnd"/>
      <w:r w:rsidR="00017F00" w:rsidRPr="00C5138C">
        <w:t xml:space="preserve"> and Fisher, 2010; Wiley et al., 2010; </w:t>
      </w:r>
      <w:proofErr w:type="spellStart"/>
      <w:r w:rsidR="00017F00" w:rsidRPr="00C5138C">
        <w:t>Fuerst</w:t>
      </w:r>
      <w:proofErr w:type="spellEnd"/>
      <w:r w:rsidR="00017F00" w:rsidRPr="00C5138C">
        <w:t xml:space="preserve"> and McAllister, 2011a, b; </w:t>
      </w:r>
      <w:proofErr w:type="spellStart"/>
      <w:r w:rsidR="00017F00" w:rsidRPr="00C5138C">
        <w:t>Reichardt</w:t>
      </w:r>
      <w:proofErr w:type="spellEnd"/>
      <w:r w:rsidR="00017F00" w:rsidRPr="00C5138C">
        <w:t xml:space="preserve"> et al., 2012.</w:t>
      </w:r>
      <w:r w:rsidR="00017F00">
        <w:t>)</w:t>
      </w:r>
    </w:p>
    <w:p w14:paraId="68E97042" w14:textId="4BECBEC5" w:rsidR="00CE6686" w:rsidRDefault="00CE6686" w:rsidP="00CE6686">
      <w:pPr>
        <w:pStyle w:val="BodyText"/>
      </w:pPr>
      <w:r>
        <w:t>This empirical research focused on US green office buildings and compared portfolios of green office properties (e</w:t>
      </w:r>
      <w:r w:rsidR="00472418">
        <w:t>.</w:t>
      </w:r>
      <w:r>
        <w:t>g</w:t>
      </w:r>
      <w:r w:rsidR="00472418">
        <w:t>.</w:t>
      </w:r>
      <w:r>
        <w:t xml:space="preserve"> LEED, Energy Star) with non-green office property portfolios</w:t>
      </w:r>
      <w:r w:rsidR="00CB3EC7">
        <w:t xml:space="preserve">. </w:t>
      </w:r>
      <w:r>
        <w:t>Control variables were used where possible to account for differences in the office properties - this typically included age, size, building quality, number of stor</w:t>
      </w:r>
      <w:r w:rsidR="00472418">
        <w:t>ey</w:t>
      </w:r>
      <w:r>
        <w:t>s, amenities and location.</w:t>
      </w:r>
    </w:p>
    <w:p w14:paraId="5E8489C3" w14:textId="735FE2B0" w:rsidR="00C465DE" w:rsidRDefault="00C465DE" w:rsidP="00CE6686">
      <w:pPr>
        <w:pStyle w:val="BodyText"/>
      </w:pPr>
      <w:r>
        <w:t xml:space="preserve">Theoretically, a green premium would </w:t>
      </w:r>
      <w:r w:rsidR="009E14B8">
        <w:t xml:space="preserve">arise </w:t>
      </w:r>
      <w:r>
        <w:t>in an informed and rational market where the cost savings from more energy efficient buildings are reflected in rents paid by tenants</w:t>
      </w:r>
      <w:r w:rsidR="00CB3EC7">
        <w:t xml:space="preserve">. </w:t>
      </w:r>
      <w:r>
        <w:t xml:space="preserve">An illustrative example of </w:t>
      </w:r>
      <w:r w:rsidR="009E14B8">
        <w:t xml:space="preserve">differences in </w:t>
      </w:r>
      <w:r w:rsidR="00DA34D6">
        <w:t xml:space="preserve">base building </w:t>
      </w:r>
      <w:r>
        <w:t>energy cost</w:t>
      </w:r>
      <w:r w:rsidR="009E14B8">
        <w:t>s</w:t>
      </w:r>
      <w:r>
        <w:t xml:space="preserve"> </w:t>
      </w:r>
      <w:r w:rsidR="009E14B8">
        <w:t xml:space="preserve">for </w:t>
      </w:r>
      <w:r w:rsidR="00B31F1D">
        <w:t xml:space="preserve">a </w:t>
      </w:r>
      <w:r>
        <w:t xml:space="preserve">building </w:t>
      </w:r>
      <w:r w:rsidR="009E14B8">
        <w:t xml:space="preserve">of </w:t>
      </w:r>
      <w:r w:rsidR="00A80E56">
        <w:t>10</w:t>
      </w:r>
      <w:r w:rsidR="009E14B8">
        <w:t>,000 m</w:t>
      </w:r>
      <w:r w:rsidR="009E14B8" w:rsidRPr="00DB0E3E">
        <w:rPr>
          <w:vertAlign w:val="superscript"/>
        </w:rPr>
        <w:t>2</w:t>
      </w:r>
      <w:r w:rsidR="009E14B8">
        <w:t xml:space="preserve"> </w:t>
      </w:r>
      <w:r w:rsidR="00B31F1D">
        <w:t xml:space="preserve">NLA in the Sydney CBD by NABERS star rating </w:t>
      </w:r>
      <w:r>
        <w:t xml:space="preserve">is shown in </w:t>
      </w:r>
      <w:r w:rsidR="00492194">
        <w:fldChar w:fldCharType="begin"/>
      </w:r>
      <w:r w:rsidR="00FA0601">
        <w:instrText xml:space="preserve"> REF _Ref411596821 \h </w:instrText>
      </w:r>
      <w:r w:rsidR="00492194">
        <w:fldChar w:fldCharType="separate"/>
      </w:r>
      <w:r w:rsidR="006A273E">
        <w:t xml:space="preserve">Table </w:t>
      </w:r>
      <w:r w:rsidR="006A273E">
        <w:rPr>
          <w:noProof/>
        </w:rPr>
        <w:t>12</w:t>
      </w:r>
      <w:r w:rsidR="00492194">
        <w:fldChar w:fldCharType="end"/>
      </w:r>
      <w:r w:rsidR="00B31F1D">
        <w:t xml:space="preserve"> and</w:t>
      </w:r>
      <w:r w:rsidR="000A4B65">
        <w:t xml:space="preserve"> </w:t>
      </w:r>
      <w:r w:rsidR="00492194">
        <w:fldChar w:fldCharType="begin"/>
      </w:r>
      <w:r w:rsidR="000A4B65">
        <w:instrText xml:space="preserve"> REF _Ref414439316 \h </w:instrText>
      </w:r>
      <w:r w:rsidR="00492194">
        <w:fldChar w:fldCharType="separate"/>
      </w:r>
      <w:r w:rsidR="006A273E">
        <w:t xml:space="preserve">Figure </w:t>
      </w:r>
      <w:r w:rsidR="006A273E">
        <w:rPr>
          <w:noProof/>
        </w:rPr>
        <w:t>21</w:t>
      </w:r>
      <w:r w:rsidR="00492194">
        <w:fldChar w:fldCharType="end"/>
      </w:r>
      <w:r w:rsidR="00587231">
        <w:t>.</w:t>
      </w:r>
      <w:r w:rsidR="00DA34D6">
        <w:rPr>
          <w:rStyle w:val="FootnoteReference"/>
        </w:rPr>
        <w:footnoteReference w:id="27"/>
      </w:r>
    </w:p>
    <w:p w14:paraId="1DA5EC5D" w14:textId="77777777" w:rsidR="009E14B8" w:rsidRDefault="009E14B8" w:rsidP="00350B2D">
      <w:pPr>
        <w:pStyle w:val="Caption"/>
        <w:ind w:left="-1701"/>
      </w:pPr>
      <w:bookmarkStart w:id="486" w:name="_Ref411596821"/>
      <w:bookmarkStart w:id="487" w:name="_Toc415661019"/>
      <w:r>
        <w:t xml:space="preserve">Table </w:t>
      </w:r>
      <w:r w:rsidR="00366ADF">
        <w:fldChar w:fldCharType="begin"/>
      </w:r>
      <w:r w:rsidR="00366ADF">
        <w:instrText xml:space="preserve"> SEQ Table \* MERGEFORMAT </w:instrText>
      </w:r>
      <w:r w:rsidR="00366ADF">
        <w:fldChar w:fldCharType="separate"/>
      </w:r>
      <w:r w:rsidR="006A273E">
        <w:rPr>
          <w:noProof/>
        </w:rPr>
        <w:t>12</w:t>
      </w:r>
      <w:r w:rsidR="00366ADF">
        <w:rPr>
          <w:noProof/>
        </w:rPr>
        <w:fldChar w:fldCharType="end"/>
      </w:r>
      <w:bookmarkEnd w:id="486"/>
      <w:r w:rsidRPr="00C9524D">
        <w:rPr>
          <w:b/>
          <w:color w:val="000000"/>
        </w:rPr>
        <w:tab/>
      </w:r>
      <w:r>
        <w:rPr>
          <w:b/>
          <w:color w:val="000000"/>
        </w:rPr>
        <w:t xml:space="preserve">Illustrative </w:t>
      </w:r>
      <w:r w:rsidR="00B84670">
        <w:rPr>
          <w:b/>
          <w:color w:val="000000"/>
        </w:rPr>
        <w:t xml:space="preserve">energy </w:t>
      </w:r>
      <w:r w:rsidR="002349C4">
        <w:rPr>
          <w:b/>
          <w:color w:val="000000"/>
        </w:rPr>
        <w:t>cost difference for 10</w:t>
      </w:r>
      <w:r>
        <w:rPr>
          <w:b/>
          <w:color w:val="000000"/>
        </w:rPr>
        <w:t>,000 m</w:t>
      </w:r>
      <w:r w:rsidRPr="00DB0E3E">
        <w:rPr>
          <w:b/>
          <w:color w:val="000000"/>
          <w:vertAlign w:val="superscript"/>
        </w:rPr>
        <w:t>2</w:t>
      </w:r>
      <w:r>
        <w:rPr>
          <w:b/>
          <w:color w:val="000000"/>
        </w:rPr>
        <w:t xml:space="preserve"> </w:t>
      </w:r>
      <w:r w:rsidR="00B84670">
        <w:rPr>
          <w:b/>
          <w:color w:val="000000"/>
        </w:rPr>
        <w:t>NLA</w:t>
      </w:r>
      <w:r w:rsidR="007E6DBF">
        <w:rPr>
          <w:b/>
          <w:color w:val="000000"/>
        </w:rPr>
        <w:t xml:space="preserve"> by star rating</w:t>
      </w:r>
      <w:bookmarkEnd w:id="487"/>
    </w:p>
    <w:tbl>
      <w:tblPr>
        <w:tblW w:w="10064" w:type="dxa"/>
        <w:tblInd w:w="-2551"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1258"/>
        <w:gridCol w:w="1258"/>
        <w:gridCol w:w="1258"/>
        <w:gridCol w:w="1258"/>
        <w:gridCol w:w="1258"/>
        <w:gridCol w:w="1258"/>
        <w:gridCol w:w="1258"/>
        <w:gridCol w:w="1258"/>
      </w:tblGrid>
      <w:tr w:rsidR="00C71120" w14:paraId="2FC53851" w14:textId="77777777">
        <w:trPr>
          <w:cantSplit/>
        </w:trPr>
        <w:tc>
          <w:tcPr>
            <w:tcW w:w="1258" w:type="dxa"/>
            <w:tcBorders>
              <w:top w:val="nil"/>
              <w:bottom w:val="single" w:sz="2" w:space="0" w:color="C0C0C0"/>
            </w:tcBorders>
            <w:shd w:val="solid" w:color="9757A6" w:fill="auto"/>
            <w:vAlign w:val="center"/>
          </w:tcPr>
          <w:p w14:paraId="01695C31" w14:textId="77777777" w:rsidR="00C71120" w:rsidRPr="00A31DAB" w:rsidRDefault="00C71120" w:rsidP="00575CB9">
            <w:pPr>
              <w:pStyle w:val="Tablecolumnheadings"/>
            </w:pPr>
            <w:r w:rsidRPr="009C5F7D">
              <w:t>Base building energy star rating</w:t>
            </w:r>
          </w:p>
        </w:tc>
        <w:tc>
          <w:tcPr>
            <w:tcW w:w="1258" w:type="dxa"/>
            <w:tcBorders>
              <w:top w:val="nil"/>
              <w:bottom w:val="single" w:sz="2" w:space="0" w:color="C0C0C0"/>
            </w:tcBorders>
            <w:shd w:val="solid" w:color="9757A6" w:fill="auto"/>
            <w:vAlign w:val="center"/>
          </w:tcPr>
          <w:p w14:paraId="42028450" w14:textId="77777777" w:rsidR="00C71120" w:rsidRPr="00A31DAB" w:rsidRDefault="007E6DBF" w:rsidP="007E6DBF">
            <w:pPr>
              <w:pStyle w:val="Tablecolumnheadings"/>
              <w:jc w:val="center"/>
            </w:pPr>
            <w:r>
              <w:t>Estimated e</w:t>
            </w:r>
            <w:r w:rsidR="00C71120">
              <w:t>lectricity use (KWh/year)</w:t>
            </w:r>
          </w:p>
        </w:tc>
        <w:tc>
          <w:tcPr>
            <w:tcW w:w="1258" w:type="dxa"/>
            <w:tcBorders>
              <w:top w:val="nil"/>
              <w:bottom w:val="single" w:sz="2" w:space="0" w:color="C0C0C0"/>
            </w:tcBorders>
            <w:shd w:val="solid" w:color="9757A6" w:fill="auto"/>
            <w:vAlign w:val="center"/>
          </w:tcPr>
          <w:p w14:paraId="759AD9F6" w14:textId="77777777" w:rsidR="00C71120" w:rsidRPr="00A31DAB" w:rsidRDefault="007E6DBF" w:rsidP="00A11F2F">
            <w:pPr>
              <w:pStyle w:val="Tablecolumnheadings"/>
              <w:jc w:val="center"/>
            </w:pPr>
            <w:r>
              <w:t>Estimated g</w:t>
            </w:r>
            <w:r w:rsidR="00C71120">
              <w:t>as use (MJ/year)</w:t>
            </w:r>
          </w:p>
        </w:tc>
        <w:tc>
          <w:tcPr>
            <w:tcW w:w="1258" w:type="dxa"/>
            <w:tcBorders>
              <w:top w:val="nil"/>
              <w:bottom w:val="single" w:sz="2" w:space="0" w:color="C0C0C0"/>
            </w:tcBorders>
            <w:shd w:val="solid" w:color="9757A6" w:fill="auto"/>
          </w:tcPr>
          <w:p w14:paraId="50A8A30F" w14:textId="77777777" w:rsidR="00C71120" w:rsidRDefault="007E6DBF" w:rsidP="007E6DBF">
            <w:pPr>
              <w:pStyle w:val="Tablecolumnheadings"/>
              <w:jc w:val="center"/>
            </w:pPr>
            <w:r>
              <w:t>Estimated e</w:t>
            </w:r>
            <w:r w:rsidR="00C71120">
              <w:t>lectricity cost ($/year)</w:t>
            </w:r>
          </w:p>
        </w:tc>
        <w:tc>
          <w:tcPr>
            <w:tcW w:w="1258" w:type="dxa"/>
            <w:tcBorders>
              <w:top w:val="nil"/>
              <w:bottom w:val="single" w:sz="2" w:space="0" w:color="C0C0C0"/>
            </w:tcBorders>
            <w:shd w:val="solid" w:color="9757A6" w:fill="auto"/>
          </w:tcPr>
          <w:p w14:paraId="7084577B" w14:textId="77777777" w:rsidR="00C71120" w:rsidRDefault="007E6DBF" w:rsidP="007E6DBF">
            <w:pPr>
              <w:pStyle w:val="Tablecolumnheadings"/>
              <w:jc w:val="center"/>
            </w:pPr>
            <w:r>
              <w:t>Estimated g</w:t>
            </w:r>
            <w:r w:rsidR="00C71120">
              <w:t>as cost ($/year)</w:t>
            </w:r>
          </w:p>
        </w:tc>
        <w:tc>
          <w:tcPr>
            <w:tcW w:w="1258" w:type="dxa"/>
            <w:tcBorders>
              <w:top w:val="nil"/>
              <w:bottom w:val="single" w:sz="2" w:space="0" w:color="C0C0C0"/>
            </w:tcBorders>
            <w:shd w:val="solid" w:color="9757A6" w:fill="auto"/>
          </w:tcPr>
          <w:p w14:paraId="201CEC24" w14:textId="77777777" w:rsidR="00C71120" w:rsidRDefault="007E6DBF" w:rsidP="007E6DBF">
            <w:pPr>
              <w:pStyle w:val="Tablecolumnheadings"/>
              <w:jc w:val="center"/>
            </w:pPr>
            <w:r>
              <w:t>Estimated t</w:t>
            </w:r>
            <w:r w:rsidR="00C71120">
              <w:t>otal cost</w:t>
            </w:r>
            <w:r w:rsidR="00AD7CB5">
              <w:t xml:space="preserve"> ($/year)</w:t>
            </w:r>
          </w:p>
        </w:tc>
        <w:tc>
          <w:tcPr>
            <w:tcW w:w="1258" w:type="dxa"/>
            <w:tcBorders>
              <w:top w:val="nil"/>
              <w:bottom w:val="single" w:sz="2" w:space="0" w:color="C0C0C0"/>
            </w:tcBorders>
            <w:shd w:val="solid" w:color="9757A6" w:fill="auto"/>
          </w:tcPr>
          <w:p w14:paraId="109BEEA2" w14:textId="77777777" w:rsidR="00C71120" w:rsidRDefault="00C71120" w:rsidP="00E508BC">
            <w:pPr>
              <w:pStyle w:val="Tablecolumnheadings"/>
              <w:jc w:val="center"/>
            </w:pPr>
            <w:r>
              <w:t xml:space="preserve">Incremental </w:t>
            </w:r>
            <w:r w:rsidR="00E508BC">
              <w:t xml:space="preserve">energy </w:t>
            </w:r>
            <w:r>
              <w:t>saving</w:t>
            </w:r>
            <w:r w:rsidR="00AD7CB5">
              <w:t xml:space="preserve"> (MJ/year)</w:t>
            </w:r>
          </w:p>
        </w:tc>
        <w:tc>
          <w:tcPr>
            <w:tcW w:w="1258" w:type="dxa"/>
            <w:tcBorders>
              <w:top w:val="nil"/>
              <w:bottom w:val="single" w:sz="2" w:space="0" w:color="C0C0C0"/>
            </w:tcBorders>
            <w:shd w:val="solid" w:color="9757A6" w:fill="auto"/>
          </w:tcPr>
          <w:p w14:paraId="491E7041" w14:textId="77777777" w:rsidR="00C71120" w:rsidRDefault="00E508BC" w:rsidP="00E508BC">
            <w:pPr>
              <w:pStyle w:val="Tablecolumnheadings"/>
              <w:jc w:val="center"/>
            </w:pPr>
            <w:r>
              <w:t>Incremental cost saving</w:t>
            </w:r>
          </w:p>
        </w:tc>
      </w:tr>
      <w:tr w:rsidR="007E6DBF" w14:paraId="556BC048" w14:textId="77777777">
        <w:trPr>
          <w:cantSplit/>
        </w:trPr>
        <w:tc>
          <w:tcPr>
            <w:tcW w:w="1258" w:type="dxa"/>
            <w:shd w:val="clear" w:color="auto" w:fill="auto"/>
            <w:vAlign w:val="center"/>
          </w:tcPr>
          <w:p w14:paraId="3C0E58F0" w14:textId="77777777" w:rsidR="007E6DBF" w:rsidRDefault="007E6DBF" w:rsidP="007E6DBF">
            <w:pPr>
              <w:pStyle w:val="Tabletext"/>
            </w:pPr>
            <w:r>
              <w:t>0 star</w:t>
            </w:r>
          </w:p>
        </w:tc>
        <w:tc>
          <w:tcPr>
            <w:tcW w:w="1258" w:type="dxa"/>
            <w:shd w:val="clear" w:color="auto" w:fill="auto"/>
          </w:tcPr>
          <w:p w14:paraId="0D76BD0B" w14:textId="77777777" w:rsidR="007E6DBF" w:rsidRDefault="007E6DBF" w:rsidP="007E6DBF">
            <w:pPr>
              <w:pStyle w:val="Tabletext"/>
              <w:jc w:val="center"/>
            </w:pPr>
            <w:r w:rsidRPr="00D441F8">
              <w:t xml:space="preserve"> 2,581,069 </w:t>
            </w:r>
          </w:p>
        </w:tc>
        <w:tc>
          <w:tcPr>
            <w:tcW w:w="1258" w:type="dxa"/>
            <w:shd w:val="clear" w:color="auto" w:fill="auto"/>
          </w:tcPr>
          <w:p w14:paraId="1F3EF7E9" w14:textId="77777777" w:rsidR="007E6DBF" w:rsidRDefault="007E6DBF" w:rsidP="007E6DBF">
            <w:pPr>
              <w:pStyle w:val="Tabletext"/>
              <w:jc w:val="center"/>
            </w:pPr>
            <w:r w:rsidRPr="00D441F8">
              <w:t xml:space="preserve"> 1,032,427 </w:t>
            </w:r>
          </w:p>
        </w:tc>
        <w:tc>
          <w:tcPr>
            <w:tcW w:w="1258" w:type="dxa"/>
          </w:tcPr>
          <w:p w14:paraId="4DB95FDD" w14:textId="77777777" w:rsidR="007E6DBF" w:rsidRPr="00DB0E3E" w:rsidRDefault="007E6DBF" w:rsidP="007E6DBF">
            <w:pPr>
              <w:pStyle w:val="Tabletext"/>
              <w:jc w:val="center"/>
            </w:pPr>
            <w:r w:rsidRPr="00D441F8">
              <w:t xml:space="preserve"> $516,214 </w:t>
            </w:r>
          </w:p>
        </w:tc>
        <w:tc>
          <w:tcPr>
            <w:tcW w:w="1258" w:type="dxa"/>
          </w:tcPr>
          <w:p w14:paraId="5B9F804B" w14:textId="77777777" w:rsidR="007E6DBF" w:rsidRPr="00DB0E3E" w:rsidRDefault="007E6DBF" w:rsidP="007E6DBF">
            <w:pPr>
              <w:pStyle w:val="Tabletext"/>
              <w:jc w:val="center"/>
            </w:pPr>
            <w:r w:rsidRPr="00D441F8">
              <w:t xml:space="preserve"> $19,028 </w:t>
            </w:r>
          </w:p>
        </w:tc>
        <w:tc>
          <w:tcPr>
            <w:tcW w:w="1258" w:type="dxa"/>
          </w:tcPr>
          <w:p w14:paraId="1109A360" w14:textId="77777777" w:rsidR="007E6DBF" w:rsidRPr="00DB0E3E" w:rsidRDefault="007E6DBF" w:rsidP="007E6DBF">
            <w:pPr>
              <w:pStyle w:val="Tabletext"/>
              <w:jc w:val="center"/>
            </w:pPr>
            <w:r w:rsidRPr="00D441F8">
              <w:t xml:space="preserve"> $535,241 </w:t>
            </w:r>
          </w:p>
        </w:tc>
        <w:tc>
          <w:tcPr>
            <w:tcW w:w="1258" w:type="dxa"/>
          </w:tcPr>
          <w:p w14:paraId="39CD6375" w14:textId="77777777" w:rsidR="007E6DBF" w:rsidRPr="00C96CCB" w:rsidRDefault="007E6DBF" w:rsidP="007E6DBF">
            <w:pPr>
              <w:pStyle w:val="Tabletext"/>
              <w:jc w:val="center"/>
            </w:pPr>
            <w:r>
              <w:t>Not applicable</w:t>
            </w:r>
          </w:p>
        </w:tc>
        <w:tc>
          <w:tcPr>
            <w:tcW w:w="1258" w:type="dxa"/>
          </w:tcPr>
          <w:p w14:paraId="176D4138" w14:textId="77777777" w:rsidR="007E6DBF" w:rsidRPr="00C96CCB" w:rsidRDefault="007E6DBF" w:rsidP="007E6DBF">
            <w:pPr>
              <w:pStyle w:val="Tabletext"/>
              <w:jc w:val="center"/>
            </w:pPr>
            <w:r>
              <w:t>Not applicable</w:t>
            </w:r>
          </w:p>
        </w:tc>
      </w:tr>
      <w:tr w:rsidR="007E6DBF" w14:paraId="6331AAE2" w14:textId="77777777">
        <w:trPr>
          <w:cantSplit/>
        </w:trPr>
        <w:tc>
          <w:tcPr>
            <w:tcW w:w="1258" w:type="dxa"/>
            <w:shd w:val="clear" w:color="auto" w:fill="auto"/>
            <w:vAlign w:val="center"/>
          </w:tcPr>
          <w:p w14:paraId="21BC7A2D" w14:textId="77777777" w:rsidR="007E6DBF" w:rsidRDefault="007E6DBF" w:rsidP="007E6DBF">
            <w:pPr>
              <w:pStyle w:val="Tabletext"/>
            </w:pPr>
            <w:r>
              <w:t>1 star</w:t>
            </w:r>
          </w:p>
        </w:tc>
        <w:tc>
          <w:tcPr>
            <w:tcW w:w="1258" w:type="dxa"/>
            <w:shd w:val="clear" w:color="auto" w:fill="auto"/>
          </w:tcPr>
          <w:p w14:paraId="56A7D907" w14:textId="77777777" w:rsidR="007E6DBF" w:rsidRDefault="007E6DBF" w:rsidP="007E6DBF">
            <w:pPr>
              <w:pStyle w:val="Tabletext"/>
              <w:jc w:val="center"/>
            </w:pPr>
            <w:r w:rsidRPr="00D441F8">
              <w:t xml:space="preserve"> 2,224,466 </w:t>
            </w:r>
          </w:p>
        </w:tc>
        <w:tc>
          <w:tcPr>
            <w:tcW w:w="1258" w:type="dxa"/>
            <w:shd w:val="clear" w:color="auto" w:fill="auto"/>
          </w:tcPr>
          <w:p w14:paraId="003DC2BB" w14:textId="77777777" w:rsidR="007E6DBF" w:rsidRDefault="007E6DBF" w:rsidP="007E6DBF">
            <w:pPr>
              <w:pStyle w:val="Tabletext"/>
              <w:jc w:val="center"/>
            </w:pPr>
            <w:r w:rsidRPr="00D441F8">
              <w:t xml:space="preserve"> 889,786 </w:t>
            </w:r>
          </w:p>
        </w:tc>
        <w:tc>
          <w:tcPr>
            <w:tcW w:w="1258" w:type="dxa"/>
          </w:tcPr>
          <w:p w14:paraId="5C642399" w14:textId="77777777" w:rsidR="007E6DBF" w:rsidRPr="00DB0E3E" w:rsidRDefault="007E6DBF" w:rsidP="007E6DBF">
            <w:pPr>
              <w:pStyle w:val="Tabletext"/>
              <w:jc w:val="center"/>
            </w:pPr>
            <w:r w:rsidRPr="00D441F8">
              <w:t xml:space="preserve"> $444,893 </w:t>
            </w:r>
          </w:p>
        </w:tc>
        <w:tc>
          <w:tcPr>
            <w:tcW w:w="1258" w:type="dxa"/>
          </w:tcPr>
          <w:p w14:paraId="08B6901C" w14:textId="77777777" w:rsidR="007E6DBF" w:rsidRPr="00DB0E3E" w:rsidRDefault="007E6DBF" w:rsidP="007E6DBF">
            <w:pPr>
              <w:pStyle w:val="Tabletext"/>
              <w:jc w:val="center"/>
            </w:pPr>
            <w:r w:rsidRPr="00D441F8">
              <w:t xml:space="preserve"> $16,399 </w:t>
            </w:r>
          </w:p>
        </w:tc>
        <w:tc>
          <w:tcPr>
            <w:tcW w:w="1258" w:type="dxa"/>
          </w:tcPr>
          <w:p w14:paraId="5EC336C5" w14:textId="77777777" w:rsidR="007E6DBF" w:rsidRPr="00DB0E3E" w:rsidRDefault="007E6DBF" w:rsidP="007E6DBF">
            <w:pPr>
              <w:pStyle w:val="Tabletext"/>
              <w:jc w:val="center"/>
            </w:pPr>
            <w:r w:rsidRPr="00D441F8">
              <w:t xml:space="preserve"> $461,292 </w:t>
            </w:r>
          </w:p>
        </w:tc>
        <w:tc>
          <w:tcPr>
            <w:tcW w:w="1258" w:type="dxa"/>
          </w:tcPr>
          <w:p w14:paraId="0219110A" w14:textId="77777777" w:rsidR="007E6DBF" w:rsidRPr="00C96CCB" w:rsidRDefault="007E6DBF" w:rsidP="007E6DBF">
            <w:pPr>
              <w:pStyle w:val="Tabletext"/>
              <w:jc w:val="center"/>
            </w:pPr>
            <w:r w:rsidRPr="00D441F8">
              <w:t xml:space="preserve"> 1,426,412 </w:t>
            </w:r>
          </w:p>
        </w:tc>
        <w:tc>
          <w:tcPr>
            <w:tcW w:w="1258" w:type="dxa"/>
          </w:tcPr>
          <w:p w14:paraId="16AF6E93" w14:textId="77777777" w:rsidR="007E6DBF" w:rsidRPr="00C96CCB" w:rsidRDefault="007E6DBF" w:rsidP="007E6DBF">
            <w:pPr>
              <w:pStyle w:val="Tabletext"/>
              <w:jc w:val="center"/>
            </w:pPr>
            <w:r w:rsidRPr="00D441F8">
              <w:t xml:space="preserve"> $73,949 </w:t>
            </w:r>
          </w:p>
        </w:tc>
      </w:tr>
      <w:tr w:rsidR="007E6DBF" w14:paraId="7C89F896" w14:textId="77777777">
        <w:trPr>
          <w:cantSplit/>
        </w:trPr>
        <w:tc>
          <w:tcPr>
            <w:tcW w:w="1258" w:type="dxa"/>
            <w:shd w:val="clear" w:color="auto" w:fill="auto"/>
            <w:vAlign w:val="center"/>
          </w:tcPr>
          <w:p w14:paraId="03759AC3" w14:textId="77777777" w:rsidR="007E6DBF" w:rsidRDefault="007E6DBF" w:rsidP="007E6DBF">
            <w:pPr>
              <w:pStyle w:val="Tabletext"/>
            </w:pPr>
            <w:r>
              <w:t>2 star</w:t>
            </w:r>
          </w:p>
        </w:tc>
        <w:tc>
          <w:tcPr>
            <w:tcW w:w="1258" w:type="dxa"/>
            <w:shd w:val="clear" w:color="auto" w:fill="auto"/>
          </w:tcPr>
          <w:p w14:paraId="51BEEB94" w14:textId="77777777" w:rsidR="007E6DBF" w:rsidRDefault="007E6DBF" w:rsidP="007E6DBF">
            <w:pPr>
              <w:pStyle w:val="Tabletext"/>
              <w:jc w:val="center"/>
            </w:pPr>
            <w:r w:rsidRPr="00D441F8">
              <w:t xml:space="preserve"> 1,867,863 </w:t>
            </w:r>
          </w:p>
        </w:tc>
        <w:tc>
          <w:tcPr>
            <w:tcW w:w="1258" w:type="dxa"/>
            <w:shd w:val="clear" w:color="auto" w:fill="auto"/>
          </w:tcPr>
          <w:p w14:paraId="24606435" w14:textId="77777777" w:rsidR="007E6DBF" w:rsidRDefault="007E6DBF" w:rsidP="007E6DBF">
            <w:pPr>
              <w:pStyle w:val="Tabletext"/>
              <w:jc w:val="center"/>
            </w:pPr>
            <w:r w:rsidRPr="00D441F8">
              <w:t xml:space="preserve"> 747,145 </w:t>
            </w:r>
          </w:p>
        </w:tc>
        <w:tc>
          <w:tcPr>
            <w:tcW w:w="1258" w:type="dxa"/>
          </w:tcPr>
          <w:p w14:paraId="20F11E1F" w14:textId="77777777" w:rsidR="007E6DBF" w:rsidRPr="00DB0E3E" w:rsidRDefault="007E6DBF" w:rsidP="007E6DBF">
            <w:pPr>
              <w:pStyle w:val="Tabletext"/>
              <w:jc w:val="center"/>
            </w:pPr>
            <w:r w:rsidRPr="00D441F8">
              <w:t xml:space="preserve"> $373,573 </w:t>
            </w:r>
          </w:p>
        </w:tc>
        <w:tc>
          <w:tcPr>
            <w:tcW w:w="1258" w:type="dxa"/>
          </w:tcPr>
          <w:p w14:paraId="5D1D4F12" w14:textId="77777777" w:rsidR="007E6DBF" w:rsidRPr="00DB0E3E" w:rsidRDefault="007E6DBF" w:rsidP="007E6DBF">
            <w:pPr>
              <w:pStyle w:val="Tabletext"/>
              <w:jc w:val="center"/>
            </w:pPr>
            <w:r w:rsidRPr="00D441F8">
              <w:t xml:space="preserve"> $13,770 </w:t>
            </w:r>
          </w:p>
        </w:tc>
        <w:tc>
          <w:tcPr>
            <w:tcW w:w="1258" w:type="dxa"/>
          </w:tcPr>
          <w:p w14:paraId="486F4E24" w14:textId="77777777" w:rsidR="007E6DBF" w:rsidRPr="00DB0E3E" w:rsidRDefault="007E6DBF" w:rsidP="007E6DBF">
            <w:pPr>
              <w:pStyle w:val="Tabletext"/>
              <w:jc w:val="center"/>
            </w:pPr>
            <w:r w:rsidRPr="00D441F8">
              <w:t xml:space="preserve"> $387,342 </w:t>
            </w:r>
          </w:p>
        </w:tc>
        <w:tc>
          <w:tcPr>
            <w:tcW w:w="1258" w:type="dxa"/>
          </w:tcPr>
          <w:p w14:paraId="7115846E" w14:textId="77777777" w:rsidR="007E6DBF" w:rsidRPr="00C96CCB" w:rsidRDefault="007E6DBF" w:rsidP="007E6DBF">
            <w:pPr>
              <w:pStyle w:val="Tabletext"/>
              <w:jc w:val="center"/>
            </w:pPr>
            <w:r w:rsidRPr="00D441F8">
              <w:t xml:space="preserve"> 1,426,412 </w:t>
            </w:r>
          </w:p>
        </w:tc>
        <w:tc>
          <w:tcPr>
            <w:tcW w:w="1258" w:type="dxa"/>
          </w:tcPr>
          <w:p w14:paraId="6186697E" w14:textId="77777777" w:rsidR="007E6DBF" w:rsidRPr="00C96CCB" w:rsidRDefault="007E6DBF" w:rsidP="007E6DBF">
            <w:pPr>
              <w:pStyle w:val="Tabletext"/>
              <w:jc w:val="center"/>
            </w:pPr>
            <w:r w:rsidRPr="00D441F8">
              <w:t xml:space="preserve"> $73,949 </w:t>
            </w:r>
          </w:p>
        </w:tc>
      </w:tr>
      <w:tr w:rsidR="007E6DBF" w14:paraId="4372955B" w14:textId="77777777">
        <w:trPr>
          <w:cantSplit/>
        </w:trPr>
        <w:tc>
          <w:tcPr>
            <w:tcW w:w="1258" w:type="dxa"/>
            <w:tcBorders>
              <w:bottom w:val="single" w:sz="2" w:space="0" w:color="C0C0C0"/>
            </w:tcBorders>
            <w:shd w:val="clear" w:color="auto" w:fill="auto"/>
            <w:vAlign w:val="center"/>
          </w:tcPr>
          <w:p w14:paraId="54128F52" w14:textId="77777777" w:rsidR="007E6DBF" w:rsidRDefault="007E6DBF" w:rsidP="007E6DBF">
            <w:pPr>
              <w:pStyle w:val="Tabletext"/>
            </w:pPr>
            <w:r>
              <w:t>3 star</w:t>
            </w:r>
          </w:p>
        </w:tc>
        <w:tc>
          <w:tcPr>
            <w:tcW w:w="1258" w:type="dxa"/>
            <w:tcBorders>
              <w:bottom w:val="single" w:sz="2" w:space="0" w:color="C0C0C0"/>
            </w:tcBorders>
            <w:shd w:val="clear" w:color="auto" w:fill="auto"/>
          </w:tcPr>
          <w:p w14:paraId="67112E4E" w14:textId="77777777" w:rsidR="007E6DBF" w:rsidRDefault="007E6DBF" w:rsidP="007E6DBF">
            <w:pPr>
              <w:pStyle w:val="Tabletext"/>
              <w:jc w:val="center"/>
            </w:pPr>
            <w:r w:rsidRPr="00D441F8">
              <w:t xml:space="preserve"> 1,511,260 </w:t>
            </w:r>
          </w:p>
        </w:tc>
        <w:tc>
          <w:tcPr>
            <w:tcW w:w="1258" w:type="dxa"/>
            <w:tcBorders>
              <w:bottom w:val="single" w:sz="2" w:space="0" w:color="C0C0C0"/>
            </w:tcBorders>
            <w:shd w:val="clear" w:color="auto" w:fill="auto"/>
          </w:tcPr>
          <w:p w14:paraId="192A474C" w14:textId="77777777" w:rsidR="007E6DBF" w:rsidRDefault="007E6DBF" w:rsidP="007E6DBF">
            <w:pPr>
              <w:pStyle w:val="Tabletext"/>
              <w:jc w:val="center"/>
            </w:pPr>
            <w:r w:rsidRPr="00D441F8">
              <w:t xml:space="preserve"> 604,504 </w:t>
            </w:r>
          </w:p>
        </w:tc>
        <w:tc>
          <w:tcPr>
            <w:tcW w:w="1258" w:type="dxa"/>
            <w:tcBorders>
              <w:bottom w:val="single" w:sz="2" w:space="0" w:color="C0C0C0"/>
            </w:tcBorders>
          </w:tcPr>
          <w:p w14:paraId="05FDE3BD" w14:textId="77777777" w:rsidR="007E6DBF" w:rsidRPr="00DB0E3E" w:rsidRDefault="007E6DBF" w:rsidP="007E6DBF">
            <w:pPr>
              <w:pStyle w:val="Tabletext"/>
              <w:jc w:val="center"/>
            </w:pPr>
            <w:r w:rsidRPr="00D441F8">
              <w:t xml:space="preserve"> $302,252 </w:t>
            </w:r>
          </w:p>
        </w:tc>
        <w:tc>
          <w:tcPr>
            <w:tcW w:w="1258" w:type="dxa"/>
            <w:tcBorders>
              <w:bottom w:val="single" w:sz="2" w:space="0" w:color="C0C0C0"/>
            </w:tcBorders>
          </w:tcPr>
          <w:p w14:paraId="781674D1" w14:textId="77777777" w:rsidR="007E6DBF" w:rsidRPr="00DB0E3E" w:rsidRDefault="007E6DBF" w:rsidP="007E6DBF">
            <w:pPr>
              <w:pStyle w:val="Tabletext"/>
              <w:jc w:val="center"/>
            </w:pPr>
            <w:r w:rsidRPr="00D441F8">
              <w:t xml:space="preserve"> $11,141 </w:t>
            </w:r>
          </w:p>
        </w:tc>
        <w:tc>
          <w:tcPr>
            <w:tcW w:w="1258" w:type="dxa"/>
            <w:tcBorders>
              <w:bottom w:val="single" w:sz="2" w:space="0" w:color="C0C0C0"/>
            </w:tcBorders>
          </w:tcPr>
          <w:p w14:paraId="108C67BF" w14:textId="77777777" w:rsidR="007E6DBF" w:rsidRPr="00DB0E3E" w:rsidRDefault="007E6DBF" w:rsidP="007E6DBF">
            <w:pPr>
              <w:pStyle w:val="Tabletext"/>
              <w:jc w:val="center"/>
            </w:pPr>
            <w:r w:rsidRPr="00D441F8">
              <w:t xml:space="preserve"> $313,393 </w:t>
            </w:r>
          </w:p>
        </w:tc>
        <w:tc>
          <w:tcPr>
            <w:tcW w:w="1258" w:type="dxa"/>
            <w:tcBorders>
              <w:bottom w:val="single" w:sz="2" w:space="0" w:color="C0C0C0"/>
            </w:tcBorders>
          </w:tcPr>
          <w:p w14:paraId="7574BA90" w14:textId="77777777" w:rsidR="007E6DBF" w:rsidRPr="00C96CCB" w:rsidRDefault="007E6DBF" w:rsidP="007E6DBF">
            <w:pPr>
              <w:pStyle w:val="Tabletext"/>
              <w:jc w:val="center"/>
            </w:pPr>
            <w:r w:rsidRPr="00D441F8">
              <w:t xml:space="preserve"> 1,426,412 </w:t>
            </w:r>
          </w:p>
        </w:tc>
        <w:tc>
          <w:tcPr>
            <w:tcW w:w="1258" w:type="dxa"/>
            <w:tcBorders>
              <w:bottom w:val="single" w:sz="2" w:space="0" w:color="C0C0C0"/>
            </w:tcBorders>
          </w:tcPr>
          <w:p w14:paraId="1A261EA6" w14:textId="77777777" w:rsidR="007E6DBF" w:rsidRPr="00C96CCB" w:rsidRDefault="007E6DBF" w:rsidP="007E6DBF">
            <w:pPr>
              <w:pStyle w:val="Tabletext"/>
              <w:jc w:val="center"/>
            </w:pPr>
            <w:r w:rsidRPr="00D441F8">
              <w:t xml:space="preserve"> $73,949 </w:t>
            </w:r>
          </w:p>
        </w:tc>
      </w:tr>
      <w:tr w:rsidR="007E6DBF" w14:paraId="3C98467F" w14:textId="77777777">
        <w:trPr>
          <w:cantSplit/>
        </w:trPr>
        <w:tc>
          <w:tcPr>
            <w:tcW w:w="1258" w:type="dxa"/>
            <w:tcBorders>
              <w:top w:val="single" w:sz="2" w:space="0" w:color="C0C0C0"/>
              <w:bottom w:val="single" w:sz="2" w:space="0" w:color="C0C0C0"/>
            </w:tcBorders>
            <w:shd w:val="clear" w:color="auto" w:fill="auto"/>
            <w:vAlign w:val="center"/>
          </w:tcPr>
          <w:p w14:paraId="1DD88FBD" w14:textId="77777777" w:rsidR="007E6DBF" w:rsidRDefault="007E6DBF" w:rsidP="007E6DBF">
            <w:pPr>
              <w:pStyle w:val="Tabletext"/>
            </w:pPr>
            <w:r>
              <w:t>4 star</w:t>
            </w:r>
          </w:p>
        </w:tc>
        <w:tc>
          <w:tcPr>
            <w:tcW w:w="1258" w:type="dxa"/>
            <w:tcBorders>
              <w:top w:val="single" w:sz="2" w:space="0" w:color="C0C0C0"/>
              <w:bottom w:val="single" w:sz="2" w:space="0" w:color="C0C0C0"/>
            </w:tcBorders>
            <w:shd w:val="clear" w:color="auto" w:fill="auto"/>
          </w:tcPr>
          <w:p w14:paraId="180F0AAC" w14:textId="77777777" w:rsidR="007E6DBF" w:rsidRDefault="007E6DBF" w:rsidP="007E6DBF">
            <w:pPr>
              <w:pStyle w:val="Tabletext"/>
              <w:jc w:val="center"/>
            </w:pPr>
            <w:r w:rsidRPr="00D441F8">
              <w:t xml:space="preserve"> 1,154,657 </w:t>
            </w:r>
          </w:p>
        </w:tc>
        <w:tc>
          <w:tcPr>
            <w:tcW w:w="1258" w:type="dxa"/>
            <w:tcBorders>
              <w:top w:val="single" w:sz="2" w:space="0" w:color="C0C0C0"/>
              <w:bottom w:val="single" w:sz="2" w:space="0" w:color="C0C0C0"/>
            </w:tcBorders>
            <w:shd w:val="clear" w:color="auto" w:fill="auto"/>
          </w:tcPr>
          <w:p w14:paraId="14192721" w14:textId="77777777" w:rsidR="007E6DBF" w:rsidRDefault="007E6DBF" w:rsidP="007E6DBF">
            <w:pPr>
              <w:pStyle w:val="Tabletext"/>
              <w:jc w:val="center"/>
            </w:pPr>
            <w:r w:rsidRPr="00D441F8">
              <w:t xml:space="preserve"> 461,862 </w:t>
            </w:r>
          </w:p>
        </w:tc>
        <w:tc>
          <w:tcPr>
            <w:tcW w:w="1258" w:type="dxa"/>
            <w:tcBorders>
              <w:top w:val="single" w:sz="2" w:space="0" w:color="C0C0C0"/>
              <w:bottom w:val="single" w:sz="2" w:space="0" w:color="C0C0C0"/>
            </w:tcBorders>
          </w:tcPr>
          <w:p w14:paraId="23FECAC6" w14:textId="77777777" w:rsidR="007E6DBF" w:rsidRPr="00DB0E3E" w:rsidRDefault="007E6DBF" w:rsidP="007E6DBF">
            <w:pPr>
              <w:pStyle w:val="Tabletext"/>
              <w:jc w:val="center"/>
            </w:pPr>
            <w:r w:rsidRPr="00D441F8">
              <w:t xml:space="preserve"> $230,931 </w:t>
            </w:r>
          </w:p>
        </w:tc>
        <w:tc>
          <w:tcPr>
            <w:tcW w:w="1258" w:type="dxa"/>
            <w:tcBorders>
              <w:top w:val="single" w:sz="2" w:space="0" w:color="C0C0C0"/>
              <w:bottom w:val="single" w:sz="2" w:space="0" w:color="C0C0C0"/>
            </w:tcBorders>
          </w:tcPr>
          <w:p w14:paraId="00B5C0BC" w14:textId="77777777" w:rsidR="007E6DBF" w:rsidRPr="00DB0E3E" w:rsidRDefault="007E6DBF" w:rsidP="007E6DBF">
            <w:pPr>
              <w:pStyle w:val="Tabletext"/>
              <w:jc w:val="center"/>
            </w:pPr>
            <w:r w:rsidRPr="00D441F8">
              <w:t xml:space="preserve"> $8,512 </w:t>
            </w:r>
          </w:p>
        </w:tc>
        <w:tc>
          <w:tcPr>
            <w:tcW w:w="1258" w:type="dxa"/>
            <w:tcBorders>
              <w:top w:val="single" w:sz="2" w:space="0" w:color="C0C0C0"/>
              <w:bottom w:val="single" w:sz="2" w:space="0" w:color="C0C0C0"/>
            </w:tcBorders>
          </w:tcPr>
          <w:p w14:paraId="57AFA59E" w14:textId="77777777" w:rsidR="007E6DBF" w:rsidRPr="00DB0E3E" w:rsidRDefault="007E6DBF" w:rsidP="007E6DBF">
            <w:pPr>
              <w:pStyle w:val="Tabletext"/>
              <w:jc w:val="center"/>
            </w:pPr>
            <w:r w:rsidRPr="00D441F8">
              <w:t xml:space="preserve"> $239,444 </w:t>
            </w:r>
          </w:p>
        </w:tc>
        <w:tc>
          <w:tcPr>
            <w:tcW w:w="1258" w:type="dxa"/>
            <w:tcBorders>
              <w:top w:val="single" w:sz="2" w:space="0" w:color="C0C0C0"/>
              <w:bottom w:val="single" w:sz="2" w:space="0" w:color="C0C0C0"/>
            </w:tcBorders>
          </w:tcPr>
          <w:p w14:paraId="08717685" w14:textId="77777777" w:rsidR="007E6DBF" w:rsidRPr="00C96CCB" w:rsidRDefault="007E6DBF" w:rsidP="007E6DBF">
            <w:pPr>
              <w:pStyle w:val="Tabletext"/>
              <w:jc w:val="center"/>
            </w:pPr>
            <w:r w:rsidRPr="00D441F8">
              <w:t xml:space="preserve"> 1,426,413 </w:t>
            </w:r>
          </w:p>
        </w:tc>
        <w:tc>
          <w:tcPr>
            <w:tcW w:w="1258" w:type="dxa"/>
            <w:tcBorders>
              <w:top w:val="single" w:sz="2" w:space="0" w:color="C0C0C0"/>
              <w:bottom w:val="single" w:sz="2" w:space="0" w:color="C0C0C0"/>
            </w:tcBorders>
          </w:tcPr>
          <w:p w14:paraId="03DC7C46" w14:textId="77777777" w:rsidR="007E6DBF" w:rsidRPr="00C96CCB" w:rsidRDefault="007E6DBF" w:rsidP="007E6DBF">
            <w:pPr>
              <w:pStyle w:val="Tabletext"/>
              <w:jc w:val="center"/>
            </w:pPr>
            <w:r w:rsidRPr="00D441F8">
              <w:t xml:space="preserve"> $73,949 </w:t>
            </w:r>
          </w:p>
        </w:tc>
      </w:tr>
      <w:tr w:rsidR="007E6DBF" w14:paraId="1114AF4B" w14:textId="77777777">
        <w:trPr>
          <w:cantSplit/>
        </w:trPr>
        <w:tc>
          <w:tcPr>
            <w:tcW w:w="1258" w:type="dxa"/>
            <w:tcBorders>
              <w:top w:val="single" w:sz="2" w:space="0" w:color="C0C0C0"/>
              <w:bottom w:val="single" w:sz="2" w:space="0" w:color="C0C0C0"/>
            </w:tcBorders>
            <w:shd w:val="clear" w:color="auto" w:fill="auto"/>
            <w:vAlign w:val="center"/>
          </w:tcPr>
          <w:p w14:paraId="38D55166" w14:textId="77777777" w:rsidR="007E6DBF" w:rsidRPr="002349C4" w:rsidRDefault="007E6DBF" w:rsidP="007E6DBF">
            <w:pPr>
              <w:pStyle w:val="Tabletext"/>
            </w:pPr>
            <w:r w:rsidRPr="002349C4">
              <w:t>5 star</w:t>
            </w:r>
          </w:p>
        </w:tc>
        <w:tc>
          <w:tcPr>
            <w:tcW w:w="1258" w:type="dxa"/>
            <w:tcBorders>
              <w:top w:val="single" w:sz="2" w:space="0" w:color="C0C0C0"/>
              <w:bottom w:val="single" w:sz="2" w:space="0" w:color="C0C0C0"/>
            </w:tcBorders>
            <w:shd w:val="clear" w:color="auto" w:fill="auto"/>
          </w:tcPr>
          <w:p w14:paraId="6AA09908" w14:textId="77777777" w:rsidR="007E6DBF" w:rsidRPr="00DB0E3E" w:rsidRDefault="007E6DBF" w:rsidP="007E6DBF">
            <w:pPr>
              <w:pStyle w:val="Tabletext"/>
              <w:jc w:val="center"/>
              <w:rPr>
                <w:b/>
              </w:rPr>
            </w:pPr>
            <w:r w:rsidRPr="00D441F8">
              <w:t xml:space="preserve"> 798,054 </w:t>
            </w:r>
          </w:p>
        </w:tc>
        <w:tc>
          <w:tcPr>
            <w:tcW w:w="1258" w:type="dxa"/>
            <w:tcBorders>
              <w:top w:val="single" w:sz="2" w:space="0" w:color="C0C0C0"/>
              <w:bottom w:val="single" w:sz="2" w:space="0" w:color="C0C0C0"/>
            </w:tcBorders>
            <w:shd w:val="clear" w:color="auto" w:fill="auto"/>
          </w:tcPr>
          <w:p w14:paraId="2E1BC616" w14:textId="77777777" w:rsidR="007E6DBF" w:rsidRPr="00DB0E3E" w:rsidRDefault="007E6DBF" w:rsidP="007E6DBF">
            <w:pPr>
              <w:pStyle w:val="Tabletext"/>
              <w:jc w:val="center"/>
              <w:rPr>
                <w:b/>
              </w:rPr>
            </w:pPr>
            <w:r w:rsidRPr="00D441F8">
              <w:t xml:space="preserve"> 319,221 </w:t>
            </w:r>
          </w:p>
        </w:tc>
        <w:tc>
          <w:tcPr>
            <w:tcW w:w="1258" w:type="dxa"/>
            <w:tcBorders>
              <w:top w:val="single" w:sz="2" w:space="0" w:color="C0C0C0"/>
              <w:bottom w:val="single" w:sz="2" w:space="0" w:color="C0C0C0"/>
            </w:tcBorders>
          </w:tcPr>
          <w:p w14:paraId="7A8B0F55" w14:textId="77777777" w:rsidR="007E6DBF" w:rsidRPr="00DB0E3E" w:rsidRDefault="007E6DBF" w:rsidP="007E6DBF">
            <w:pPr>
              <w:pStyle w:val="Tabletext"/>
              <w:jc w:val="center"/>
              <w:rPr>
                <w:b/>
              </w:rPr>
            </w:pPr>
            <w:r w:rsidRPr="00D441F8">
              <w:t xml:space="preserve"> $159,611 </w:t>
            </w:r>
          </w:p>
        </w:tc>
        <w:tc>
          <w:tcPr>
            <w:tcW w:w="1258" w:type="dxa"/>
            <w:tcBorders>
              <w:top w:val="single" w:sz="2" w:space="0" w:color="C0C0C0"/>
              <w:bottom w:val="single" w:sz="2" w:space="0" w:color="C0C0C0"/>
            </w:tcBorders>
          </w:tcPr>
          <w:p w14:paraId="43D82BCF" w14:textId="77777777" w:rsidR="007E6DBF" w:rsidRPr="00DB0E3E" w:rsidRDefault="007E6DBF" w:rsidP="007E6DBF">
            <w:pPr>
              <w:pStyle w:val="Tabletext"/>
              <w:jc w:val="center"/>
              <w:rPr>
                <w:b/>
              </w:rPr>
            </w:pPr>
            <w:r w:rsidRPr="00D441F8">
              <w:t xml:space="preserve"> $5,883 </w:t>
            </w:r>
          </w:p>
        </w:tc>
        <w:tc>
          <w:tcPr>
            <w:tcW w:w="1258" w:type="dxa"/>
            <w:tcBorders>
              <w:top w:val="single" w:sz="2" w:space="0" w:color="C0C0C0"/>
              <w:bottom w:val="single" w:sz="2" w:space="0" w:color="C0C0C0"/>
            </w:tcBorders>
          </w:tcPr>
          <w:p w14:paraId="57158ED2" w14:textId="77777777" w:rsidR="007E6DBF" w:rsidRPr="00DB0E3E" w:rsidRDefault="007E6DBF" w:rsidP="007E6DBF">
            <w:pPr>
              <w:pStyle w:val="Tabletext"/>
              <w:jc w:val="center"/>
              <w:rPr>
                <w:b/>
              </w:rPr>
            </w:pPr>
            <w:r w:rsidRPr="00D441F8">
              <w:t xml:space="preserve"> $165,494 </w:t>
            </w:r>
          </w:p>
        </w:tc>
        <w:tc>
          <w:tcPr>
            <w:tcW w:w="1258" w:type="dxa"/>
            <w:tcBorders>
              <w:top w:val="single" w:sz="2" w:space="0" w:color="C0C0C0"/>
              <w:bottom w:val="single" w:sz="2" w:space="0" w:color="C0C0C0"/>
            </w:tcBorders>
          </w:tcPr>
          <w:p w14:paraId="7114FA55" w14:textId="77777777" w:rsidR="007E6DBF" w:rsidRPr="00C96CCB" w:rsidRDefault="007E6DBF" w:rsidP="007E6DBF">
            <w:pPr>
              <w:pStyle w:val="Tabletext"/>
              <w:jc w:val="center"/>
            </w:pPr>
            <w:r w:rsidRPr="00D441F8">
              <w:t xml:space="preserve"> 1,426,412 </w:t>
            </w:r>
          </w:p>
        </w:tc>
        <w:tc>
          <w:tcPr>
            <w:tcW w:w="1258" w:type="dxa"/>
            <w:tcBorders>
              <w:top w:val="single" w:sz="2" w:space="0" w:color="C0C0C0"/>
              <w:bottom w:val="single" w:sz="2" w:space="0" w:color="C0C0C0"/>
            </w:tcBorders>
          </w:tcPr>
          <w:p w14:paraId="4CD48C3C" w14:textId="77777777" w:rsidR="007E6DBF" w:rsidRPr="00C96CCB" w:rsidRDefault="007E6DBF" w:rsidP="007E6DBF">
            <w:pPr>
              <w:pStyle w:val="Tabletext"/>
              <w:jc w:val="center"/>
            </w:pPr>
            <w:r w:rsidRPr="00D441F8">
              <w:t xml:space="preserve"> $73,949 </w:t>
            </w:r>
          </w:p>
        </w:tc>
      </w:tr>
      <w:tr w:rsidR="007E6DBF" w14:paraId="5BA0C974" w14:textId="77777777">
        <w:trPr>
          <w:cantSplit/>
        </w:trPr>
        <w:tc>
          <w:tcPr>
            <w:tcW w:w="1258" w:type="dxa"/>
            <w:tcBorders>
              <w:top w:val="single" w:sz="2" w:space="0" w:color="C0C0C0"/>
              <w:bottom w:val="single" w:sz="2" w:space="0" w:color="C0C0C0"/>
            </w:tcBorders>
            <w:shd w:val="clear" w:color="auto" w:fill="auto"/>
            <w:vAlign w:val="center"/>
          </w:tcPr>
          <w:p w14:paraId="61958D63" w14:textId="77777777" w:rsidR="007E6DBF" w:rsidRPr="002349C4" w:rsidRDefault="007E6DBF" w:rsidP="007E6DBF">
            <w:pPr>
              <w:pStyle w:val="Tabletext"/>
            </w:pPr>
            <w:r>
              <w:t>6 star</w:t>
            </w:r>
          </w:p>
        </w:tc>
        <w:tc>
          <w:tcPr>
            <w:tcW w:w="1258" w:type="dxa"/>
            <w:tcBorders>
              <w:top w:val="single" w:sz="2" w:space="0" w:color="C0C0C0"/>
              <w:bottom w:val="single" w:sz="2" w:space="0" w:color="C0C0C0"/>
            </w:tcBorders>
            <w:shd w:val="clear" w:color="auto" w:fill="auto"/>
          </w:tcPr>
          <w:p w14:paraId="415DF132" w14:textId="77777777" w:rsidR="007E6DBF" w:rsidRPr="00DB0E3E" w:rsidRDefault="007E6DBF" w:rsidP="007E6DBF">
            <w:pPr>
              <w:pStyle w:val="Tabletext"/>
              <w:jc w:val="center"/>
              <w:rPr>
                <w:b/>
              </w:rPr>
            </w:pPr>
            <w:r w:rsidRPr="00D441F8">
              <w:t xml:space="preserve"> 399,027 </w:t>
            </w:r>
          </w:p>
        </w:tc>
        <w:tc>
          <w:tcPr>
            <w:tcW w:w="1258" w:type="dxa"/>
            <w:tcBorders>
              <w:top w:val="single" w:sz="2" w:space="0" w:color="C0C0C0"/>
              <w:bottom w:val="single" w:sz="2" w:space="0" w:color="C0C0C0"/>
            </w:tcBorders>
            <w:shd w:val="clear" w:color="auto" w:fill="auto"/>
          </w:tcPr>
          <w:p w14:paraId="4BFAEA06" w14:textId="77777777" w:rsidR="007E6DBF" w:rsidRPr="00DB0E3E" w:rsidRDefault="007E6DBF" w:rsidP="007E6DBF">
            <w:pPr>
              <w:pStyle w:val="Tabletext"/>
              <w:jc w:val="center"/>
              <w:rPr>
                <w:b/>
              </w:rPr>
            </w:pPr>
            <w:r w:rsidRPr="00D441F8">
              <w:t xml:space="preserve"> 159,610 </w:t>
            </w:r>
          </w:p>
        </w:tc>
        <w:tc>
          <w:tcPr>
            <w:tcW w:w="1258" w:type="dxa"/>
            <w:tcBorders>
              <w:top w:val="single" w:sz="2" w:space="0" w:color="C0C0C0"/>
              <w:bottom w:val="single" w:sz="2" w:space="0" w:color="C0C0C0"/>
            </w:tcBorders>
          </w:tcPr>
          <w:p w14:paraId="73F0C05E" w14:textId="77777777" w:rsidR="007E6DBF" w:rsidRPr="00DB0E3E" w:rsidRDefault="007E6DBF" w:rsidP="007E6DBF">
            <w:pPr>
              <w:pStyle w:val="Tabletext"/>
              <w:jc w:val="center"/>
              <w:rPr>
                <w:b/>
              </w:rPr>
            </w:pPr>
            <w:r w:rsidRPr="00D441F8">
              <w:t xml:space="preserve"> $79,805 </w:t>
            </w:r>
          </w:p>
        </w:tc>
        <w:tc>
          <w:tcPr>
            <w:tcW w:w="1258" w:type="dxa"/>
            <w:tcBorders>
              <w:top w:val="single" w:sz="2" w:space="0" w:color="C0C0C0"/>
              <w:bottom w:val="single" w:sz="2" w:space="0" w:color="C0C0C0"/>
            </w:tcBorders>
          </w:tcPr>
          <w:p w14:paraId="7610CE55" w14:textId="77777777" w:rsidR="007E6DBF" w:rsidRPr="00DB0E3E" w:rsidRDefault="007E6DBF" w:rsidP="007E6DBF">
            <w:pPr>
              <w:pStyle w:val="Tabletext"/>
              <w:jc w:val="center"/>
              <w:rPr>
                <w:b/>
              </w:rPr>
            </w:pPr>
            <w:r w:rsidRPr="00D441F8">
              <w:t xml:space="preserve"> $2,942 </w:t>
            </w:r>
          </w:p>
        </w:tc>
        <w:tc>
          <w:tcPr>
            <w:tcW w:w="1258" w:type="dxa"/>
            <w:tcBorders>
              <w:top w:val="single" w:sz="2" w:space="0" w:color="C0C0C0"/>
              <w:bottom w:val="single" w:sz="2" w:space="0" w:color="C0C0C0"/>
            </w:tcBorders>
          </w:tcPr>
          <w:p w14:paraId="7DC87A34" w14:textId="77777777" w:rsidR="007E6DBF" w:rsidRPr="00DB0E3E" w:rsidRDefault="007E6DBF" w:rsidP="007E6DBF">
            <w:pPr>
              <w:pStyle w:val="Tabletext"/>
              <w:jc w:val="center"/>
              <w:rPr>
                <w:b/>
              </w:rPr>
            </w:pPr>
            <w:r w:rsidRPr="00D441F8">
              <w:t xml:space="preserve"> $82,747 </w:t>
            </w:r>
          </w:p>
        </w:tc>
        <w:tc>
          <w:tcPr>
            <w:tcW w:w="1258" w:type="dxa"/>
            <w:tcBorders>
              <w:top w:val="single" w:sz="2" w:space="0" w:color="C0C0C0"/>
              <w:bottom w:val="single" w:sz="2" w:space="0" w:color="C0C0C0"/>
            </w:tcBorders>
          </w:tcPr>
          <w:p w14:paraId="0F050951" w14:textId="77777777" w:rsidR="007E6DBF" w:rsidRPr="00C96CCB" w:rsidRDefault="007E6DBF" w:rsidP="007E6DBF">
            <w:pPr>
              <w:pStyle w:val="Tabletext"/>
              <w:jc w:val="center"/>
            </w:pPr>
            <w:r w:rsidRPr="00D441F8">
              <w:t xml:space="preserve"> 1,596,108 </w:t>
            </w:r>
          </w:p>
        </w:tc>
        <w:tc>
          <w:tcPr>
            <w:tcW w:w="1258" w:type="dxa"/>
            <w:tcBorders>
              <w:top w:val="single" w:sz="2" w:space="0" w:color="C0C0C0"/>
              <w:bottom w:val="single" w:sz="2" w:space="0" w:color="C0C0C0"/>
            </w:tcBorders>
          </w:tcPr>
          <w:p w14:paraId="4F43159B" w14:textId="77777777" w:rsidR="007E6DBF" w:rsidRPr="00C96CCB" w:rsidRDefault="007E6DBF" w:rsidP="007E6DBF">
            <w:pPr>
              <w:pStyle w:val="Tabletext"/>
              <w:jc w:val="center"/>
            </w:pPr>
            <w:r w:rsidRPr="00D441F8">
              <w:t xml:space="preserve"> $82,747 </w:t>
            </w:r>
          </w:p>
        </w:tc>
      </w:tr>
    </w:tbl>
    <w:p w14:paraId="425D416E" w14:textId="77777777" w:rsidR="00476F54" w:rsidRDefault="00476F54" w:rsidP="00350B2D">
      <w:pPr>
        <w:pStyle w:val="Note"/>
        <w:ind w:left="-2551"/>
      </w:pPr>
      <w:r>
        <w:rPr>
          <w:i/>
        </w:rPr>
        <w:t>Note:</w:t>
      </w:r>
      <w:r>
        <w:t xml:space="preserve"> Assuming </w:t>
      </w:r>
      <w:r w:rsidR="002349C4">
        <w:t>a 10,000 m</w:t>
      </w:r>
      <w:r w:rsidR="002349C4" w:rsidRPr="002349C4">
        <w:rPr>
          <w:vertAlign w:val="superscript"/>
        </w:rPr>
        <w:t>2</w:t>
      </w:r>
      <w:r w:rsidR="002349C4">
        <w:t xml:space="preserve"> NLA building, </w:t>
      </w:r>
      <w:r w:rsidR="00BA3224">
        <w:t>90 per cent</w:t>
      </w:r>
      <w:r>
        <w:t xml:space="preserve"> electricity use, </w:t>
      </w:r>
      <w:r w:rsidR="00BA3224">
        <w:t>10 per cent</w:t>
      </w:r>
      <w:r>
        <w:t xml:space="preserve"> gas use, electricity charges of 20c/kWh and gas charges of $18/GJ</w:t>
      </w:r>
      <w:r w:rsidR="00472418">
        <w:t>.</w:t>
      </w:r>
    </w:p>
    <w:p w14:paraId="0EA3EE15" w14:textId="77777777" w:rsidR="009E14B8" w:rsidRDefault="009E14B8" w:rsidP="00350B2D">
      <w:pPr>
        <w:pStyle w:val="Source"/>
        <w:ind w:left="-2551"/>
      </w:pPr>
      <w:r>
        <w:t>Source</w:t>
      </w:r>
      <w:r w:rsidRPr="00B85543">
        <w:t xml:space="preserve">: </w:t>
      </w:r>
      <w:r w:rsidR="000C110B">
        <w:t xml:space="preserve">NABERS reverse calculator, </w:t>
      </w:r>
      <w:r>
        <w:t xml:space="preserve">ACIL Allen </w:t>
      </w:r>
      <w:r w:rsidR="000C110B">
        <w:t>assumptions</w:t>
      </w:r>
    </w:p>
    <w:p w14:paraId="41F15C4B" w14:textId="77777777" w:rsidR="00065D65" w:rsidRDefault="00065D65">
      <w:pPr>
        <w:pStyle w:val="Caption"/>
      </w:pPr>
      <w:bookmarkStart w:id="488" w:name="_Ref414439316"/>
      <w:bookmarkStart w:id="489" w:name="_Toc415660966"/>
      <w:r>
        <w:lastRenderedPageBreak/>
        <w:t xml:space="preserve">Figure </w:t>
      </w:r>
      <w:r w:rsidR="00492194">
        <w:fldChar w:fldCharType="begin"/>
      </w:r>
      <w:r w:rsidR="0044208C">
        <w:instrText xml:space="preserve"> SEQ Figure \* ARABIC </w:instrText>
      </w:r>
      <w:r w:rsidR="00492194">
        <w:fldChar w:fldCharType="separate"/>
      </w:r>
      <w:r w:rsidR="006A273E">
        <w:rPr>
          <w:noProof/>
        </w:rPr>
        <w:t>21</w:t>
      </w:r>
      <w:r w:rsidR="00492194">
        <w:rPr>
          <w:noProof/>
        </w:rPr>
        <w:fldChar w:fldCharType="end"/>
      </w:r>
      <w:bookmarkEnd w:id="488"/>
      <w:r w:rsidRPr="004E0C91">
        <w:rPr>
          <w:b/>
          <w:color w:val="000080"/>
        </w:rPr>
        <w:tab/>
      </w:r>
      <w:r>
        <w:rPr>
          <w:rStyle w:val="CaptionLabel"/>
        </w:rPr>
        <w:t xml:space="preserve">Illustrative </w:t>
      </w:r>
      <w:r w:rsidR="005A7EC0">
        <w:rPr>
          <w:rStyle w:val="CaptionLabel"/>
        </w:rPr>
        <w:t xml:space="preserve">energy </w:t>
      </w:r>
      <w:r>
        <w:rPr>
          <w:rStyle w:val="CaptionLabel"/>
        </w:rPr>
        <w:t>cost</w:t>
      </w:r>
      <w:r w:rsidR="00B31F1D">
        <w:rPr>
          <w:rStyle w:val="CaptionLabel"/>
        </w:rPr>
        <w:t>s</w:t>
      </w:r>
      <w:r>
        <w:rPr>
          <w:rStyle w:val="CaptionLabel"/>
        </w:rPr>
        <w:t xml:space="preserve"> </w:t>
      </w:r>
      <w:r>
        <w:rPr>
          <w:b/>
          <w:color w:val="000000"/>
        </w:rPr>
        <w:t>for 10,000 m</w:t>
      </w:r>
      <w:r w:rsidRPr="00DB0E3E">
        <w:rPr>
          <w:b/>
          <w:color w:val="000000"/>
          <w:vertAlign w:val="superscript"/>
        </w:rPr>
        <w:t>2</w:t>
      </w:r>
      <w:r>
        <w:rPr>
          <w:b/>
          <w:color w:val="000000"/>
        </w:rPr>
        <w:t xml:space="preserve"> NLA by star rating</w:t>
      </w:r>
      <w:bookmarkEnd w:id="489"/>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065D65" w14:paraId="204064D5" w14:textId="77777777">
        <w:trPr>
          <w:cantSplit/>
        </w:trPr>
        <w:tc>
          <w:tcPr>
            <w:tcW w:w="5000" w:type="pct"/>
          </w:tcPr>
          <w:p w14:paraId="636E79B8" w14:textId="77777777" w:rsidR="00065D65" w:rsidRDefault="00065D65" w:rsidP="008965D0">
            <w:pPr>
              <w:pStyle w:val="SmallDeltasRightAligned"/>
              <w:keepNext/>
            </w:pPr>
            <w:r>
              <w:rPr>
                <w:noProof/>
                <w:lang w:eastAsia="en-AU"/>
              </w:rPr>
              <w:drawing>
                <wp:inline distT="0" distB="0" distL="0" distR="0" wp14:anchorId="66DE2A2D" wp14:editId="506E58AD">
                  <wp:extent cx="481585" cy="234696"/>
                  <wp:effectExtent l="0" t="0" r="0" b="0"/>
                  <wp:docPr id="45" name="Picture 45"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065D65" w14:paraId="149DD1B0" w14:textId="77777777">
        <w:tblPrEx>
          <w:tblCellMar>
            <w:left w:w="108" w:type="dxa"/>
            <w:right w:w="108" w:type="dxa"/>
          </w:tblCellMar>
        </w:tblPrEx>
        <w:trPr>
          <w:cantSplit/>
        </w:trPr>
        <w:tc>
          <w:tcPr>
            <w:tcW w:w="5000" w:type="pct"/>
          </w:tcPr>
          <w:p w14:paraId="616902D0" w14:textId="77777777" w:rsidR="00065D65" w:rsidRDefault="005A7EC0" w:rsidP="008965D0">
            <w:pPr>
              <w:pStyle w:val="Figure"/>
            </w:pPr>
            <w:r>
              <w:rPr>
                <w:noProof/>
                <w:lang w:eastAsia="en-AU"/>
              </w:rPr>
              <w:drawing>
                <wp:inline distT="0" distB="0" distL="0" distR="0" wp14:anchorId="79EE0CB3" wp14:editId="454588EA">
                  <wp:extent cx="4543425" cy="2726055"/>
                  <wp:effectExtent l="0" t="0" r="0" b="0"/>
                  <wp:docPr id="140" name="Chart 140" descr="Illustrative energy costs for 10,000 m2 NLA by star rating" title="Illustrative energy costs for 10,000 m2 NLA by star rat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14:paraId="0582048A" w14:textId="77777777" w:rsidR="00065D65" w:rsidRDefault="00065D65">
      <w:pPr>
        <w:pStyle w:val="Note"/>
      </w:pPr>
      <w:r>
        <w:rPr>
          <w:i/>
        </w:rPr>
        <w:t>Note:</w:t>
      </w:r>
      <w:r>
        <w:t xml:space="preserve"> Assuming a 10,000 m</w:t>
      </w:r>
      <w:r w:rsidRPr="002349C4">
        <w:rPr>
          <w:vertAlign w:val="superscript"/>
        </w:rPr>
        <w:t>2</w:t>
      </w:r>
      <w:r>
        <w:t xml:space="preserve"> NLA building, 90 per cent electricity use, 10 per cent gas use, electricity charges of 20c/kWh and gas charges of $18/GJ</w:t>
      </w:r>
      <w:r w:rsidR="00472418">
        <w:t>.</w:t>
      </w:r>
    </w:p>
    <w:p w14:paraId="67F4CD11" w14:textId="77777777" w:rsidR="00065D65" w:rsidRPr="00B50A1B" w:rsidRDefault="00065D65" w:rsidP="008965D0">
      <w:pPr>
        <w:pStyle w:val="Source"/>
        <w:rPr>
          <w:i/>
        </w:rPr>
      </w:pPr>
      <w:r>
        <w:t>S</w:t>
      </w:r>
      <w:r w:rsidRPr="00B50A1B">
        <w:t>ource:</w:t>
      </w:r>
      <w:r w:rsidRPr="00954EED">
        <w:t xml:space="preserve"> </w:t>
      </w:r>
      <w:r>
        <w:t>NABERS reverse calculator, ACIL Allen assumptions</w:t>
      </w:r>
    </w:p>
    <w:p w14:paraId="356BE216" w14:textId="77777777" w:rsidR="00350B2D" w:rsidRDefault="00B31F1D" w:rsidP="00B31F1D">
      <w:pPr>
        <w:pStyle w:val="BodyText"/>
      </w:pPr>
      <w:r>
        <w:t>An illustrative example of differences in energy costs for a building of 10,000 m</w:t>
      </w:r>
      <w:r w:rsidRPr="00DB0E3E">
        <w:rPr>
          <w:vertAlign w:val="superscript"/>
        </w:rPr>
        <w:t>2</w:t>
      </w:r>
      <w:r>
        <w:t xml:space="preserve"> NLA in the Sydney CBD by TLA grade is shown in </w:t>
      </w:r>
      <w:r w:rsidR="00492194">
        <w:fldChar w:fldCharType="begin"/>
      </w:r>
      <w:r>
        <w:instrText xml:space="preserve"> REF _Ref414397963 \h </w:instrText>
      </w:r>
      <w:r w:rsidR="00492194">
        <w:fldChar w:fldCharType="separate"/>
      </w:r>
      <w:r w:rsidR="006A273E">
        <w:t xml:space="preserve">Table </w:t>
      </w:r>
      <w:r w:rsidR="006A273E">
        <w:rPr>
          <w:noProof/>
        </w:rPr>
        <w:t>13</w:t>
      </w:r>
      <w:r w:rsidR="00492194">
        <w:fldChar w:fldCharType="end"/>
      </w:r>
      <w:r>
        <w:t xml:space="preserve"> and </w:t>
      </w:r>
      <w:r w:rsidR="00492194">
        <w:fldChar w:fldCharType="begin"/>
      </w:r>
      <w:r>
        <w:instrText xml:space="preserve"> REF _Ref414439332 \h </w:instrText>
      </w:r>
      <w:r w:rsidR="00492194">
        <w:fldChar w:fldCharType="separate"/>
      </w:r>
      <w:r w:rsidR="006A273E">
        <w:t xml:space="preserve">Figure </w:t>
      </w:r>
      <w:r w:rsidR="006A273E">
        <w:rPr>
          <w:noProof/>
        </w:rPr>
        <w:t>22</w:t>
      </w:r>
      <w:r w:rsidR="00492194">
        <w:fldChar w:fldCharType="end"/>
      </w:r>
      <w:r>
        <w:t>.</w:t>
      </w:r>
    </w:p>
    <w:p w14:paraId="06CD48D4" w14:textId="77777777" w:rsidR="007E6DBF" w:rsidRDefault="007E6DBF" w:rsidP="007E6DBF">
      <w:pPr>
        <w:pStyle w:val="Caption"/>
        <w:ind w:left="-1701"/>
      </w:pPr>
      <w:bookmarkStart w:id="490" w:name="_Ref414397963"/>
      <w:bookmarkStart w:id="491" w:name="_Toc415661020"/>
      <w:r>
        <w:t xml:space="preserve">Table </w:t>
      </w:r>
      <w:r w:rsidR="00366ADF">
        <w:fldChar w:fldCharType="begin"/>
      </w:r>
      <w:r w:rsidR="00366ADF">
        <w:instrText xml:space="preserve"> SEQ Table \* MERGEFORMAT </w:instrText>
      </w:r>
      <w:r w:rsidR="00366ADF">
        <w:fldChar w:fldCharType="separate"/>
      </w:r>
      <w:r w:rsidR="006A273E">
        <w:rPr>
          <w:noProof/>
        </w:rPr>
        <w:t>13</w:t>
      </w:r>
      <w:r w:rsidR="00366ADF">
        <w:rPr>
          <w:noProof/>
        </w:rPr>
        <w:fldChar w:fldCharType="end"/>
      </w:r>
      <w:bookmarkEnd w:id="490"/>
      <w:r w:rsidRPr="00C9524D">
        <w:rPr>
          <w:b/>
          <w:color w:val="000000"/>
        </w:rPr>
        <w:tab/>
      </w:r>
      <w:r>
        <w:rPr>
          <w:b/>
          <w:color w:val="000000"/>
        </w:rPr>
        <w:t>Illustrative energy cost difference for 10,000 m</w:t>
      </w:r>
      <w:r w:rsidRPr="00DB0E3E">
        <w:rPr>
          <w:b/>
          <w:color w:val="000000"/>
          <w:vertAlign w:val="superscript"/>
        </w:rPr>
        <w:t>2</w:t>
      </w:r>
      <w:r>
        <w:rPr>
          <w:b/>
          <w:color w:val="000000"/>
        </w:rPr>
        <w:t xml:space="preserve"> NLA by TLA grade</w:t>
      </w:r>
      <w:bookmarkEnd w:id="491"/>
    </w:p>
    <w:tbl>
      <w:tblPr>
        <w:tblW w:w="10064" w:type="dxa"/>
        <w:tblInd w:w="-2551"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992"/>
        <w:gridCol w:w="1985"/>
        <w:gridCol w:w="1417"/>
        <w:gridCol w:w="1417"/>
        <w:gridCol w:w="1418"/>
        <w:gridCol w:w="1417"/>
        <w:gridCol w:w="1418"/>
      </w:tblGrid>
      <w:tr w:rsidR="00560AB0" w14:paraId="4DE0A953" w14:textId="77777777">
        <w:trPr>
          <w:cantSplit/>
        </w:trPr>
        <w:tc>
          <w:tcPr>
            <w:tcW w:w="992" w:type="dxa"/>
            <w:tcBorders>
              <w:top w:val="nil"/>
              <w:bottom w:val="single" w:sz="2" w:space="0" w:color="C0C0C0"/>
            </w:tcBorders>
            <w:shd w:val="solid" w:color="9757A6" w:fill="auto"/>
            <w:vAlign w:val="center"/>
          </w:tcPr>
          <w:p w14:paraId="0C6F9089" w14:textId="77777777" w:rsidR="00560AB0" w:rsidRPr="00A31DAB" w:rsidRDefault="00560AB0" w:rsidP="00B91ECA">
            <w:pPr>
              <w:pStyle w:val="Tablecolumnheadings"/>
            </w:pPr>
            <w:r>
              <w:t>TLA Grade</w:t>
            </w:r>
          </w:p>
        </w:tc>
        <w:tc>
          <w:tcPr>
            <w:tcW w:w="1985" w:type="dxa"/>
            <w:tcBorders>
              <w:top w:val="nil"/>
              <w:bottom w:val="single" w:sz="2" w:space="0" w:color="C0C0C0"/>
            </w:tcBorders>
            <w:shd w:val="solid" w:color="9757A6" w:fill="auto"/>
            <w:vAlign w:val="center"/>
          </w:tcPr>
          <w:p w14:paraId="2F088EFE" w14:textId="77777777" w:rsidR="00560AB0" w:rsidRPr="00A31DAB" w:rsidRDefault="00560AB0" w:rsidP="007E6DBF">
            <w:pPr>
              <w:pStyle w:val="Tablecolumnheadings"/>
              <w:jc w:val="center"/>
            </w:pPr>
            <w:r>
              <w:t>Power density range for grade</w:t>
            </w:r>
          </w:p>
        </w:tc>
        <w:tc>
          <w:tcPr>
            <w:tcW w:w="1417" w:type="dxa"/>
            <w:tcBorders>
              <w:top w:val="nil"/>
              <w:bottom w:val="single" w:sz="2" w:space="0" w:color="C0C0C0"/>
            </w:tcBorders>
            <w:shd w:val="solid" w:color="9757A6" w:fill="auto"/>
            <w:vAlign w:val="center"/>
          </w:tcPr>
          <w:p w14:paraId="76627B17" w14:textId="77777777" w:rsidR="00560AB0" w:rsidRPr="00A31DAB" w:rsidRDefault="00560AB0" w:rsidP="007E6DBF">
            <w:pPr>
              <w:pStyle w:val="Tablecolumnheadings"/>
              <w:jc w:val="center"/>
            </w:pPr>
            <w:r>
              <w:t>Assumed power density (W/m</w:t>
            </w:r>
            <w:r w:rsidRPr="007E6DBF">
              <w:rPr>
                <w:vertAlign w:val="superscript"/>
              </w:rPr>
              <w:t>2</w:t>
            </w:r>
            <w:r>
              <w:t>)</w:t>
            </w:r>
          </w:p>
        </w:tc>
        <w:tc>
          <w:tcPr>
            <w:tcW w:w="1417" w:type="dxa"/>
            <w:tcBorders>
              <w:top w:val="nil"/>
              <w:bottom w:val="single" w:sz="2" w:space="0" w:color="C0C0C0"/>
            </w:tcBorders>
            <w:shd w:val="solid" w:color="9757A6" w:fill="auto"/>
          </w:tcPr>
          <w:p w14:paraId="3B1912DF" w14:textId="77777777" w:rsidR="00560AB0" w:rsidRDefault="00560AB0" w:rsidP="007E6DBF">
            <w:pPr>
              <w:pStyle w:val="Tablecolumnheadings"/>
              <w:jc w:val="center"/>
            </w:pPr>
            <w:r>
              <w:t>Estimated l</w:t>
            </w:r>
            <w:r w:rsidRPr="007E6DBF">
              <w:t xml:space="preserve">ighting electricity </w:t>
            </w:r>
            <w:r>
              <w:t xml:space="preserve">use </w:t>
            </w:r>
            <w:r w:rsidRPr="007E6DBF">
              <w:t>(kWh</w:t>
            </w:r>
            <w:r w:rsidR="00C82AC7">
              <w:t>/year</w:t>
            </w:r>
            <w:r w:rsidRPr="007E6DBF">
              <w:t>)</w:t>
            </w:r>
          </w:p>
        </w:tc>
        <w:tc>
          <w:tcPr>
            <w:tcW w:w="1418" w:type="dxa"/>
            <w:tcBorders>
              <w:top w:val="nil"/>
              <w:bottom w:val="single" w:sz="2" w:space="0" w:color="C0C0C0"/>
            </w:tcBorders>
            <w:shd w:val="solid" w:color="9757A6" w:fill="auto"/>
          </w:tcPr>
          <w:p w14:paraId="4BF5D60B" w14:textId="77777777" w:rsidR="00560AB0" w:rsidRDefault="00560AB0" w:rsidP="00B91ECA">
            <w:pPr>
              <w:pStyle w:val="Tablecolumnheadings"/>
              <w:jc w:val="center"/>
            </w:pPr>
            <w:r>
              <w:t>Estimated lighting electricity cost ($/year)</w:t>
            </w:r>
          </w:p>
        </w:tc>
        <w:tc>
          <w:tcPr>
            <w:tcW w:w="1417" w:type="dxa"/>
            <w:tcBorders>
              <w:top w:val="nil"/>
              <w:bottom w:val="single" w:sz="2" w:space="0" w:color="C0C0C0"/>
            </w:tcBorders>
            <w:shd w:val="solid" w:color="9757A6" w:fill="auto"/>
          </w:tcPr>
          <w:p w14:paraId="31214674" w14:textId="77777777" w:rsidR="00560AB0" w:rsidRDefault="00560AB0" w:rsidP="00B91ECA">
            <w:pPr>
              <w:pStyle w:val="Tablecolumnheadings"/>
              <w:jc w:val="center"/>
            </w:pPr>
            <w:r>
              <w:t>Incremental energy saving (kWh/year)</w:t>
            </w:r>
          </w:p>
        </w:tc>
        <w:tc>
          <w:tcPr>
            <w:tcW w:w="1418" w:type="dxa"/>
            <w:tcBorders>
              <w:top w:val="nil"/>
              <w:bottom w:val="single" w:sz="2" w:space="0" w:color="C0C0C0"/>
            </w:tcBorders>
            <w:shd w:val="solid" w:color="9757A6" w:fill="auto"/>
          </w:tcPr>
          <w:p w14:paraId="64989D8A" w14:textId="77777777" w:rsidR="00560AB0" w:rsidRDefault="00560AB0" w:rsidP="00B91ECA">
            <w:pPr>
              <w:pStyle w:val="Tablecolumnheadings"/>
              <w:jc w:val="center"/>
            </w:pPr>
            <w:r>
              <w:t>Incremental cost saving</w:t>
            </w:r>
          </w:p>
        </w:tc>
      </w:tr>
      <w:tr w:rsidR="00560AB0" w14:paraId="4C5F2F35" w14:textId="77777777">
        <w:trPr>
          <w:cantSplit/>
        </w:trPr>
        <w:tc>
          <w:tcPr>
            <w:tcW w:w="992" w:type="dxa"/>
            <w:shd w:val="clear" w:color="auto" w:fill="auto"/>
          </w:tcPr>
          <w:p w14:paraId="3ECCA819" w14:textId="77777777" w:rsidR="00560AB0" w:rsidRDefault="00560AB0" w:rsidP="00560AB0">
            <w:pPr>
              <w:pStyle w:val="Tabletext"/>
            </w:pPr>
            <w:r w:rsidRPr="004B2F12">
              <w:t>Very Poor</w:t>
            </w:r>
          </w:p>
        </w:tc>
        <w:tc>
          <w:tcPr>
            <w:tcW w:w="1985" w:type="dxa"/>
            <w:shd w:val="clear" w:color="auto" w:fill="auto"/>
          </w:tcPr>
          <w:p w14:paraId="4C59A3D8" w14:textId="77777777" w:rsidR="00560AB0" w:rsidRDefault="00560AB0" w:rsidP="00560AB0">
            <w:pPr>
              <w:pStyle w:val="Tabletext"/>
              <w:jc w:val="center"/>
            </w:pPr>
            <w:r w:rsidRPr="0043128B">
              <w:t>18.1 W/m² or more</w:t>
            </w:r>
          </w:p>
        </w:tc>
        <w:tc>
          <w:tcPr>
            <w:tcW w:w="1417" w:type="dxa"/>
            <w:shd w:val="clear" w:color="auto" w:fill="auto"/>
          </w:tcPr>
          <w:p w14:paraId="25EF6A5D" w14:textId="77777777" w:rsidR="00560AB0" w:rsidRDefault="00560AB0" w:rsidP="00560AB0">
            <w:pPr>
              <w:pStyle w:val="Tabletext"/>
              <w:jc w:val="center"/>
            </w:pPr>
            <w:r w:rsidRPr="00E84B53">
              <w:t>19.0</w:t>
            </w:r>
          </w:p>
        </w:tc>
        <w:tc>
          <w:tcPr>
            <w:tcW w:w="1417" w:type="dxa"/>
          </w:tcPr>
          <w:p w14:paraId="6CD043E7" w14:textId="77777777" w:rsidR="00560AB0" w:rsidRPr="00DB0E3E" w:rsidRDefault="00560AB0" w:rsidP="00560AB0">
            <w:pPr>
              <w:pStyle w:val="Tabletext"/>
              <w:jc w:val="center"/>
            </w:pPr>
            <w:r w:rsidRPr="007F406E">
              <w:t xml:space="preserve"> 290,062 </w:t>
            </w:r>
          </w:p>
        </w:tc>
        <w:tc>
          <w:tcPr>
            <w:tcW w:w="1418" w:type="dxa"/>
          </w:tcPr>
          <w:p w14:paraId="0CC9F81F" w14:textId="77777777" w:rsidR="00560AB0" w:rsidRPr="00DB0E3E" w:rsidRDefault="00560AB0" w:rsidP="00560AB0">
            <w:pPr>
              <w:pStyle w:val="Tabletext"/>
              <w:jc w:val="center"/>
            </w:pPr>
            <w:r w:rsidRPr="007F406E">
              <w:t xml:space="preserve"> $58,012 </w:t>
            </w:r>
          </w:p>
        </w:tc>
        <w:tc>
          <w:tcPr>
            <w:tcW w:w="1417" w:type="dxa"/>
          </w:tcPr>
          <w:p w14:paraId="3B4072D6" w14:textId="77777777" w:rsidR="00560AB0" w:rsidRPr="00C96CCB" w:rsidRDefault="00560AB0" w:rsidP="00560AB0">
            <w:pPr>
              <w:pStyle w:val="Tabletext"/>
              <w:jc w:val="center"/>
            </w:pPr>
          </w:p>
        </w:tc>
        <w:tc>
          <w:tcPr>
            <w:tcW w:w="1418" w:type="dxa"/>
          </w:tcPr>
          <w:p w14:paraId="328250B6" w14:textId="77777777" w:rsidR="00560AB0" w:rsidRPr="00C96CCB" w:rsidRDefault="00560AB0" w:rsidP="00560AB0">
            <w:pPr>
              <w:pStyle w:val="Tabletext"/>
              <w:jc w:val="center"/>
            </w:pPr>
          </w:p>
        </w:tc>
      </w:tr>
      <w:tr w:rsidR="00560AB0" w14:paraId="60975853" w14:textId="77777777">
        <w:trPr>
          <w:cantSplit/>
        </w:trPr>
        <w:tc>
          <w:tcPr>
            <w:tcW w:w="992" w:type="dxa"/>
            <w:shd w:val="clear" w:color="auto" w:fill="auto"/>
          </w:tcPr>
          <w:p w14:paraId="7AA2DCF7" w14:textId="77777777" w:rsidR="00560AB0" w:rsidRDefault="00560AB0" w:rsidP="00560AB0">
            <w:pPr>
              <w:pStyle w:val="Tabletext"/>
            </w:pPr>
            <w:r w:rsidRPr="004B2F12">
              <w:t>Poor</w:t>
            </w:r>
          </w:p>
        </w:tc>
        <w:tc>
          <w:tcPr>
            <w:tcW w:w="1985" w:type="dxa"/>
            <w:shd w:val="clear" w:color="auto" w:fill="auto"/>
          </w:tcPr>
          <w:p w14:paraId="5503F254" w14:textId="77777777" w:rsidR="00560AB0" w:rsidRDefault="00560AB0" w:rsidP="00560AB0">
            <w:pPr>
              <w:pStyle w:val="Tabletext"/>
              <w:jc w:val="center"/>
            </w:pPr>
            <w:r w:rsidRPr="0043128B">
              <w:t>15.1 W/m² to 18.0 W/m²</w:t>
            </w:r>
          </w:p>
        </w:tc>
        <w:tc>
          <w:tcPr>
            <w:tcW w:w="1417" w:type="dxa"/>
            <w:shd w:val="clear" w:color="auto" w:fill="auto"/>
          </w:tcPr>
          <w:p w14:paraId="13747170" w14:textId="77777777" w:rsidR="00560AB0" w:rsidRDefault="00560AB0" w:rsidP="00560AB0">
            <w:pPr>
              <w:pStyle w:val="Tabletext"/>
              <w:jc w:val="center"/>
            </w:pPr>
            <w:r w:rsidRPr="00E84B53">
              <w:t>16.5</w:t>
            </w:r>
          </w:p>
        </w:tc>
        <w:tc>
          <w:tcPr>
            <w:tcW w:w="1417" w:type="dxa"/>
          </w:tcPr>
          <w:p w14:paraId="75307EE5" w14:textId="77777777" w:rsidR="00560AB0" w:rsidRPr="00DB0E3E" w:rsidRDefault="00560AB0" w:rsidP="00560AB0">
            <w:pPr>
              <w:pStyle w:val="Tabletext"/>
              <w:jc w:val="center"/>
            </w:pPr>
            <w:r w:rsidRPr="007F406E">
              <w:t xml:space="preserve"> 251,896 </w:t>
            </w:r>
          </w:p>
        </w:tc>
        <w:tc>
          <w:tcPr>
            <w:tcW w:w="1418" w:type="dxa"/>
          </w:tcPr>
          <w:p w14:paraId="608113A5" w14:textId="77777777" w:rsidR="00560AB0" w:rsidRPr="00DB0E3E" w:rsidRDefault="00560AB0" w:rsidP="00560AB0">
            <w:pPr>
              <w:pStyle w:val="Tabletext"/>
              <w:jc w:val="center"/>
            </w:pPr>
            <w:r w:rsidRPr="007F406E">
              <w:t xml:space="preserve"> $50,379 </w:t>
            </w:r>
          </w:p>
        </w:tc>
        <w:tc>
          <w:tcPr>
            <w:tcW w:w="1417" w:type="dxa"/>
          </w:tcPr>
          <w:p w14:paraId="52DB95E7" w14:textId="77777777" w:rsidR="00560AB0" w:rsidRPr="00C96CCB" w:rsidRDefault="00560AB0" w:rsidP="00560AB0">
            <w:pPr>
              <w:pStyle w:val="Tabletext"/>
              <w:jc w:val="center"/>
            </w:pPr>
            <w:r w:rsidRPr="00A33A4B">
              <w:t xml:space="preserve"> 38,166 </w:t>
            </w:r>
          </w:p>
        </w:tc>
        <w:tc>
          <w:tcPr>
            <w:tcW w:w="1418" w:type="dxa"/>
          </w:tcPr>
          <w:p w14:paraId="4D12AD83" w14:textId="77777777" w:rsidR="00560AB0" w:rsidRPr="00C96CCB" w:rsidRDefault="00560AB0" w:rsidP="00560AB0">
            <w:pPr>
              <w:pStyle w:val="Tabletext"/>
              <w:jc w:val="center"/>
            </w:pPr>
            <w:r w:rsidRPr="00A33A4B">
              <w:t xml:space="preserve"> $7,633 </w:t>
            </w:r>
          </w:p>
        </w:tc>
      </w:tr>
      <w:tr w:rsidR="00560AB0" w14:paraId="7B933AF5" w14:textId="77777777">
        <w:trPr>
          <w:cantSplit/>
        </w:trPr>
        <w:tc>
          <w:tcPr>
            <w:tcW w:w="992" w:type="dxa"/>
            <w:shd w:val="clear" w:color="auto" w:fill="auto"/>
          </w:tcPr>
          <w:p w14:paraId="29244AE9" w14:textId="77777777" w:rsidR="00560AB0" w:rsidRDefault="00560AB0" w:rsidP="00560AB0">
            <w:pPr>
              <w:pStyle w:val="Tabletext"/>
            </w:pPr>
            <w:r w:rsidRPr="004B2F12">
              <w:t>Median</w:t>
            </w:r>
          </w:p>
        </w:tc>
        <w:tc>
          <w:tcPr>
            <w:tcW w:w="1985" w:type="dxa"/>
            <w:shd w:val="clear" w:color="auto" w:fill="auto"/>
          </w:tcPr>
          <w:p w14:paraId="705A8F8E" w14:textId="77777777" w:rsidR="00560AB0" w:rsidRDefault="00560AB0" w:rsidP="00560AB0">
            <w:pPr>
              <w:pStyle w:val="Tabletext"/>
              <w:jc w:val="center"/>
            </w:pPr>
            <w:r w:rsidRPr="0043128B">
              <w:t>10.1 W/m² to 15.0 W/m²</w:t>
            </w:r>
          </w:p>
        </w:tc>
        <w:tc>
          <w:tcPr>
            <w:tcW w:w="1417" w:type="dxa"/>
            <w:shd w:val="clear" w:color="auto" w:fill="auto"/>
          </w:tcPr>
          <w:p w14:paraId="5D421C4A" w14:textId="77777777" w:rsidR="00560AB0" w:rsidRDefault="00560AB0" w:rsidP="00560AB0">
            <w:pPr>
              <w:pStyle w:val="Tabletext"/>
              <w:jc w:val="center"/>
            </w:pPr>
            <w:r w:rsidRPr="00E84B53">
              <w:t>12.5</w:t>
            </w:r>
          </w:p>
        </w:tc>
        <w:tc>
          <w:tcPr>
            <w:tcW w:w="1417" w:type="dxa"/>
          </w:tcPr>
          <w:p w14:paraId="4C443DB1" w14:textId="77777777" w:rsidR="00560AB0" w:rsidRPr="00DB0E3E" w:rsidRDefault="00560AB0" w:rsidP="00560AB0">
            <w:pPr>
              <w:pStyle w:val="Tabletext"/>
              <w:jc w:val="center"/>
            </w:pPr>
            <w:r w:rsidRPr="007F406E">
              <w:t xml:space="preserve"> 190,830 </w:t>
            </w:r>
          </w:p>
        </w:tc>
        <w:tc>
          <w:tcPr>
            <w:tcW w:w="1418" w:type="dxa"/>
          </w:tcPr>
          <w:p w14:paraId="70FF7DF9" w14:textId="77777777" w:rsidR="00560AB0" w:rsidRPr="00DB0E3E" w:rsidRDefault="00560AB0" w:rsidP="00560AB0">
            <w:pPr>
              <w:pStyle w:val="Tabletext"/>
              <w:jc w:val="center"/>
            </w:pPr>
            <w:r w:rsidRPr="007F406E">
              <w:t xml:space="preserve"> $38,166 </w:t>
            </w:r>
          </w:p>
        </w:tc>
        <w:tc>
          <w:tcPr>
            <w:tcW w:w="1417" w:type="dxa"/>
          </w:tcPr>
          <w:p w14:paraId="1490AF06" w14:textId="77777777" w:rsidR="00560AB0" w:rsidRPr="00C96CCB" w:rsidRDefault="00560AB0" w:rsidP="00560AB0">
            <w:pPr>
              <w:pStyle w:val="Tabletext"/>
              <w:jc w:val="center"/>
            </w:pPr>
            <w:r w:rsidRPr="00A33A4B">
              <w:t xml:space="preserve"> 61,066 </w:t>
            </w:r>
          </w:p>
        </w:tc>
        <w:tc>
          <w:tcPr>
            <w:tcW w:w="1418" w:type="dxa"/>
          </w:tcPr>
          <w:p w14:paraId="0D972C82" w14:textId="77777777" w:rsidR="00560AB0" w:rsidRPr="00C96CCB" w:rsidRDefault="00560AB0" w:rsidP="00560AB0">
            <w:pPr>
              <w:pStyle w:val="Tabletext"/>
              <w:jc w:val="center"/>
            </w:pPr>
            <w:r w:rsidRPr="00A33A4B">
              <w:t xml:space="preserve"> $12,213 </w:t>
            </w:r>
          </w:p>
        </w:tc>
      </w:tr>
      <w:tr w:rsidR="00560AB0" w14:paraId="180AE9C9" w14:textId="77777777">
        <w:trPr>
          <w:cantSplit/>
        </w:trPr>
        <w:tc>
          <w:tcPr>
            <w:tcW w:w="992" w:type="dxa"/>
            <w:tcBorders>
              <w:bottom w:val="single" w:sz="2" w:space="0" w:color="C0C0C0"/>
            </w:tcBorders>
            <w:shd w:val="clear" w:color="auto" w:fill="auto"/>
          </w:tcPr>
          <w:p w14:paraId="5A49D0FF" w14:textId="77777777" w:rsidR="00560AB0" w:rsidRDefault="00560AB0" w:rsidP="00560AB0">
            <w:pPr>
              <w:pStyle w:val="Tabletext"/>
            </w:pPr>
            <w:r w:rsidRPr="004B2F12">
              <w:t>Good</w:t>
            </w:r>
          </w:p>
        </w:tc>
        <w:tc>
          <w:tcPr>
            <w:tcW w:w="1985" w:type="dxa"/>
            <w:tcBorders>
              <w:bottom w:val="single" w:sz="2" w:space="0" w:color="C0C0C0"/>
            </w:tcBorders>
            <w:shd w:val="clear" w:color="auto" w:fill="auto"/>
          </w:tcPr>
          <w:p w14:paraId="5CE3BA8D" w14:textId="77777777" w:rsidR="00560AB0" w:rsidRDefault="00560AB0" w:rsidP="00560AB0">
            <w:pPr>
              <w:pStyle w:val="Tabletext"/>
              <w:jc w:val="center"/>
            </w:pPr>
            <w:r w:rsidRPr="0043128B">
              <w:t>7.1 to 10.0 W/m²</w:t>
            </w:r>
          </w:p>
        </w:tc>
        <w:tc>
          <w:tcPr>
            <w:tcW w:w="1417" w:type="dxa"/>
            <w:tcBorders>
              <w:bottom w:val="single" w:sz="2" w:space="0" w:color="C0C0C0"/>
            </w:tcBorders>
            <w:shd w:val="clear" w:color="auto" w:fill="auto"/>
          </w:tcPr>
          <w:p w14:paraId="27788CFD" w14:textId="77777777" w:rsidR="00560AB0" w:rsidRDefault="00560AB0" w:rsidP="00560AB0">
            <w:pPr>
              <w:pStyle w:val="Tabletext"/>
              <w:jc w:val="center"/>
            </w:pPr>
            <w:r w:rsidRPr="00E84B53">
              <w:t>8.5</w:t>
            </w:r>
          </w:p>
        </w:tc>
        <w:tc>
          <w:tcPr>
            <w:tcW w:w="1417" w:type="dxa"/>
            <w:tcBorders>
              <w:bottom w:val="single" w:sz="2" w:space="0" w:color="C0C0C0"/>
            </w:tcBorders>
          </w:tcPr>
          <w:p w14:paraId="56C5909D" w14:textId="77777777" w:rsidR="00560AB0" w:rsidRPr="00DB0E3E" w:rsidRDefault="00560AB0" w:rsidP="00560AB0">
            <w:pPr>
              <w:pStyle w:val="Tabletext"/>
              <w:jc w:val="center"/>
            </w:pPr>
            <w:r w:rsidRPr="007F406E">
              <w:t xml:space="preserve"> 129,765 </w:t>
            </w:r>
          </w:p>
        </w:tc>
        <w:tc>
          <w:tcPr>
            <w:tcW w:w="1418" w:type="dxa"/>
            <w:tcBorders>
              <w:bottom w:val="single" w:sz="2" w:space="0" w:color="C0C0C0"/>
            </w:tcBorders>
          </w:tcPr>
          <w:p w14:paraId="7449B48B" w14:textId="77777777" w:rsidR="00560AB0" w:rsidRPr="00DB0E3E" w:rsidRDefault="00560AB0" w:rsidP="00560AB0">
            <w:pPr>
              <w:pStyle w:val="Tabletext"/>
              <w:jc w:val="center"/>
            </w:pPr>
            <w:r w:rsidRPr="007F406E">
              <w:t xml:space="preserve"> $25,953 </w:t>
            </w:r>
          </w:p>
        </w:tc>
        <w:tc>
          <w:tcPr>
            <w:tcW w:w="1417" w:type="dxa"/>
            <w:tcBorders>
              <w:bottom w:val="single" w:sz="2" w:space="0" w:color="C0C0C0"/>
            </w:tcBorders>
          </w:tcPr>
          <w:p w14:paraId="4AA02CB6" w14:textId="77777777" w:rsidR="00560AB0" w:rsidRPr="00C96CCB" w:rsidRDefault="00560AB0" w:rsidP="00560AB0">
            <w:pPr>
              <w:pStyle w:val="Tabletext"/>
              <w:jc w:val="center"/>
            </w:pPr>
            <w:r w:rsidRPr="00A33A4B">
              <w:t xml:space="preserve"> 61,066 </w:t>
            </w:r>
          </w:p>
        </w:tc>
        <w:tc>
          <w:tcPr>
            <w:tcW w:w="1418" w:type="dxa"/>
            <w:tcBorders>
              <w:bottom w:val="single" w:sz="2" w:space="0" w:color="C0C0C0"/>
            </w:tcBorders>
          </w:tcPr>
          <w:p w14:paraId="7DE01176" w14:textId="77777777" w:rsidR="00560AB0" w:rsidRPr="00C96CCB" w:rsidRDefault="00560AB0" w:rsidP="00560AB0">
            <w:pPr>
              <w:pStyle w:val="Tabletext"/>
              <w:jc w:val="center"/>
            </w:pPr>
            <w:r w:rsidRPr="00A33A4B">
              <w:t xml:space="preserve"> $12,213 </w:t>
            </w:r>
          </w:p>
        </w:tc>
      </w:tr>
      <w:tr w:rsidR="00560AB0" w14:paraId="78248067" w14:textId="77777777">
        <w:trPr>
          <w:cantSplit/>
        </w:trPr>
        <w:tc>
          <w:tcPr>
            <w:tcW w:w="992" w:type="dxa"/>
            <w:tcBorders>
              <w:top w:val="single" w:sz="2" w:space="0" w:color="C0C0C0"/>
              <w:bottom w:val="single" w:sz="2" w:space="0" w:color="C0C0C0"/>
            </w:tcBorders>
            <w:shd w:val="clear" w:color="auto" w:fill="auto"/>
          </w:tcPr>
          <w:p w14:paraId="75B778B1" w14:textId="77777777" w:rsidR="00560AB0" w:rsidRDefault="00560AB0" w:rsidP="00560AB0">
            <w:pPr>
              <w:pStyle w:val="Tabletext"/>
            </w:pPr>
            <w:r w:rsidRPr="004B2F12">
              <w:t>Excellent</w:t>
            </w:r>
          </w:p>
        </w:tc>
        <w:tc>
          <w:tcPr>
            <w:tcW w:w="1985" w:type="dxa"/>
            <w:tcBorders>
              <w:top w:val="single" w:sz="2" w:space="0" w:color="C0C0C0"/>
              <w:bottom w:val="single" w:sz="2" w:space="0" w:color="C0C0C0"/>
            </w:tcBorders>
            <w:shd w:val="clear" w:color="auto" w:fill="auto"/>
          </w:tcPr>
          <w:p w14:paraId="1A9E12BE" w14:textId="77777777" w:rsidR="00560AB0" w:rsidRDefault="00560AB0" w:rsidP="00560AB0">
            <w:pPr>
              <w:pStyle w:val="Tabletext"/>
              <w:jc w:val="center"/>
            </w:pPr>
            <w:r w:rsidRPr="0043128B">
              <w:t>7.0 W/m² or less</w:t>
            </w:r>
          </w:p>
        </w:tc>
        <w:tc>
          <w:tcPr>
            <w:tcW w:w="1417" w:type="dxa"/>
            <w:tcBorders>
              <w:top w:val="single" w:sz="2" w:space="0" w:color="C0C0C0"/>
              <w:bottom w:val="single" w:sz="2" w:space="0" w:color="C0C0C0"/>
            </w:tcBorders>
            <w:shd w:val="clear" w:color="auto" w:fill="auto"/>
          </w:tcPr>
          <w:p w14:paraId="3D41C0FD" w14:textId="77777777" w:rsidR="00560AB0" w:rsidRDefault="00560AB0" w:rsidP="00560AB0">
            <w:pPr>
              <w:pStyle w:val="Tabletext"/>
              <w:jc w:val="center"/>
            </w:pPr>
            <w:r w:rsidRPr="00E84B53">
              <w:t>6.0</w:t>
            </w:r>
          </w:p>
        </w:tc>
        <w:tc>
          <w:tcPr>
            <w:tcW w:w="1417" w:type="dxa"/>
            <w:tcBorders>
              <w:top w:val="single" w:sz="2" w:space="0" w:color="C0C0C0"/>
              <w:bottom w:val="single" w:sz="2" w:space="0" w:color="C0C0C0"/>
            </w:tcBorders>
          </w:tcPr>
          <w:p w14:paraId="1E958C12" w14:textId="77777777" w:rsidR="00560AB0" w:rsidRPr="00DB0E3E" w:rsidRDefault="00560AB0" w:rsidP="00560AB0">
            <w:pPr>
              <w:pStyle w:val="Tabletext"/>
              <w:jc w:val="center"/>
            </w:pPr>
            <w:r w:rsidRPr="007F406E">
              <w:t xml:space="preserve"> 91,599 </w:t>
            </w:r>
          </w:p>
        </w:tc>
        <w:tc>
          <w:tcPr>
            <w:tcW w:w="1418" w:type="dxa"/>
            <w:tcBorders>
              <w:top w:val="single" w:sz="2" w:space="0" w:color="C0C0C0"/>
              <w:bottom w:val="single" w:sz="2" w:space="0" w:color="C0C0C0"/>
            </w:tcBorders>
          </w:tcPr>
          <w:p w14:paraId="6A2B4010" w14:textId="77777777" w:rsidR="00560AB0" w:rsidRPr="00DB0E3E" w:rsidRDefault="00560AB0" w:rsidP="00560AB0">
            <w:pPr>
              <w:pStyle w:val="Tabletext"/>
              <w:jc w:val="center"/>
            </w:pPr>
            <w:r w:rsidRPr="007F406E">
              <w:t xml:space="preserve"> $18,320 </w:t>
            </w:r>
          </w:p>
        </w:tc>
        <w:tc>
          <w:tcPr>
            <w:tcW w:w="1417" w:type="dxa"/>
            <w:tcBorders>
              <w:top w:val="single" w:sz="2" w:space="0" w:color="C0C0C0"/>
              <w:bottom w:val="single" w:sz="2" w:space="0" w:color="C0C0C0"/>
            </w:tcBorders>
          </w:tcPr>
          <w:p w14:paraId="1845A87D" w14:textId="77777777" w:rsidR="00560AB0" w:rsidRPr="00C96CCB" w:rsidRDefault="00560AB0" w:rsidP="00560AB0">
            <w:pPr>
              <w:pStyle w:val="Tabletext"/>
              <w:jc w:val="center"/>
            </w:pPr>
            <w:r w:rsidRPr="00A33A4B">
              <w:t xml:space="preserve"> 38,166 </w:t>
            </w:r>
          </w:p>
        </w:tc>
        <w:tc>
          <w:tcPr>
            <w:tcW w:w="1418" w:type="dxa"/>
            <w:tcBorders>
              <w:top w:val="single" w:sz="2" w:space="0" w:color="C0C0C0"/>
              <w:bottom w:val="single" w:sz="2" w:space="0" w:color="C0C0C0"/>
            </w:tcBorders>
          </w:tcPr>
          <w:p w14:paraId="435D94DB" w14:textId="77777777" w:rsidR="00560AB0" w:rsidRPr="00C96CCB" w:rsidRDefault="00560AB0" w:rsidP="00560AB0">
            <w:pPr>
              <w:pStyle w:val="Tabletext"/>
              <w:jc w:val="center"/>
            </w:pPr>
            <w:r w:rsidRPr="00A33A4B">
              <w:t xml:space="preserve"> $7,633 </w:t>
            </w:r>
          </w:p>
        </w:tc>
      </w:tr>
    </w:tbl>
    <w:p w14:paraId="2B5EF05F" w14:textId="77777777" w:rsidR="007E6DBF" w:rsidRDefault="007E6DBF" w:rsidP="007E6DBF">
      <w:pPr>
        <w:pStyle w:val="Note"/>
        <w:ind w:left="-2551"/>
      </w:pPr>
      <w:r>
        <w:rPr>
          <w:i/>
        </w:rPr>
        <w:t>Note:</w:t>
      </w:r>
      <w:r>
        <w:t xml:space="preserve"> Assuming electricity charges of 20c/kWh</w:t>
      </w:r>
      <w:r w:rsidR="00472418">
        <w:t>.</w:t>
      </w:r>
    </w:p>
    <w:p w14:paraId="74383736" w14:textId="77777777" w:rsidR="007E6DBF" w:rsidRDefault="007E6DBF" w:rsidP="007E6DBF">
      <w:pPr>
        <w:pStyle w:val="Source"/>
        <w:ind w:left="-2551"/>
      </w:pPr>
      <w:r>
        <w:t>Source</w:t>
      </w:r>
      <w:r w:rsidRPr="00B85543">
        <w:t xml:space="preserve">: </w:t>
      </w:r>
      <w:r w:rsidR="00D64812" w:rsidRPr="00D64812">
        <w:t>CBD Tenancy Lighting Assessment for Offices Rules</w:t>
      </w:r>
      <w:r w:rsidR="00D64812">
        <w:t xml:space="preserve">, </w:t>
      </w:r>
      <w:r>
        <w:t>ACIL Allen assumptions</w:t>
      </w:r>
    </w:p>
    <w:p w14:paraId="2BAB167E" w14:textId="77777777" w:rsidR="00081279" w:rsidRDefault="00081279" w:rsidP="00081279">
      <w:pPr>
        <w:pStyle w:val="Caption"/>
      </w:pPr>
      <w:bookmarkStart w:id="492" w:name="_Ref414439332"/>
      <w:bookmarkStart w:id="493" w:name="_Toc415660967"/>
      <w:r>
        <w:lastRenderedPageBreak/>
        <w:t xml:space="preserve">Figure </w:t>
      </w:r>
      <w:r w:rsidR="00492194">
        <w:fldChar w:fldCharType="begin"/>
      </w:r>
      <w:r w:rsidR="0044208C">
        <w:instrText xml:space="preserve"> SEQ Figure \* ARABIC </w:instrText>
      </w:r>
      <w:r w:rsidR="00492194">
        <w:fldChar w:fldCharType="separate"/>
      </w:r>
      <w:r w:rsidR="006A273E">
        <w:rPr>
          <w:noProof/>
        </w:rPr>
        <w:t>22</w:t>
      </w:r>
      <w:r w:rsidR="00492194">
        <w:rPr>
          <w:noProof/>
        </w:rPr>
        <w:fldChar w:fldCharType="end"/>
      </w:r>
      <w:bookmarkEnd w:id="492"/>
      <w:r w:rsidRPr="004E0C91">
        <w:rPr>
          <w:b/>
          <w:color w:val="000080"/>
        </w:rPr>
        <w:tab/>
      </w:r>
      <w:r>
        <w:rPr>
          <w:rStyle w:val="CaptionLabel"/>
        </w:rPr>
        <w:t xml:space="preserve">Illustrative </w:t>
      </w:r>
      <w:r w:rsidR="00B31F1D">
        <w:rPr>
          <w:rStyle w:val="CaptionLabel"/>
        </w:rPr>
        <w:t xml:space="preserve">energy </w:t>
      </w:r>
      <w:r>
        <w:rPr>
          <w:rStyle w:val="CaptionLabel"/>
        </w:rPr>
        <w:t>cost</w:t>
      </w:r>
      <w:r w:rsidR="00B31F1D">
        <w:rPr>
          <w:rStyle w:val="CaptionLabel"/>
        </w:rPr>
        <w:t>s</w:t>
      </w:r>
      <w:r>
        <w:rPr>
          <w:rStyle w:val="CaptionLabel"/>
        </w:rPr>
        <w:t xml:space="preserve"> </w:t>
      </w:r>
      <w:r>
        <w:rPr>
          <w:b/>
          <w:color w:val="000000"/>
        </w:rPr>
        <w:t>for 10,000 m</w:t>
      </w:r>
      <w:r w:rsidRPr="00DB0E3E">
        <w:rPr>
          <w:b/>
          <w:color w:val="000000"/>
          <w:vertAlign w:val="superscript"/>
        </w:rPr>
        <w:t>2</w:t>
      </w:r>
      <w:r>
        <w:rPr>
          <w:b/>
          <w:color w:val="000000"/>
        </w:rPr>
        <w:t xml:space="preserve"> NLA by TLA grade</w:t>
      </w:r>
      <w:bookmarkEnd w:id="493"/>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081279" w14:paraId="2C33A267" w14:textId="77777777">
        <w:trPr>
          <w:cantSplit/>
        </w:trPr>
        <w:tc>
          <w:tcPr>
            <w:tcW w:w="5000" w:type="pct"/>
          </w:tcPr>
          <w:p w14:paraId="5D8AAD9F" w14:textId="77777777" w:rsidR="00081279" w:rsidRDefault="00081279" w:rsidP="008965D0">
            <w:pPr>
              <w:pStyle w:val="SmallDeltasRightAligned"/>
              <w:keepNext/>
            </w:pPr>
            <w:r>
              <w:rPr>
                <w:noProof/>
                <w:lang w:eastAsia="en-AU"/>
              </w:rPr>
              <w:drawing>
                <wp:inline distT="0" distB="0" distL="0" distR="0" wp14:anchorId="50AE3BAA" wp14:editId="0113A267">
                  <wp:extent cx="481585" cy="234696"/>
                  <wp:effectExtent l="0" t="0" r="0" b="0"/>
                  <wp:docPr id="137" name="Picture 137"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081279" w14:paraId="539A6339" w14:textId="77777777">
        <w:tblPrEx>
          <w:tblCellMar>
            <w:left w:w="108" w:type="dxa"/>
            <w:right w:w="108" w:type="dxa"/>
          </w:tblCellMar>
        </w:tblPrEx>
        <w:trPr>
          <w:cantSplit/>
        </w:trPr>
        <w:tc>
          <w:tcPr>
            <w:tcW w:w="5000" w:type="pct"/>
          </w:tcPr>
          <w:p w14:paraId="53EA03A3" w14:textId="77777777" w:rsidR="00081279" w:rsidRDefault="005A7EC0" w:rsidP="008965D0">
            <w:pPr>
              <w:pStyle w:val="Figure"/>
            </w:pPr>
            <w:r>
              <w:rPr>
                <w:noProof/>
                <w:lang w:eastAsia="en-AU"/>
              </w:rPr>
              <w:drawing>
                <wp:inline distT="0" distB="0" distL="0" distR="0" wp14:anchorId="263EEA75" wp14:editId="2849554C">
                  <wp:extent cx="4543425" cy="2726055"/>
                  <wp:effectExtent l="0" t="0" r="0" b="0"/>
                  <wp:docPr id="141" name="Chart 141" descr="Illustrative energy costs for 10,000 m2 NLA by TLA grade" title="Illustrative energy costs for 10,000 m2 NLA by TLA grade"/>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14:paraId="64DD67D5" w14:textId="77777777" w:rsidR="00081279" w:rsidRDefault="00081279" w:rsidP="00081279">
      <w:pPr>
        <w:pStyle w:val="Note"/>
      </w:pPr>
      <w:r>
        <w:rPr>
          <w:i/>
        </w:rPr>
        <w:t>Note:</w:t>
      </w:r>
      <w:r>
        <w:t xml:space="preserve"> Assuming electricity charges of 20c/kWh</w:t>
      </w:r>
      <w:r w:rsidR="00472418">
        <w:t>.</w:t>
      </w:r>
    </w:p>
    <w:p w14:paraId="1CE54653" w14:textId="77777777" w:rsidR="00081279" w:rsidRPr="00B50A1B" w:rsidRDefault="00081279" w:rsidP="00081279">
      <w:pPr>
        <w:pStyle w:val="Source"/>
        <w:rPr>
          <w:i/>
        </w:rPr>
      </w:pPr>
      <w:r>
        <w:t>Source</w:t>
      </w:r>
      <w:r w:rsidRPr="00B85543">
        <w:t xml:space="preserve">: </w:t>
      </w:r>
      <w:r w:rsidRPr="00D64812">
        <w:t>CBD Tenancy Lighting Assessment for Offices Rules</w:t>
      </w:r>
      <w:r>
        <w:t>, ACIL Allen assumptions</w:t>
      </w:r>
    </w:p>
    <w:p w14:paraId="22C79FDE" w14:textId="77777777" w:rsidR="009E14B8" w:rsidRDefault="00A80E56" w:rsidP="00B400AC">
      <w:pPr>
        <w:pStyle w:val="BodyText"/>
      </w:pPr>
      <w:r>
        <w:t>For example, each incremental improvement in star rating reduces energy costs by approximately $80,000 per year</w:t>
      </w:r>
      <w:r w:rsidR="00B05FF7">
        <w:t xml:space="preserve">, whereas each </w:t>
      </w:r>
      <w:r w:rsidR="005F3077">
        <w:t xml:space="preserve">incremental </w:t>
      </w:r>
      <w:r w:rsidR="00B05FF7">
        <w:t>improvement in TLA grade reduces costs by approximately $10,000 per year, based on the assumptions adopted.</w:t>
      </w:r>
      <w:r w:rsidR="005F3077">
        <w:t xml:space="preserve"> </w:t>
      </w:r>
      <w:r w:rsidR="00A11F2F">
        <w:t xml:space="preserve">However, the extent to which these cost savings </w:t>
      </w:r>
      <w:r w:rsidR="00F774DF">
        <w:t xml:space="preserve">would be </w:t>
      </w:r>
      <w:r w:rsidR="00A11F2F">
        <w:t xml:space="preserve">reflected in rents </w:t>
      </w:r>
      <w:r w:rsidR="00A936CF">
        <w:t>depends on market dynamics.</w:t>
      </w:r>
    </w:p>
    <w:p w14:paraId="5F4CC696" w14:textId="77777777" w:rsidR="00717928" w:rsidRDefault="00CE6686" w:rsidP="00B400AC">
      <w:pPr>
        <w:pStyle w:val="BodyText"/>
      </w:pPr>
      <w:r>
        <w:t>There is now a number of studies on the existence of the green premium in the Australian commercial property market</w:t>
      </w:r>
      <w:r w:rsidR="00CB3EC7">
        <w:t xml:space="preserve">. </w:t>
      </w:r>
      <w:r w:rsidR="009828D3">
        <w:t xml:space="preserve">According to a 2011 study commissioned by the Australian Property Institute </w:t>
      </w:r>
      <w:r w:rsidR="009828D3" w:rsidRPr="00A90AF4">
        <w:rPr>
          <w:i/>
        </w:rPr>
        <w:t>‘Building Better Returns’ A Study of the Financial Performance of Green Office Buildings in Australia</w:t>
      </w:r>
      <w:r w:rsidR="009828D3">
        <w:t>, a green premium was evident for buildings with high NABERS energy ratings</w:t>
      </w:r>
      <w:r w:rsidR="00CB3EC7">
        <w:t xml:space="preserve">. </w:t>
      </w:r>
      <w:r w:rsidR="009828D3">
        <w:t>The study found:</w:t>
      </w:r>
    </w:p>
    <w:p w14:paraId="1F6B5883" w14:textId="77777777" w:rsidR="009828D3" w:rsidRDefault="009828D3" w:rsidP="00A90AF4">
      <w:pPr>
        <w:pStyle w:val="ListDash"/>
      </w:pPr>
      <w:r>
        <w:t>A 5 star NABERS rating delivered a 9 per cent green premium in value while a 3 to 4.5 star rating delivered a 2-3 per cent green premium in value.</w:t>
      </w:r>
    </w:p>
    <w:p w14:paraId="742F6244" w14:textId="77777777" w:rsidR="009828D3" w:rsidRDefault="009828D3" w:rsidP="00A90AF4">
      <w:pPr>
        <w:pStyle w:val="ListDash"/>
      </w:pPr>
      <w:r>
        <w:t>Green premiums differed in specific office markets, being most evident in the Sydney suburban office market (8 per cent green premium) and the Canberra office market (21 per cent green premium), compared with the Sydney CBD office market (4 per cent green premium).</w:t>
      </w:r>
    </w:p>
    <w:p w14:paraId="58D9D23F" w14:textId="77777777" w:rsidR="009828D3" w:rsidRDefault="00333D93" w:rsidP="00A90AF4">
      <w:pPr>
        <w:pStyle w:val="ListDash"/>
      </w:pPr>
      <w:r>
        <w:t>Evidence of major discounts in value in the lower NABERS energy rating categories (less than 3 stars) for the Sydney CBD (10 per cent discount in value) and Canberra (13 per cent discount in value).</w:t>
      </w:r>
    </w:p>
    <w:p w14:paraId="3763AB5B" w14:textId="545F5718" w:rsidR="009828D3" w:rsidRDefault="00333D93" w:rsidP="00A90AF4">
      <w:pPr>
        <w:pStyle w:val="ListDash"/>
      </w:pPr>
      <w:r w:rsidRPr="00333D93">
        <w:t>Lesser impact was seen in the green premiums in rents for the NABERS energy ratings</w:t>
      </w:r>
      <w:r w:rsidR="006042EF">
        <w:t xml:space="preserve"> – in the 5 star NABERS energy rating, the Sydney CBD office market showed the largest green premium in rents (3 per cent)</w:t>
      </w:r>
      <w:r w:rsidR="00492616">
        <w:t>.</w:t>
      </w:r>
    </w:p>
    <w:p w14:paraId="05B18E31" w14:textId="77777777" w:rsidR="006042EF" w:rsidRDefault="006042EF" w:rsidP="00A90AF4">
      <w:pPr>
        <w:pStyle w:val="ListDash"/>
      </w:pPr>
      <w:r>
        <w:t>Major discounts in rents were evident in the lower NABERS energy ratings for the Sydney CBD (9 per cent discount in rents) and Canberra (6 per cent discount in rents).</w:t>
      </w:r>
    </w:p>
    <w:p w14:paraId="07A88FE6" w14:textId="77777777" w:rsidR="006042EF" w:rsidRDefault="006042EF" w:rsidP="00A90AF4">
      <w:pPr>
        <w:pStyle w:val="ListDash"/>
      </w:pPr>
      <w:r>
        <w:t>Green premiums were also evident in reduced vacancy, reduced outgoings, reduced incentives and reduced yields, particularly at the higher rated NABERS energy categories.</w:t>
      </w:r>
    </w:p>
    <w:p w14:paraId="68A51077" w14:textId="77777777" w:rsidR="006042EF" w:rsidRDefault="006042EF">
      <w:pPr>
        <w:pStyle w:val="BodyText"/>
      </w:pPr>
      <w:r>
        <w:lastRenderedPageBreak/>
        <w:t>The research involved a significant portfolio of green office buildings in Sydney and Canberra benchmarked against a portfolio of non-green office buildings, and the property financial performance premiums attached to green office buildings empirically assessed, including rent, value, outgoings, yield and occupancy rate premiums.</w:t>
      </w:r>
    </w:p>
    <w:p w14:paraId="1F75A1FD" w14:textId="77777777" w:rsidR="00CE6686" w:rsidRDefault="00CE6686">
      <w:pPr>
        <w:pStyle w:val="BodyText"/>
      </w:pPr>
      <w:r>
        <w:t>NABERS energy office market analysis undertaken for the Department by IPD also suggests that office buildings with higher star ratings generate higher returns on average than lower rated buildings.</w:t>
      </w:r>
    </w:p>
    <w:p w14:paraId="7ED42AF1" w14:textId="689D1127" w:rsidR="00EB6ABA" w:rsidRDefault="00CE6686">
      <w:pPr>
        <w:pStyle w:val="BodyText"/>
      </w:pPr>
      <w:r w:rsidRPr="00CE6686">
        <w:t xml:space="preserve">For the year ending December 2013, the </w:t>
      </w:r>
      <w:r w:rsidR="00CC7B0B">
        <w:t xml:space="preserve">IPD’s </w:t>
      </w:r>
      <w:r w:rsidRPr="00CE6686">
        <w:t>Total Office Sample reported a total return of +9.7</w:t>
      </w:r>
      <w:r w:rsidR="00CC7B0B">
        <w:t xml:space="preserve"> per cent</w:t>
      </w:r>
      <w:r w:rsidRPr="00CE6686">
        <w:t xml:space="preserve"> (</w:t>
      </w:r>
      <w:r w:rsidR="001C1205">
        <w:t xml:space="preserve">see </w:t>
      </w:r>
      <w:r w:rsidR="00492194">
        <w:fldChar w:fldCharType="begin"/>
      </w:r>
      <w:r w:rsidR="001C1205">
        <w:instrText xml:space="preserve"> REF _Ref408480372 \h </w:instrText>
      </w:r>
      <w:r w:rsidR="00492194">
        <w:fldChar w:fldCharType="separate"/>
      </w:r>
      <w:r w:rsidR="006A273E">
        <w:t xml:space="preserve">Figure </w:t>
      </w:r>
      <w:r w:rsidR="006A273E">
        <w:rPr>
          <w:noProof/>
        </w:rPr>
        <w:t>29</w:t>
      </w:r>
      <w:r w:rsidR="00492194">
        <w:fldChar w:fldCharType="end"/>
      </w:r>
      <w:r w:rsidRPr="00CE6686">
        <w:t>)</w:t>
      </w:r>
      <w:r w:rsidR="00CB3EC7" w:rsidRPr="00CE6686">
        <w:t>.</w:t>
      </w:r>
      <w:r w:rsidR="00CB3EC7">
        <w:t xml:space="preserve"> </w:t>
      </w:r>
      <w:r w:rsidRPr="00CE6686">
        <w:t>The best performing sample for the year was the High Rated Office Sample (+10.5</w:t>
      </w:r>
      <w:r w:rsidR="00CC7B0B">
        <w:t xml:space="preserve"> per cent</w:t>
      </w:r>
      <w:r w:rsidRPr="00CE6686">
        <w:t>), which outperformed the Total Office by +0.9</w:t>
      </w:r>
      <w:r w:rsidR="00CC7B0B">
        <w:t xml:space="preserve"> per cent</w:t>
      </w:r>
      <w:r w:rsidRPr="00CE6686">
        <w:t xml:space="preserve"> and the Low Rated Office total return by +1.8</w:t>
      </w:r>
      <w:r w:rsidR="00CC7B0B">
        <w:t xml:space="preserve"> per cent</w:t>
      </w:r>
      <w:r w:rsidR="00CB3EC7" w:rsidRPr="00CE6686">
        <w:t>.</w:t>
      </w:r>
      <w:r w:rsidR="00CB3EC7">
        <w:t xml:space="preserve"> </w:t>
      </w:r>
      <w:r w:rsidRPr="00CE6686">
        <w:t>The Low Rated Office Sample produced a total return of +8.7</w:t>
      </w:r>
      <w:r w:rsidR="00CC7B0B">
        <w:t xml:space="preserve"> per cent</w:t>
      </w:r>
      <w:r w:rsidRPr="00CE6686">
        <w:t xml:space="preserve"> for the year, and significantly underperformed the Total Office Sample by -0.9</w:t>
      </w:r>
      <w:r w:rsidR="00CC7B0B">
        <w:t xml:space="preserve"> per cent</w:t>
      </w:r>
      <w:r w:rsidR="00CB3EC7" w:rsidRPr="00CE6686">
        <w:t>.</w:t>
      </w:r>
      <w:r w:rsidR="00CB3EC7">
        <w:t xml:space="preserve"> </w:t>
      </w:r>
      <w:r w:rsidR="00CC7B0B">
        <w:t>The High Rated Office Sample comprises buildings with ratings of 4.5 to 6 stars, while the Low Rated Office Sample comprises buildings with zero to four stars.</w:t>
      </w:r>
    </w:p>
    <w:p w14:paraId="2C805D0F" w14:textId="77777777" w:rsidR="00CE6686" w:rsidRDefault="00EB6ABA">
      <w:pPr>
        <w:pStyle w:val="BodyText"/>
      </w:pPr>
      <w:r>
        <w:t xml:space="preserve">(According to IPD, the </w:t>
      </w:r>
      <w:r w:rsidRPr="00EB6ABA">
        <w:t>return-spread between the High and Low Rated Office samples widen</w:t>
      </w:r>
      <w:r>
        <w:t>ed</w:t>
      </w:r>
      <w:r w:rsidRPr="00EB6ABA">
        <w:t xml:space="preserve"> from +31 basis points </w:t>
      </w:r>
      <w:r>
        <w:t xml:space="preserve">in </w:t>
      </w:r>
      <w:r w:rsidRPr="00EB6ABA">
        <w:t xml:space="preserve">December 2012 to +180 basis points </w:t>
      </w:r>
      <w:r>
        <w:t xml:space="preserve">in </w:t>
      </w:r>
      <w:r w:rsidRPr="00EB6ABA">
        <w:t>December 2013</w:t>
      </w:r>
      <w:r>
        <w:t>.</w:t>
      </w:r>
      <w:r w:rsidRPr="00EB6ABA">
        <w:t>)</w:t>
      </w:r>
    </w:p>
    <w:p w14:paraId="537EC584" w14:textId="77777777" w:rsidR="001C1205" w:rsidRDefault="001C1205">
      <w:pPr>
        <w:pStyle w:val="Caption"/>
      </w:pPr>
      <w:bookmarkStart w:id="494" w:name="_Toc415660968"/>
      <w:r w:rsidRPr="00C5138C">
        <w:t xml:space="preserve">Figure </w:t>
      </w:r>
      <w:r w:rsidR="00492194">
        <w:fldChar w:fldCharType="begin"/>
      </w:r>
      <w:r w:rsidR="0044208C">
        <w:instrText xml:space="preserve"> SEQ Figure \* ARABIC </w:instrText>
      </w:r>
      <w:r w:rsidR="00492194">
        <w:fldChar w:fldCharType="separate"/>
      </w:r>
      <w:r w:rsidR="006A273E">
        <w:rPr>
          <w:noProof/>
        </w:rPr>
        <w:t>23</w:t>
      </w:r>
      <w:r w:rsidR="00492194">
        <w:rPr>
          <w:noProof/>
        </w:rPr>
        <w:fldChar w:fldCharType="end"/>
      </w:r>
      <w:r w:rsidRPr="00C5138C">
        <w:rPr>
          <w:b/>
        </w:rPr>
        <w:tab/>
        <w:t>IPD annual r</w:t>
      </w:r>
      <w:r w:rsidRPr="00C5138C">
        <w:rPr>
          <w:rStyle w:val="CaptionLabel"/>
        </w:rPr>
        <w:t xml:space="preserve">eturn comparisons, December </w:t>
      </w:r>
      <w:r>
        <w:rPr>
          <w:rStyle w:val="CaptionLabel"/>
        </w:rPr>
        <w:t>2013</w:t>
      </w:r>
      <w:bookmarkEnd w:id="494"/>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1C1205" w14:paraId="6F1C04F5" w14:textId="77777777">
        <w:trPr>
          <w:cantSplit/>
        </w:trPr>
        <w:tc>
          <w:tcPr>
            <w:tcW w:w="5000" w:type="pct"/>
          </w:tcPr>
          <w:p w14:paraId="416C3437" w14:textId="77777777" w:rsidR="001C1205" w:rsidRDefault="001C1205" w:rsidP="00DD31C2">
            <w:pPr>
              <w:pStyle w:val="SmallDeltasRightAligned"/>
              <w:keepNext/>
            </w:pPr>
            <w:r>
              <w:rPr>
                <w:noProof/>
                <w:lang w:eastAsia="en-AU"/>
              </w:rPr>
              <w:drawing>
                <wp:inline distT="0" distB="0" distL="0" distR="0" wp14:anchorId="03ACE5A0" wp14:editId="5899D64B">
                  <wp:extent cx="481585" cy="234696"/>
                  <wp:effectExtent l="0" t="0" r="0" b="0"/>
                  <wp:docPr id="128" name="Picture 128"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1C1205" w14:paraId="44F3C56B" w14:textId="77777777">
        <w:trPr>
          <w:cantSplit/>
        </w:trPr>
        <w:tc>
          <w:tcPr>
            <w:tcW w:w="5000" w:type="pct"/>
          </w:tcPr>
          <w:p w14:paraId="20F7292F" w14:textId="6CA7F269" w:rsidR="001C1205" w:rsidRDefault="00673741" w:rsidP="00DD31C2">
            <w:pPr>
              <w:pStyle w:val="Figure"/>
            </w:pPr>
            <w:r>
              <w:t xml:space="preserve"> </w:t>
            </w:r>
            <w:r w:rsidRPr="00673741">
              <w:rPr>
                <w:noProof/>
                <w:lang w:eastAsia="en-AU"/>
              </w:rPr>
              <w:drawing>
                <wp:inline distT="0" distB="0" distL="0" distR="0" wp14:anchorId="0F976C13" wp14:editId="48B8CAA1">
                  <wp:extent cx="4572000" cy="2743200"/>
                  <wp:effectExtent l="0" t="0" r="0" b="0"/>
                  <wp:docPr id="139" name="Picture 139" descr="IPD annual return comparisons, December 2013" title="IPD annual return comparisons, Dec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bl>
    <w:p w14:paraId="56E96F70" w14:textId="77777777" w:rsidR="001C1205" w:rsidRPr="00B50A1B" w:rsidRDefault="001C1205" w:rsidP="00DD31C2">
      <w:pPr>
        <w:pStyle w:val="Source"/>
        <w:rPr>
          <w:i/>
        </w:rPr>
      </w:pPr>
      <w:r>
        <w:t>S</w:t>
      </w:r>
      <w:r w:rsidRPr="00B50A1B">
        <w:t>ource:</w:t>
      </w:r>
      <w:r w:rsidRPr="00954EED">
        <w:t xml:space="preserve"> </w:t>
      </w:r>
      <w:r>
        <w:t>NABERS, IPD</w:t>
      </w:r>
      <w:r w:rsidR="00C5138C">
        <w:t xml:space="preserve"> (201</w:t>
      </w:r>
      <w:r w:rsidR="007C2F31">
        <w:t>4</w:t>
      </w:r>
      <w:r w:rsidR="00C5138C">
        <w:t>)</w:t>
      </w:r>
    </w:p>
    <w:p w14:paraId="54650629" w14:textId="77777777" w:rsidR="00CC7B0B" w:rsidRDefault="00492194">
      <w:pPr>
        <w:pStyle w:val="BodyText"/>
      </w:pPr>
      <w:r>
        <w:fldChar w:fldCharType="begin"/>
      </w:r>
      <w:r w:rsidR="00E724CF">
        <w:instrText xml:space="preserve"> REF _Ref408480372 \h </w:instrText>
      </w:r>
      <w:r>
        <w:fldChar w:fldCharType="separate"/>
      </w:r>
      <w:r w:rsidR="006A273E">
        <w:t xml:space="preserve">Figure </w:t>
      </w:r>
      <w:r w:rsidR="006A273E">
        <w:rPr>
          <w:noProof/>
        </w:rPr>
        <w:t>29</w:t>
      </w:r>
      <w:r>
        <w:fldChar w:fldCharType="end"/>
      </w:r>
      <w:r w:rsidR="00E724CF">
        <w:t xml:space="preserve"> also shows that the differences in total returns to the High Rated Office Sample and the Low Rated Office Sample are primarily driven by differences in the capital return to more energy efficient buildings rather than differences in the rental return.</w:t>
      </w:r>
    </w:p>
    <w:p w14:paraId="42AA3101" w14:textId="59E33E46" w:rsidR="00775E1B" w:rsidRDefault="00775E1B">
      <w:pPr>
        <w:pStyle w:val="BodyText"/>
      </w:pPr>
      <w:r>
        <w:t xml:space="preserve">On the other hand, a </w:t>
      </w:r>
      <w:r w:rsidR="007D0D09">
        <w:t xml:space="preserve">2014 </w:t>
      </w:r>
      <w:r>
        <w:t xml:space="preserve">study by Jeremy Gabe and Michael </w:t>
      </w:r>
      <w:proofErr w:type="spellStart"/>
      <w:r>
        <w:t>Rehm</w:t>
      </w:r>
      <w:proofErr w:type="spellEnd"/>
      <w:r>
        <w:t xml:space="preserve"> </w:t>
      </w:r>
      <w:r w:rsidR="00B93A4B">
        <w:t>of the University of Auckland Business School</w:t>
      </w:r>
      <w:r w:rsidR="007D0D09">
        <w:t>,</w:t>
      </w:r>
      <w:r w:rsidR="00B93A4B">
        <w:t xml:space="preserve"> </w:t>
      </w:r>
      <w:r>
        <w:t xml:space="preserve">published in the </w:t>
      </w:r>
      <w:r w:rsidRPr="00A90AF4">
        <w:rPr>
          <w:i/>
        </w:rPr>
        <w:t>Journal of Property Investment &amp; Finance</w:t>
      </w:r>
      <w:r w:rsidR="007D0D09">
        <w:t xml:space="preserve">, </w:t>
      </w:r>
      <w:r>
        <w:t xml:space="preserve">failed to find </w:t>
      </w:r>
      <w:r w:rsidR="008D3847">
        <w:t xml:space="preserve">Australian </w:t>
      </w:r>
      <w:r>
        <w:t xml:space="preserve">evidence to support the hypothesis that tenants pay </w:t>
      </w:r>
      <w:r w:rsidRPr="00775E1B">
        <w:t>increased accommodation costs for space in energy efficient office property.</w:t>
      </w:r>
    </w:p>
    <w:p w14:paraId="1626D29A" w14:textId="77777777" w:rsidR="00775E1B" w:rsidRDefault="00775E1B">
      <w:pPr>
        <w:pStyle w:val="BodyText"/>
      </w:pPr>
      <w:r>
        <w:lastRenderedPageBreak/>
        <w:t xml:space="preserve">The authors </w:t>
      </w:r>
      <w:r w:rsidR="004A270A">
        <w:t xml:space="preserve">of the study </w:t>
      </w:r>
      <w:r>
        <w:t>obtained lease contracts for office space in central Sydney</w:t>
      </w:r>
      <w:r w:rsidR="00CB3EC7">
        <w:t xml:space="preserve">. </w:t>
      </w:r>
      <w:r>
        <w:t>Empirical data on annual gross face rent and contract terms from each lease were combined with building characteristics and measured energy performance at the time of lease</w:t>
      </w:r>
      <w:r w:rsidR="00CB3EC7">
        <w:t xml:space="preserve">. </w:t>
      </w:r>
      <w:r>
        <w:t>Hedonic regression was used to isolate the effect of energy performance on gross face rent.</w:t>
      </w:r>
    </w:p>
    <w:p w14:paraId="6A6A0C40" w14:textId="77777777" w:rsidR="00775E1B" w:rsidRDefault="00775E1B">
      <w:pPr>
        <w:pStyle w:val="BodyText"/>
      </w:pPr>
      <w:r>
        <w:t>The study found that no significant price differentials emerged as a function of energy performance, leading to a conclusion that tenants are not willing to pay for energy efficiency</w:t>
      </w:r>
      <w:r w:rsidR="00CB3EC7">
        <w:t xml:space="preserve">. </w:t>
      </w:r>
      <w:r>
        <w:t>Six factors – tenancy floor level, submarket location, proximity to transit, market fixed effects, building quality specification and, surprisingly, outgoings liability – consistently explain over 85 per cent of gross face rent prices in Sydney.</w:t>
      </w:r>
    </w:p>
    <w:p w14:paraId="0164D6D5" w14:textId="77777777" w:rsidR="006042EF" w:rsidRDefault="004A270A">
      <w:pPr>
        <w:pStyle w:val="BodyText"/>
      </w:pPr>
      <w:r>
        <w:t xml:space="preserve">Setting aside the mixed </w:t>
      </w:r>
      <w:r w:rsidR="006E2742">
        <w:t xml:space="preserve">Australian </w:t>
      </w:r>
      <w:r>
        <w:t>evidence, t</w:t>
      </w:r>
      <w:r w:rsidR="001C1205">
        <w:t>he green premium is not included as a benefit in the CBA because it is a transfer from tenants to landlords</w:t>
      </w:r>
      <w:r w:rsidR="00E724CF">
        <w:t>,</w:t>
      </w:r>
      <w:r w:rsidR="001C1205">
        <w:t xml:space="preserve"> so that there</w:t>
      </w:r>
      <w:r w:rsidR="00E724CF">
        <w:t xml:space="preserve"> are no net gains from the perspective of the broader Australian community</w:t>
      </w:r>
      <w:r w:rsidR="00CB3EC7">
        <w:t xml:space="preserve">. </w:t>
      </w:r>
      <w:r w:rsidR="00E724CF">
        <w:t>Nevertheless, it is an important issue to consider as the perceived green premium is a prime motivation for building owners to undertake energy efficiency upgrades.</w:t>
      </w:r>
    </w:p>
    <w:p w14:paraId="14926C38" w14:textId="77777777" w:rsidR="00717928" w:rsidRDefault="00717928" w:rsidP="00A90AF4">
      <w:pPr>
        <w:pStyle w:val="Heading3"/>
      </w:pPr>
      <w:bookmarkStart w:id="495" w:name="_Toc415660884"/>
      <w:r>
        <w:t>Summary of distributional impacts</w:t>
      </w:r>
      <w:bookmarkEnd w:id="495"/>
    </w:p>
    <w:p w14:paraId="504E54B8" w14:textId="77777777" w:rsidR="00B400AC" w:rsidRDefault="00B400AC" w:rsidP="00B400AC">
      <w:pPr>
        <w:pStyle w:val="BodyText"/>
      </w:pPr>
      <w:r>
        <w:t xml:space="preserve">The distributional impacts of the CBD program are summarised in </w:t>
      </w:r>
      <w:r w:rsidR="00492194">
        <w:fldChar w:fldCharType="begin"/>
      </w:r>
      <w:r>
        <w:instrText xml:space="preserve"> REF _Ref408942200 \h </w:instrText>
      </w:r>
      <w:r w:rsidR="00492194">
        <w:fldChar w:fldCharType="separate"/>
      </w:r>
      <w:r w:rsidR="006A273E">
        <w:t xml:space="preserve">Table </w:t>
      </w:r>
      <w:r w:rsidR="006A273E">
        <w:rPr>
          <w:noProof/>
        </w:rPr>
        <w:t>14</w:t>
      </w:r>
      <w:r w:rsidR="00492194">
        <w:fldChar w:fldCharType="end"/>
      </w:r>
      <w:r>
        <w:t xml:space="preserve"> and discussed below.</w:t>
      </w:r>
    </w:p>
    <w:p w14:paraId="6814FAE9" w14:textId="77777777" w:rsidR="00B400AC" w:rsidRDefault="00B400AC" w:rsidP="00B400AC">
      <w:pPr>
        <w:pStyle w:val="Caption"/>
        <w:framePr w:w="9921" w:hSpace="181" w:wrap="notBeside" w:vAnchor="text" w:hAnchor="text" w:x="-2550" w:y="1"/>
        <w:rPr>
          <w:rStyle w:val="CaptionLabel"/>
          <w:rFonts w:asciiTheme="minorHAnsi" w:hAnsiTheme="minorHAnsi" w:cs="Times New Roman"/>
          <w:sz w:val="22"/>
          <w:szCs w:val="22"/>
          <w:lang w:eastAsia="en-AU"/>
        </w:rPr>
      </w:pPr>
      <w:bookmarkStart w:id="496" w:name="_Ref408942200"/>
      <w:bookmarkStart w:id="497" w:name="_Toc415661021"/>
      <w:r>
        <w:t xml:space="preserve">Table </w:t>
      </w:r>
      <w:r w:rsidR="00492194">
        <w:fldChar w:fldCharType="begin"/>
      </w:r>
      <w:r w:rsidR="0044208C">
        <w:instrText xml:space="preserve"> SEQ Table \* ARABIC </w:instrText>
      </w:r>
      <w:r w:rsidR="00492194">
        <w:fldChar w:fldCharType="separate"/>
      </w:r>
      <w:r w:rsidR="006A273E">
        <w:rPr>
          <w:noProof/>
        </w:rPr>
        <w:t>14</w:t>
      </w:r>
      <w:r w:rsidR="00492194">
        <w:rPr>
          <w:noProof/>
        </w:rPr>
        <w:fldChar w:fldCharType="end"/>
      </w:r>
      <w:bookmarkEnd w:id="496"/>
      <w:r w:rsidRPr="0044456F">
        <w:tab/>
      </w:r>
      <w:r>
        <w:rPr>
          <w:rStyle w:val="CaptionLabel"/>
        </w:rPr>
        <w:t>Impact of CBD program on stakeholders</w:t>
      </w:r>
      <w:bookmarkEnd w:id="497"/>
    </w:p>
    <w:p w14:paraId="07EA998F" w14:textId="77777777" w:rsidR="00B400AC" w:rsidRDefault="00B400AC" w:rsidP="00B400AC">
      <w:pPr>
        <w:pStyle w:val="Tabletext"/>
        <w:framePr w:w="9921" w:hSpace="181" w:wrap="notBeside" w:vAnchor="text" w:hAnchor="text" w:x="-2550" w:y="1"/>
      </w:pPr>
      <w:r w:rsidRPr="00E908B6">
        <w:rPr>
          <w:noProof/>
          <w:lang w:eastAsia="en-AU"/>
        </w:rPr>
        <w:drawing>
          <wp:inline distT="0" distB="0" distL="0" distR="0" wp14:anchorId="7897842E" wp14:editId="32DC1C4D">
            <wp:extent cx="6296400" cy="2872800"/>
            <wp:effectExtent l="0" t="0" r="9525" b="3810"/>
            <wp:docPr id="52" name="Picture 52" descr="Impact of CBD program on stakeholders" title="Impact of CBD program on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96400" cy="2872800"/>
                    </a:xfrm>
                    <a:prstGeom prst="rect">
                      <a:avLst/>
                    </a:prstGeom>
                    <a:noFill/>
                    <a:ln>
                      <a:noFill/>
                    </a:ln>
                  </pic:spPr>
                </pic:pic>
              </a:graphicData>
            </a:graphic>
          </wp:inline>
        </w:drawing>
      </w:r>
    </w:p>
    <w:p w14:paraId="4E11BF6A" w14:textId="77777777" w:rsidR="00B400AC" w:rsidRDefault="00B400AC" w:rsidP="00B400AC">
      <w:pPr>
        <w:pStyle w:val="Note"/>
        <w:framePr w:w="9921" w:hSpace="181" w:wrap="notBeside" w:vAnchor="text" w:hAnchor="text" w:x="-2550" w:y="1"/>
      </w:pPr>
      <w:r>
        <w:rPr>
          <w:i/>
        </w:rPr>
        <w:t>Note:</w:t>
      </w:r>
      <w:r>
        <w:t xml:space="preserve"> Costs are denoted by ( - ) while benefits are denoted by ( + )</w:t>
      </w:r>
      <w:r w:rsidR="000A659A">
        <w:t>.</w:t>
      </w:r>
    </w:p>
    <w:p w14:paraId="19E935C1" w14:textId="77777777" w:rsidR="00B400AC" w:rsidRPr="00AE6C4B" w:rsidRDefault="00B400AC" w:rsidP="00B400AC">
      <w:pPr>
        <w:pStyle w:val="Source"/>
        <w:framePr w:w="9921" w:hSpace="181" w:wrap="notBeside" w:vAnchor="text" w:hAnchor="text" w:x="-2550" w:y="1"/>
      </w:pPr>
      <w:r w:rsidRPr="00B50A1B">
        <w:t>Source:</w:t>
      </w:r>
      <w:r w:rsidRPr="00954EED">
        <w:t xml:space="preserve"> </w:t>
      </w:r>
      <w:r>
        <w:t>ACIL Allen</w:t>
      </w:r>
    </w:p>
    <w:p w14:paraId="22BFE456" w14:textId="77777777" w:rsidR="00B400AC" w:rsidRDefault="00B400AC" w:rsidP="00B400AC">
      <w:pPr>
        <w:pStyle w:val="BodyText"/>
      </w:pPr>
      <w:r>
        <w:br/>
        <w:t xml:space="preserve">Building owners and operators benefit from CBD through increased rents paid by tenants </w:t>
      </w:r>
      <w:r w:rsidR="00717928">
        <w:t xml:space="preserve">(including the green premium) </w:t>
      </w:r>
      <w:r>
        <w:t>who have lower utility bills</w:t>
      </w:r>
      <w:r w:rsidR="00CB3EC7">
        <w:t xml:space="preserve">. </w:t>
      </w:r>
      <w:r>
        <w:t>They also benefit directly from reduced costs of heating and cooling the common areas of buildings</w:t>
      </w:r>
      <w:r w:rsidR="00CB3EC7">
        <w:t xml:space="preserve">. </w:t>
      </w:r>
      <w:r>
        <w:t>On the other hand, they incur assessment and certification costs as well as the capital costs of upgrading the energy efficiency performance of buildings.</w:t>
      </w:r>
    </w:p>
    <w:p w14:paraId="36A78C10" w14:textId="77777777" w:rsidR="00B400AC" w:rsidRDefault="00B400AC" w:rsidP="00B400AC">
      <w:pPr>
        <w:pStyle w:val="BodyText"/>
      </w:pPr>
      <w:r>
        <w:t>Tenants enjoy energy savings and workforce productivity gains as a result of mandatory disclosure but bear part of the assessment and certifications costs passed onto them by landlords.</w:t>
      </w:r>
    </w:p>
    <w:p w14:paraId="54B50CF7" w14:textId="77777777" w:rsidR="00B400AC" w:rsidRDefault="00B400AC" w:rsidP="00B400AC">
      <w:pPr>
        <w:pStyle w:val="BodyText"/>
      </w:pPr>
      <w:r>
        <w:lastRenderedPageBreak/>
        <w:t>The operational costs of the CBD program are currently borne by the Australian Government</w:t>
      </w:r>
      <w:r w:rsidR="00CB3EC7">
        <w:t xml:space="preserve">. </w:t>
      </w:r>
      <w:r>
        <w:t>The reduction in GHG emissions made possible by the CBD program means that the Government potentially has to spend less on other measures to meet its announced emissions reduction targets and climate change abatement goals.</w:t>
      </w:r>
    </w:p>
    <w:p w14:paraId="40BF40B0" w14:textId="77777777" w:rsidR="00B400AC" w:rsidRDefault="00B400AC" w:rsidP="00B400AC">
      <w:pPr>
        <w:pStyle w:val="BodyText"/>
      </w:pPr>
      <w:r>
        <w:t>The energy efficiency industry (broadly defined) benefits from the CBD program in several ways, from NABERS and TLA assessment revenues</w:t>
      </w:r>
      <w:r w:rsidR="00A94410">
        <w:t>,</w:t>
      </w:r>
      <w:r>
        <w:t xml:space="preserve"> to earnings from the manufacture, importation, distribution, retail and installation of energy efficiency upgrades (such as new HVAC, lighting and control systems).</w:t>
      </w:r>
    </w:p>
    <w:p w14:paraId="04217B6E" w14:textId="77777777" w:rsidR="00B400AC" w:rsidRDefault="00B400AC" w:rsidP="00B400AC">
      <w:pPr>
        <w:pStyle w:val="BodyText"/>
      </w:pPr>
      <w:r>
        <w:t>The broader Australia</w:t>
      </w:r>
      <w:r w:rsidR="00A94410">
        <w:t>n</w:t>
      </w:r>
      <w:r>
        <w:t xml:space="preserve"> community benefits from GHG reductions made possible by the CBD program as well as the economic </w:t>
      </w:r>
      <w:proofErr w:type="spellStart"/>
      <w:r>
        <w:t>spillovers</w:t>
      </w:r>
      <w:proofErr w:type="spellEnd"/>
      <w:r>
        <w:t xml:space="preserve"> from the higher wages resulting from productivity improvements achieved by workers in more energy efficient buildings.</w:t>
      </w:r>
    </w:p>
    <w:p w14:paraId="1388D61F" w14:textId="77777777" w:rsidR="006A1EE5" w:rsidRDefault="00B400AC" w:rsidP="004572F4">
      <w:pPr>
        <w:pStyle w:val="BodyText"/>
      </w:pPr>
      <w:r>
        <w:t>The rest of the world benefits from the reduction in Australian GHG emissions enabled by the CBD program</w:t>
      </w:r>
      <w:r w:rsidR="00CB3EC7">
        <w:t xml:space="preserve">. </w:t>
      </w:r>
    </w:p>
    <w:p w14:paraId="038B2EB8" w14:textId="77777777" w:rsidR="00EA4312" w:rsidRDefault="00EA4312" w:rsidP="004572F4">
      <w:pPr>
        <w:pStyle w:val="Heading2"/>
      </w:pPr>
      <w:bookmarkStart w:id="498" w:name="_Toc415660885"/>
      <w:r>
        <w:t>Assessment of the effectiveness of the CBD program</w:t>
      </w:r>
      <w:bookmarkEnd w:id="498"/>
    </w:p>
    <w:p w14:paraId="0D8BF8F3" w14:textId="77777777" w:rsidR="00B400AC" w:rsidRDefault="00B400AC" w:rsidP="00B400AC">
      <w:pPr>
        <w:pStyle w:val="BodyText"/>
      </w:pPr>
      <w:r>
        <w:t>ACIL Allen’s cost-benefit analysis suggests that the CBD program has been successful in inducing a change in the behaviour of building owners, operators and tenants in regards to commercial building energy efficiency</w:t>
      </w:r>
      <w:r w:rsidR="00CB3EC7">
        <w:t xml:space="preserve">. </w:t>
      </w:r>
      <w:r>
        <w:t>In particular, the buildings in the mandatory 4</w:t>
      </w:r>
      <w:r w:rsidRPr="005F0932">
        <w:rPr>
          <w:vertAlign w:val="superscript"/>
        </w:rPr>
        <w:t>th</w:t>
      </w:r>
      <w:r>
        <w:t xml:space="preserve"> quartile have achieved a marked improvement in NABERS star ratings and a significant reduction in energy intensity</w:t>
      </w:r>
      <w:r w:rsidR="00CB3EC7">
        <w:t xml:space="preserve">. </w:t>
      </w:r>
      <w:r>
        <w:t>There also appear to be improvements attained by the mandatory 1</w:t>
      </w:r>
      <w:r w:rsidRPr="005F0932">
        <w:rPr>
          <w:vertAlign w:val="superscript"/>
        </w:rPr>
        <w:t>st</w:t>
      </w:r>
      <w:r>
        <w:t xml:space="preserve"> and 3</w:t>
      </w:r>
      <w:r w:rsidRPr="005F0932">
        <w:rPr>
          <w:vertAlign w:val="superscript"/>
        </w:rPr>
        <w:t>rd</w:t>
      </w:r>
      <w:r>
        <w:t xml:space="preserve"> quartiles as a result of the program</w:t>
      </w:r>
      <w:r w:rsidR="00CB3EC7">
        <w:t xml:space="preserve">. </w:t>
      </w:r>
      <w:r>
        <w:t>These improvements have enabled the program to achieve benefits in excess of costs to date of $</w:t>
      </w:r>
      <w:r w:rsidR="00060FC2">
        <w:t xml:space="preserve">44m </w:t>
      </w:r>
      <w:r>
        <w:t>in present value terms, even without taking into account workforce productivity gains.</w:t>
      </w:r>
    </w:p>
    <w:p w14:paraId="4DDA4D48" w14:textId="77777777" w:rsidR="00FF21DE" w:rsidRPr="007F73AD" w:rsidRDefault="00B400AC" w:rsidP="00122CF8">
      <w:pPr>
        <w:pStyle w:val="BodyText"/>
      </w:pPr>
      <w:r>
        <w:t>On the other hand, ACIL Allen’s analysis suggests that the TLA component of the program has yet to achieve very significant gains</w:t>
      </w:r>
      <w:r w:rsidR="00CB3EC7">
        <w:t xml:space="preserve">. </w:t>
      </w:r>
      <w:r>
        <w:t>This is likely due to the newness of the TLA (compared with the well-established NABERS) and, consequently, the relatively small proportion of tenants who have taken advantage of the information generated by TLA assessments.</w:t>
      </w:r>
    </w:p>
    <w:p w14:paraId="4AD3962D" w14:textId="77777777" w:rsidR="00FF21DE" w:rsidRDefault="00FF21DE" w:rsidP="00FF21DE">
      <w:pPr>
        <w:pStyle w:val="Heading2"/>
        <w:numPr>
          <w:ilvl w:val="1"/>
          <w:numId w:val="20"/>
        </w:numPr>
      </w:pPr>
      <w:bookmarkStart w:id="499" w:name="_Ref409091171"/>
      <w:bookmarkStart w:id="500" w:name="_Toc415660886"/>
      <w:r>
        <w:t>Assessment of the interactions of CBD with other programs to date</w:t>
      </w:r>
      <w:bookmarkEnd w:id="499"/>
      <w:bookmarkEnd w:id="500"/>
    </w:p>
    <w:p w14:paraId="32352014" w14:textId="77777777" w:rsidR="00FF21DE" w:rsidRDefault="00580CF4" w:rsidP="00FF21DE">
      <w:pPr>
        <w:pStyle w:val="BodyText"/>
      </w:pPr>
      <w:r>
        <w:t>In ACIL Allen’s analysis, i</w:t>
      </w:r>
      <w:r w:rsidR="00FF21DE">
        <w:t>ncremental improvements for the mandatory 1</w:t>
      </w:r>
      <w:r w:rsidR="00FF21DE" w:rsidRPr="001B1EA3">
        <w:rPr>
          <w:vertAlign w:val="superscript"/>
        </w:rPr>
        <w:t>st</w:t>
      </w:r>
      <w:r w:rsidR="00FF21DE">
        <w:t>, 3</w:t>
      </w:r>
      <w:r w:rsidR="00FF21DE" w:rsidRPr="001B1EA3">
        <w:rPr>
          <w:vertAlign w:val="superscript"/>
        </w:rPr>
        <w:t>rd</w:t>
      </w:r>
      <w:r w:rsidR="00FF21DE">
        <w:t xml:space="preserve"> and 4</w:t>
      </w:r>
      <w:r w:rsidR="00FF21DE" w:rsidRPr="001B1EA3">
        <w:rPr>
          <w:vertAlign w:val="superscript"/>
        </w:rPr>
        <w:t>th</w:t>
      </w:r>
      <w:r w:rsidR="00FF21DE">
        <w:t xml:space="preserve"> quartiles in the realistic case have been entirely attributed to the CBD program</w:t>
      </w:r>
      <w:r w:rsidR="000A50BF">
        <w:t>.</w:t>
      </w:r>
      <w:r>
        <w:rPr>
          <w:rStyle w:val="FootnoteReference"/>
        </w:rPr>
        <w:footnoteReference w:id="28"/>
      </w:r>
      <w:r w:rsidR="000A50BF">
        <w:t xml:space="preserve"> </w:t>
      </w:r>
      <w:r w:rsidR="00FF21DE">
        <w:t>However, these improvements may have utilised other energy efficiency programs, by taking advantage of information provision or funding.</w:t>
      </w:r>
    </w:p>
    <w:p w14:paraId="3B1C700A" w14:textId="77777777" w:rsidR="00FF21DE" w:rsidRDefault="00FF21DE" w:rsidP="00FF21DE">
      <w:pPr>
        <w:pStyle w:val="BodyText"/>
      </w:pPr>
      <w:r>
        <w:t>In particular, commercial building energy efficiency projects would have obtained funding from the NSW ESS and Victorian VEET schemes</w:t>
      </w:r>
      <w:r w:rsidR="00CB3EC7">
        <w:t xml:space="preserve">. </w:t>
      </w:r>
      <w:r>
        <w:t xml:space="preserve">For these schemes, </w:t>
      </w:r>
      <w:r w:rsidRPr="00546D22">
        <w:t xml:space="preserve">the CBD </w:t>
      </w:r>
      <w:r>
        <w:t xml:space="preserve">has </w:t>
      </w:r>
      <w:r w:rsidRPr="00546D22">
        <w:t xml:space="preserve">resulted in a greater </w:t>
      </w:r>
      <w:r>
        <w:t>supply of possible projects than would have been available had the CBD not been in place.</w:t>
      </w:r>
    </w:p>
    <w:p w14:paraId="4D030221" w14:textId="77777777" w:rsidR="00FF21DE" w:rsidRDefault="00FF21DE" w:rsidP="00FF21DE">
      <w:pPr>
        <w:pStyle w:val="BodyText"/>
      </w:pPr>
      <w:r>
        <w:lastRenderedPageBreak/>
        <w:t>Both schemes operate as a market mechanism, where liable entities are obligated to obtain a legislated volume of white certificates (representing a unit of abatement of CO</w:t>
      </w:r>
      <w:r w:rsidRPr="0024777E">
        <w:rPr>
          <w:vertAlign w:val="subscript"/>
        </w:rPr>
        <w:t>2</w:t>
      </w:r>
      <w:r w:rsidRPr="001B1EA3">
        <w:rPr>
          <w:vertAlign w:val="subscript"/>
        </w:rPr>
        <w:t>e</w:t>
      </w:r>
      <w:r>
        <w:t>) in order to meet a target volume of total abatement</w:t>
      </w:r>
      <w:r w:rsidR="00CB3EC7">
        <w:t xml:space="preserve">. </w:t>
      </w:r>
      <w:r>
        <w:t>This creates demand for abatement which liable entities would seek to achieve through the lowest cost supply of abatement projects</w:t>
      </w:r>
      <w:r w:rsidR="00CB3EC7">
        <w:t xml:space="preserve">. </w:t>
      </w:r>
      <w:r>
        <w:t>The marginal cost of abatement is reflected in the white certificate price, or the price paid by liable entities to suppliers of abatement</w:t>
      </w:r>
      <w:r w:rsidR="00CB3EC7">
        <w:t xml:space="preserve">. </w:t>
      </w:r>
      <w:r>
        <w:t>As the CBD scheme effectively increased the pool of available abatement projects, it lowered the certificate price (marginal cost of abatement) and the total cost of achieving the abatement target</w:t>
      </w:r>
      <w:r w:rsidR="00CB3EC7">
        <w:t xml:space="preserve">. </w:t>
      </w:r>
      <w:r>
        <w:t>An indicative estimate of the effect o</w:t>
      </w:r>
      <w:r w:rsidR="00E3517C">
        <w:t>n</w:t>
      </w:r>
      <w:r>
        <w:t xml:space="preserve"> certificate price and total cost of abatement for each scheme is discussed below.</w:t>
      </w:r>
    </w:p>
    <w:p w14:paraId="0775854E" w14:textId="77777777" w:rsidR="00FF21DE" w:rsidRPr="00546D22" w:rsidRDefault="00FF21DE" w:rsidP="00FF21DE">
      <w:pPr>
        <w:pStyle w:val="Heading3"/>
        <w:numPr>
          <w:ilvl w:val="2"/>
          <w:numId w:val="20"/>
        </w:numPr>
      </w:pPr>
      <w:bookmarkStart w:id="501" w:name="_Ref409098082"/>
      <w:bookmarkStart w:id="502" w:name="_Toc415660887"/>
      <w:r>
        <w:t xml:space="preserve">Interaction with the </w:t>
      </w:r>
      <w:r w:rsidRPr="00546D22">
        <w:t>NSW Energy Saver Scheme</w:t>
      </w:r>
      <w:bookmarkEnd w:id="501"/>
      <w:bookmarkEnd w:id="502"/>
    </w:p>
    <w:p w14:paraId="4287C898" w14:textId="77777777" w:rsidR="00FF21DE" w:rsidRDefault="00FF21DE" w:rsidP="00FF21DE">
      <w:pPr>
        <w:pStyle w:val="BodyText"/>
      </w:pPr>
      <w:r>
        <w:t>The NSW ESS p</w:t>
      </w:r>
      <w:r w:rsidRPr="00546D22">
        <w:t>laces a mandatory obligation on ‘</w:t>
      </w:r>
      <w:r>
        <w:t>s</w:t>
      </w:r>
      <w:r w:rsidRPr="00546D22">
        <w:t xml:space="preserve">cheme </w:t>
      </w:r>
      <w:r>
        <w:t>p</w:t>
      </w:r>
      <w:r w:rsidRPr="00546D22">
        <w:t>articipants’ to purchase Energy Savings Certificates (ESCs) which represent energy savings (measured in terms of tCO</w:t>
      </w:r>
      <w:r w:rsidRPr="0024777E">
        <w:rPr>
          <w:vertAlign w:val="subscript"/>
        </w:rPr>
        <w:t>2</w:t>
      </w:r>
      <w:r w:rsidRPr="001B1EA3">
        <w:rPr>
          <w:vertAlign w:val="subscript"/>
        </w:rPr>
        <w:t>e</w:t>
      </w:r>
      <w:r w:rsidRPr="00546D22">
        <w:t>)</w:t>
      </w:r>
      <w:r w:rsidR="00CB3EC7">
        <w:t xml:space="preserve">. </w:t>
      </w:r>
      <w:r>
        <w:t xml:space="preserve">The NSW ESS scheme generated </w:t>
      </w:r>
      <w:r w:rsidRPr="00580CF4">
        <w:t>1,279 ktCO</w:t>
      </w:r>
      <w:r w:rsidRPr="0024777E">
        <w:rPr>
          <w:vertAlign w:val="subscript"/>
        </w:rPr>
        <w:t>2</w:t>
      </w:r>
      <w:r w:rsidRPr="00580CF4">
        <w:rPr>
          <w:vertAlign w:val="subscript"/>
        </w:rPr>
        <w:t>e</w:t>
      </w:r>
      <w:r w:rsidRPr="00546D22">
        <w:t xml:space="preserve"> worth of annual energy savings activity in 2013 </w:t>
      </w:r>
      <w:r w:rsidRPr="00580CF4">
        <w:t>(IPART, 2014)</w:t>
      </w:r>
      <w:r w:rsidRPr="001B1EA3">
        <w:t>.</w:t>
      </w:r>
    </w:p>
    <w:p w14:paraId="6E273F17" w14:textId="77777777" w:rsidR="00FF21DE" w:rsidRPr="00580CF4" w:rsidRDefault="00FF21DE" w:rsidP="00FF21DE">
      <w:pPr>
        <w:pStyle w:val="BodyText"/>
      </w:pPr>
      <w:r>
        <w:t xml:space="preserve">Based on the assessment of costs and benefits, the </w:t>
      </w:r>
      <w:r w:rsidRPr="00546D22">
        <w:t xml:space="preserve">CBD </w:t>
      </w:r>
      <w:r>
        <w:t xml:space="preserve">is </w:t>
      </w:r>
      <w:r w:rsidRPr="00546D22">
        <w:t xml:space="preserve">estimated to </w:t>
      </w:r>
      <w:r>
        <w:t xml:space="preserve">have </w:t>
      </w:r>
      <w:r w:rsidRPr="00546D22">
        <w:t>contribute</w:t>
      </w:r>
      <w:r>
        <w:t xml:space="preserve">d to </w:t>
      </w:r>
      <w:r w:rsidRPr="00580CF4">
        <w:t>3.4 per</w:t>
      </w:r>
      <w:r w:rsidR="003C114B" w:rsidRPr="00580CF4">
        <w:t xml:space="preserve"> </w:t>
      </w:r>
      <w:r w:rsidRPr="00580CF4">
        <w:t>cent of</w:t>
      </w:r>
      <w:r w:rsidRPr="00546D22">
        <w:t xml:space="preserve"> this figure from energy savings in mandatory quartiles 1, 2 and 4</w:t>
      </w:r>
      <w:r w:rsidR="00CB3EC7">
        <w:t xml:space="preserve">. </w:t>
      </w:r>
      <w:r>
        <w:t>The a</w:t>
      </w:r>
      <w:r w:rsidRPr="00546D22">
        <w:t xml:space="preserve">pproximate average </w:t>
      </w:r>
      <w:r>
        <w:t xml:space="preserve">ESC </w:t>
      </w:r>
      <w:r w:rsidRPr="00546D22">
        <w:t xml:space="preserve">spot price in 2013 </w:t>
      </w:r>
      <w:r>
        <w:t xml:space="preserve">was </w:t>
      </w:r>
      <w:r w:rsidRPr="00546D22">
        <w:t>$20</w:t>
      </w:r>
      <w:r w:rsidR="00861E04">
        <w:t>,</w:t>
      </w:r>
      <w:r w:rsidRPr="00546D22">
        <w:t xml:space="preserve"> and assuming </w:t>
      </w:r>
      <w:r>
        <w:t xml:space="preserve">a </w:t>
      </w:r>
      <w:r w:rsidRPr="00546D22">
        <w:t>supply elasticity</w:t>
      </w:r>
      <w:r>
        <w:rPr>
          <w:rStyle w:val="FootnoteReference"/>
        </w:rPr>
        <w:footnoteReference w:id="29"/>
      </w:r>
      <w:r w:rsidRPr="00546D22">
        <w:t xml:space="preserve"> of 1, </w:t>
      </w:r>
      <w:r>
        <w:t xml:space="preserve">the CBD is estimated to have reduced the </w:t>
      </w:r>
      <w:r w:rsidRPr="00546D22">
        <w:t xml:space="preserve">spot price and annual scheme cost </w:t>
      </w:r>
      <w:r w:rsidR="00D2492B">
        <w:t xml:space="preserve">to participants </w:t>
      </w:r>
      <w:r>
        <w:t xml:space="preserve">by </w:t>
      </w:r>
      <w:r w:rsidRPr="003F5F13">
        <w:t>$0.69</w:t>
      </w:r>
      <w:r w:rsidR="003C114B" w:rsidRPr="003F5F13">
        <w:t xml:space="preserve"> per </w:t>
      </w:r>
      <w:r w:rsidRPr="003F5F13">
        <w:t>ESC</w:t>
      </w:r>
      <w:r w:rsidRPr="00746840">
        <w:t xml:space="preserve"> and </w:t>
      </w:r>
      <w:r w:rsidRPr="003F5F13">
        <w:t>$0.9</w:t>
      </w:r>
      <w:r w:rsidR="003C114B" w:rsidRPr="003F5F13">
        <w:t xml:space="preserve"> </w:t>
      </w:r>
      <w:r w:rsidRPr="003F5F13">
        <w:t>m</w:t>
      </w:r>
      <w:r w:rsidR="003C114B" w:rsidRPr="003F5F13">
        <w:t>illion</w:t>
      </w:r>
      <w:r w:rsidR="00861E04">
        <w:t>,</w:t>
      </w:r>
      <w:r w:rsidRPr="00580CF4">
        <w:t xml:space="preserve"> respectively.</w:t>
      </w:r>
    </w:p>
    <w:p w14:paraId="72AC4752" w14:textId="77777777" w:rsidR="00FF21DE" w:rsidRPr="00546D22" w:rsidRDefault="00FF21DE" w:rsidP="00FF21DE">
      <w:pPr>
        <w:pStyle w:val="Heading3"/>
        <w:numPr>
          <w:ilvl w:val="2"/>
          <w:numId w:val="20"/>
        </w:numPr>
      </w:pPr>
      <w:bookmarkStart w:id="503" w:name="_Ref409098085"/>
      <w:bookmarkStart w:id="504" w:name="_Toc415660888"/>
      <w:r>
        <w:t xml:space="preserve">Interaction with the </w:t>
      </w:r>
      <w:r w:rsidRPr="00546D22">
        <w:t xml:space="preserve">Victorian Energy </w:t>
      </w:r>
      <w:r>
        <w:t>Efficiency Target</w:t>
      </w:r>
      <w:bookmarkEnd w:id="503"/>
      <w:bookmarkEnd w:id="504"/>
    </w:p>
    <w:p w14:paraId="5638F944" w14:textId="77777777" w:rsidR="00FF21DE" w:rsidRPr="00580CF4" w:rsidRDefault="00FF21DE" w:rsidP="00FF21DE">
      <w:pPr>
        <w:pStyle w:val="BodyText"/>
      </w:pPr>
      <w:r>
        <w:t>The VEET r</w:t>
      </w:r>
      <w:r w:rsidRPr="00546D22">
        <w:t>equires liable entities to purchase Victorian Energy Effi</w:t>
      </w:r>
      <w:r>
        <w:t>ci</w:t>
      </w:r>
      <w:r w:rsidRPr="00546D22">
        <w:t>ency certificates (VEECs) which also represent energy savings (measured in terms of tCO</w:t>
      </w:r>
      <w:r w:rsidRPr="0024777E">
        <w:rPr>
          <w:vertAlign w:val="subscript"/>
        </w:rPr>
        <w:t>2</w:t>
      </w:r>
      <w:r w:rsidRPr="001B1EA3">
        <w:rPr>
          <w:vertAlign w:val="subscript"/>
        </w:rPr>
        <w:t>e</w:t>
      </w:r>
      <w:r w:rsidRPr="00546D22">
        <w:t>)</w:t>
      </w:r>
      <w:r w:rsidR="00CB3EC7">
        <w:t xml:space="preserve">. </w:t>
      </w:r>
      <w:r>
        <w:t xml:space="preserve">Approximately </w:t>
      </w:r>
      <w:r w:rsidRPr="00546D22">
        <w:t xml:space="preserve">5.5 million VEECs </w:t>
      </w:r>
      <w:r>
        <w:t xml:space="preserve">were </w:t>
      </w:r>
      <w:r w:rsidRPr="00546D22">
        <w:t xml:space="preserve">registered in </w:t>
      </w:r>
      <w:r w:rsidRPr="00580CF4">
        <w:t>2013 (ESCV, 2013)</w:t>
      </w:r>
      <w:r w:rsidR="00CB3EC7" w:rsidRPr="00580CF4">
        <w:t>.</w:t>
      </w:r>
      <w:r w:rsidR="00CB3EC7">
        <w:t xml:space="preserve"> </w:t>
      </w:r>
      <w:r w:rsidRPr="00580CF4">
        <w:t>As VEECs are provided upfront for abatement occurring over a ‘deeming’ period, the annual energy savings in 2013 would be lower</w:t>
      </w:r>
      <w:r w:rsidR="00CB3EC7" w:rsidRPr="00580CF4">
        <w:t>.</w:t>
      </w:r>
      <w:r w:rsidR="00CB3EC7">
        <w:t xml:space="preserve"> </w:t>
      </w:r>
      <w:r w:rsidRPr="00580CF4">
        <w:t>Assuming a 10 year average deeming period, 5.5 million VEECs would equate to 550 ktCO</w:t>
      </w:r>
      <w:r w:rsidRPr="0024777E">
        <w:rPr>
          <w:vertAlign w:val="subscript"/>
        </w:rPr>
        <w:t>2</w:t>
      </w:r>
      <w:r w:rsidRPr="00580CF4">
        <w:rPr>
          <w:vertAlign w:val="subscript"/>
        </w:rPr>
        <w:t>e</w:t>
      </w:r>
      <w:r w:rsidRPr="00580CF4">
        <w:t xml:space="preserve"> worth of annual energy savings.</w:t>
      </w:r>
    </w:p>
    <w:p w14:paraId="62BF95DE" w14:textId="77777777" w:rsidR="00FF21DE" w:rsidRPr="00580CF4" w:rsidRDefault="00FF21DE" w:rsidP="00FF21DE">
      <w:pPr>
        <w:pStyle w:val="BodyText"/>
      </w:pPr>
      <w:r w:rsidRPr="00580CF4">
        <w:t xml:space="preserve">Based on the assessment of costs and benefits, the CBD is estimated to have contributed to </w:t>
      </w:r>
      <w:r w:rsidR="00580CF4">
        <w:t>five</w:t>
      </w:r>
      <w:r w:rsidRPr="00580CF4">
        <w:t xml:space="preserve"> per</w:t>
      </w:r>
      <w:r w:rsidR="00580CF4">
        <w:t xml:space="preserve"> </w:t>
      </w:r>
      <w:r w:rsidRPr="00580CF4">
        <w:t>cent of this figure from energy savings in mandatory quartiles 1, 2 and 4</w:t>
      </w:r>
      <w:r w:rsidR="00CB3EC7" w:rsidRPr="00580CF4">
        <w:t>.</w:t>
      </w:r>
      <w:r w:rsidR="00CB3EC7">
        <w:t xml:space="preserve"> </w:t>
      </w:r>
      <w:r w:rsidRPr="00580CF4">
        <w:t>Using the approximate average VEEC spot price of $18.73 during scheme operation</w:t>
      </w:r>
      <w:r w:rsidR="00A10439">
        <w:t>,</w:t>
      </w:r>
      <w:r w:rsidRPr="00580CF4">
        <w:t xml:space="preserve"> and assuming supply elasticity of </w:t>
      </w:r>
      <w:r w:rsidR="00580CF4">
        <w:t>one</w:t>
      </w:r>
      <w:r w:rsidRPr="00580CF4">
        <w:t xml:space="preserve">, the CBD is estimated to have reduced the spot price and annual scheme cost </w:t>
      </w:r>
      <w:r w:rsidR="00D2492B">
        <w:t xml:space="preserve">to participants </w:t>
      </w:r>
      <w:r w:rsidRPr="00580CF4">
        <w:t xml:space="preserve">by </w:t>
      </w:r>
      <w:r w:rsidRPr="003F5F13">
        <w:t>$0.94</w:t>
      </w:r>
      <w:r w:rsidR="003C114B" w:rsidRPr="003F5F13">
        <w:t xml:space="preserve"> per </w:t>
      </w:r>
      <w:r w:rsidRPr="003F5F13">
        <w:t>VEEC</w:t>
      </w:r>
      <w:r w:rsidRPr="00746840">
        <w:t xml:space="preserve"> and </w:t>
      </w:r>
      <w:r w:rsidRPr="003F5F13">
        <w:t>$0.5</w:t>
      </w:r>
      <w:r w:rsidR="003C114B" w:rsidRPr="003F5F13">
        <w:t xml:space="preserve"> </w:t>
      </w:r>
      <w:r w:rsidRPr="003F5F13">
        <w:t>m</w:t>
      </w:r>
      <w:r w:rsidR="003C114B" w:rsidRPr="003F5F13">
        <w:t>illion</w:t>
      </w:r>
      <w:r w:rsidR="00A10439">
        <w:t>,</w:t>
      </w:r>
      <w:r w:rsidRPr="00746840">
        <w:t xml:space="preserve"> respectively</w:t>
      </w:r>
      <w:r w:rsidR="00A10439">
        <w:t>.</w:t>
      </w:r>
    </w:p>
    <w:p w14:paraId="6AE562A0" w14:textId="77777777" w:rsidR="00FF21DE" w:rsidRDefault="00FF21DE" w:rsidP="00FF21DE">
      <w:pPr>
        <w:pStyle w:val="Heading3"/>
        <w:numPr>
          <w:ilvl w:val="2"/>
          <w:numId w:val="20"/>
        </w:numPr>
      </w:pPr>
      <w:bookmarkStart w:id="505" w:name="_Ref409097105"/>
      <w:bookmarkStart w:id="506" w:name="_Toc415660889"/>
      <w:r>
        <w:t>Interaction with Carbon Pricing Mechanism</w:t>
      </w:r>
      <w:bookmarkEnd w:id="505"/>
      <w:bookmarkEnd w:id="506"/>
    </w:p>
    <w:p w14:paraId="7D05936D" w14:textId="77777777" w:rsidR="00FF21DE" w:rsidRDefault="00FF21DE" w:rsidP="00FF21DE">
      <w:pPr>
        <w:pStyle w:val="BodyText"/>
      </w:pPr>
      <w:r>
        <w:t xml:space="preserve">Commercial building energy efficiency projects would have also benefited from the CPM through the </w:t>
      </w:r>
      <w:r w:rsidR="00FB5C36">
        <w:t xml:space="preserve">direct </w:t>
      </w:r>
      <w:r>
        <w:t>financial benefit of higher avoided energy costs</w:t>
      </w:r>
      <w:r w:rsidR="00CB3EC7">
        <w:t xml:space="preserve">. </w:t>
      </w:r>
      <w:r>
        <w:t xml:space="preserve">However, the </w:t>
      </w:r>
      <w:r w:rsidR="005569CA">
        <w:t xml:space="preserve">level of the </w:t>
      </w:r>
      <w:r>
        <w:t xml:space="preserve">carbon price </w:t>
      </w:r>
      <w:r w:rsidR="005569CA">
        <w:t xml:space="preserve">itself </w:t>
      </w:r>
      <w:r>
        <w:t>would not have been affected by the CBD as the CPM operated as a fixed price mechanism.</w:t>
      </w:r>
    </w:p>
    <w:p w14:paraId="59F5ADD0" w14:textId="77777777" w:rsidR="00122CF8" w:rsidRDefault="00122CF8" w:rsidP="007C12E4">
      <w:pPr>
        <w:pStyle w:val="ListDash"/>
        <w:numPr>
          <w:ilvl w:val="0"/>
          <w:numId w:val="0"/>
        </w:numPr>
        <w:ind w:left="284" w:hanging="284"/>
      </w:pPr>
    </w:p>
    <w:p w14:paraId="4119F016" w14:textId="77777777" w:rsidR="0044688F" w:rsidRDefault="0044688F" w:rsidP="007C12E4">
      <w:pPr>
        <w:pStyle w:val="ListDash"/>
        <w:numPr>
          <w:ilvl w:val="0"/>
          <w:numId w:val="0"/>
        </w:numPr>
        <w:ind w:left="284" w:hanging="284"/>
      </w:pPr>
    </w:p>
    <w:p w14:paraId="1B1C4892" w14:textId="77777777" w:rsidR="00566515" w:rsidRDefault="00566515" w:rsidP="005D4AA5">
      <w:pPr>
        <w:pStyle w:val="Heading1"/>
      </w:pPr>
      <w:bookmarkStart w:id="507" w:name="_Ref408818297"/>
      <w:bookmarkStart w:id="508" w:name="_Toc415660890"/>
      <w:r>
        <w:lastRenderedPageBreak/>
        <w:t>Assessment of CBD future costs and benefits</w:t>
      </w:r>
      <w:bookmarkEnd w:id="507"/>
      <w:bookmarkEnd w:id="508"/>
    </w:p>
    <w:p w14:paraId="2718D4F1" w14:textId="77777777" w:rsidR="00566515" w:rsidRDefault="00566515" w:rsidP="004572F4">
      <w:pPr>
        <w:pStyle w:val="Heading2"/>
      </w:pPr>
      <w:bookmarkStart w:id="509" w:name="_Ref409782699"/>
      <w:bookmarkStart w:id="510" w:name="_Toc415660891"/>
      <w:r>
        <w:t>Methodology</w:t>
      </w:r>
      <w:bookmarkEnd w:id="509"/>
      <w:bookmarkEnd w:id="510"/>
    </w:p>
    <w:p w14:paraId="7EADFB76" w14:textId="77777777" w:rsidR="00627505" w:rsidRDefault="00594865" w:rsidP="00627505">
      <w:pPr>
        <w:pStyle w:val="Heading3"/>
        <w:numPr>
          <w:ilvl w:val="2"/>
          <w:numId w:val="20"/>
        </w:numPr>
      </w:pPr>
      <w:bookmarkStart w:id="511" w:name="_Toc415660892"/>
      <w:bookmarkStart w:id="512" w:name="_Ref408395694"/>
      <w:r>
        <w:t>Overview</w:t>
      </w:r>
      <w:bookmarkEnd w:id="511"/>
    </w:p>
    <w:p w14:paraId="7394DCDE" w14:textId="77777777" w:rsidR="00627505" w:rsidRDefault="00627505" w:rsidP="00627505">
      <w:pPr>
        <w:pStyle w:val="BodyText"/>
      </w:pPr>
      <w:r>
        <w:t>The NABERS and TLA components of the CBD program have been assessed separately to understand whether each element of the program is projected to individually deliver benefits in excess of costs</w:t>
      </w:r>
      <w:r w:rsidR="00CB3EC7">
        <w:t xml:space="preserve">. </w:t>
      </w:r>
      <w:r>
        <w:t>The results for each assessment are presented in turn in the following subsection</w:t>
      </w:r>
      <w:r w:rsidR="00594865">
        <w:t>.</w:t>
      </w:r>
    </w:p>
    <w:p w14:paraId="30EA2C5B" w14:textId="77777777" w:rsidR="00594865" w:rsidRDefault="00594865" w:rsidP="00627505">
      <w:pPr>
        <w:pStyle w:val="BodyText"/>
      </w:pPr>
      <w:r>
        <w:t xml:space="preserve">Many of the methodological elements used in the assessment of costs and benefits to date </w:t>
      </w:r>
      <w:r w:rsidR="005E08D0">
        <w:t xml:space="preserve">(described in </w:t>
      </w:r>
      <w:r w:rsidR="005E08D0" w:rsidRPr="007C2F31">
        <w:t xml:space="preserve">Section </w:t>
      </w:r>
      <w:r w:rsidR="003346C7">
        <w:fldChar w:fldCharType="begin"/>
      </w:r>
      <w:r w:rsidR="003346C7">
        <w:instrText xml:space="preserve"> REF _Ref408828497 \r \h  \* MERGEFORMAT </w:instrText>
      </w:r>
      <w:r w:rsidR="003346C7">
        <w:fldChar w:fldCharType="separate"/>
      </w:r>
      <w:r w:rsidR="006A273E">
        <w:t>4.1</w:t>
      </w:r>
      <w:r w:rsidR="003346C7">
        <w:fldChar w:fldCharType="end"/>
      </w:r>
      <w:r w:rsidR="005E08D0">
        <w:t xml:space="preserve">) </w:t>
      </w:r>
      <w:r>
        <w:t>have been retained in the assessment of future costs and benefits</w:t>
      </w:r>
      <w:r w:rsidR="00CB3EC7">
        <w:t xml:space="preserve">. </w:t>
      </w:r>
      <w:r>
        <w:t>In particular:</w:t>
      </w:r>
    </w:p>
    <w:p w14:paraId="22B474B4" w14:textId="77777777" w:rsidR="00011D7D" w:rsidRDefault="00011D7D" w:rsidP="00594865">
      <w:pPr>
        <w:pStyle w:val="ListDash"/>
      </w:pPr>
      <w:r>
        <w:t>Cost Benefit Analysis (CBA) was the main tool used to perform this assessment</w:t>
      </w:r>
      <w:r w:rsidR="004818F9">
        <w:t>.</w:t>
      </w:r>
    </w:p>
    <w:p w14:paraId="7FEDE877" w14:textId="77777777" w:rsidR="00594865" w:rsidRDefault="00594865" w:rsidP="00594865">
      <w:pPr>
        <w:pStyle w:val="ListDash"/>
      </w:pPr>
      <w:r>
        <w:t xml:space="preserve">The distinction between voluntary and mandatory </w:t>
      </w:r>
      <w:proofErr w:type="spellStart"/>
      <w:r>
        <w:t>raters</w:t>
      </w:r>
      <w:proofErr w:type="spellEnd"/>
      <w:r>
        <w:t xml:space="preserve"> is retained, with future benefits of NABERS disclosure projected to </w:t>
      </w:r>
      <w:r w:rsidR="004818F9">
        <w:t xml:space="preserve">accrue to mandatory </w:t>
      </w:r>
      <w:proofErr w:type="spellStart"/>
      <w:r w:rsidR="004818F9">
        <w:t>raters</w:t>
      </w:r>
      <w:proofErr w:type="spellEnd"/>
      <w:r w:rsidR="004818F9">
        <w:t xml:space="preserve"> only.</w:t>
      </w:r>
    </w:p>
    <w:p w14:paraId="64FC1D95" w14:textId="77777777" w:rsidR="00594865" w:rsidRDefault="00594865" w:rsidP="00594865">
      <w:pPr>
        <w:pStyle w:val="ListDash"/>
      </w:pPr>
      <w:r>
        <w:t xml:space="preserve">The assessment of </w:t>
      </w:r>
      <w:r w:rsidRPr="00594865">
        <w:rPr>
          <w:i/>
        </w:rPr>
        <w:t>incremental</w:t>
      </w:r>
      <w:r>
        <w:t xml:space="preserve"> benefits has been projected by considering outcomes of retaining components of the CBD program, compared with counterfactual outcomes (expected outcomes </w:t>
      </w:r>
      <w:r w:rsidR="004818F9">
        <w:t>if program components are discontinued).</w:t>
      </w:r>
    </w:p>
    <w:p w14:paraId="3707BCD0" w14:textId="77777777" w:rsidR="00594865" w:rsidRDefault="00594865" w:rsidP="00594865">
      <w:pPr>
        <w:pStyle w:val="ListDash"/>
      </w:pPr>
      <w:r>
        <w:t xml:space="preserve">The main measure of improvement </w:t>
      </w:r>
      <w:r w:rsidR="005E08D0">
        <w:t>in base building energy performance is energy intensity (MJ/m</w:t>
      </w:r>
      <w:r w:rsidR="005E08D0" w:rsidRPr="005E08D0">
        <w:rPr>
          <w:vertAlign w:val="superscript"/>
        </w:rPr>
        <w:t>2</w:t>
      </w:r>
      <w:r w:rsidR="004818F9">
        <w:t>).</w:t>
      </w:r>
    </w:p>
    <w:p w14:paraId="3EE34FAE" w14:textId="77777777" w:rsidR="005E08D0" w:rsidRDefault="005E08D0" w:rsidP="00594865">
      <w:pPr>
        <w:pStyle w:val="ListDash"/>
      </w:pPr>
      <w:r>
        <w:t>Analysis of NLPD of a sample of buildings that had undertaken at</w:t>
      </w:r>
      <w:r w:rsidR="004818F9">
        <w:t xml:space="preserve"> </w:t>
      </w:r>
      <w:r>
        <w:t xml:space="preserve">least </w:t>
      </w:r>
      <w:r w:rsidR="004818F9">
        <w:t>two</w:t>
      </w:r>
      <w:r>
        <w:t xml:space="preserve"> ‘all building’ TLA assessments have been used as the basis for analysing tenancy lighting improvements.</w:t>
      </w:r>
    </w:p>
    <w:p w14:paraId="31749111" w14:textId="77777777" w:rsidR="005E08D0" w:rsidRDefault="00594865" w:rsidP="00627505">
      <w:pPr>
        <w:pStyle w:val="BodyText"/>
      </w:pPr>
      <w:r w:rsidRPr="005E08D0">
        <w:t xml:space="preserve">The </w:t>
      </w:r>
      <w:r w:rsidR="005E08D0" w:rsidRPr="005E08D0">
        <w:t>forward</w:t>
      </w:r>
      <w:r w:rsidR="004818F9">
        <w:t>-</w:t>
      </w:r>
      <w:r w:rsidR="005E08D0" w:rsidRPr="005E08D0">
        <w:t xml:space="preserve">looking </w:t>
      </w:r>
      <w:r w:rsidRPr="005E08D0">
        <w:t xml:space="preserve">analysis of benefits from continuing the program has been conducted by assuming a program duration of </w:t>
      </w:r>
      <w:r w:rsidR="004818F9" w:rsidRPr="003F5F13">
        <w:t>five</w:t>
      </w:r>
      <w:r w:rsidRPr="003F5F13">
        <w:t xml:space="preserve"> years</w:t>
      </w:r>
      <w:r w:rsidRPr="005E08D0">
        <w:t xml:space="preserve"> and projecting costs and benefits over this time horizon</w:t>
      </w:r>
      <w:r w:rsidR="00CB3EC7" w:rsidRPr="005E08D0">
        <w:t>.</w:t>
      </w:r>
      <w:r w:rsidR="00CB3EC7">
        <w:t xml:space="preserve"> </w:t>
      </w:r>
      <w:r w:rsidR="005E08D0">
        <w:t xml:space="preserve">Possible costs and benefits assuming a </w:t>
      </w:r>
      <w:r w:rsidR="005E08D0" w:rsidRPr="003F5F13">
        <w:t>10</w:t>
      </w:r>
      <w:r w:rsidR="00746840">
        <w:t>-</w:t>
      </w:r>
      <w:r w:rsidR="005E08D0" w:rsidRPr="003F5F13">
        <w:t>year</w:t>
      </w:r>
      <w:r w:rsidR="005E08D0">
        <w:t xml:space="preserve"> time horizon have been estimated as part of the sensitivity analysis in </w:t>
      </w:r>
      <w:r w:rsidR="004A539B" w:rsidRPr="007C2F31">
        <w:t xml:space="preserve">Section </w:t>
      </w:r>
      <w:r w:rsidR="003346C7">
        <w:fldChar w:fldCharType="begin"/>
      </w:r>
      <w:r w:rsidR="003346C7">
        <w:instrText xml:space="preserve"> REF _Ref408828648 \r \h  \* MERGEFORMAT </w:instrText>
      </w:r>
      <w:r w:rsidR="003346C7">
        <w:fldChar w:fldCharType="separate"/>
      </w:r>
      <w:r w:rsidR="006A273E">
        <w:t>5.3.2</w:t>
      </w:r>
      <w:r w:rsidR="003346C7">
        <w:fldChar w:fldCharType="end"/>
      </w:r>
      <w:r w:rsidR="004A539B">
        <w:t>.</w:t>
      </w:r>
    </w:p>
    <w:p w14:paraId="5FEDFE42" w14:textId="77777777" w:rsidR="00951742" w:rsidRDefault="00951742" w:rsidP="00951742">
      <w:pPr>
        <w:pStyle w:val="Heading3"/>
        <w:numPr>
          <w:ilvl w:val="2"/>
          <w:numId w:val="20"/>
        </w:numPr>
      </w:pPr>
      <w:bookmarkStart w:id="513" w:name="_Ref408835377"/>
      <w:bookmarkStart w:id="514" w:name="_Ref408835780"/>
      <w:bookmarkStart w:id="515" w:name="_Toc415660893"/>
      <w:r>
        <w:t>Assessment of NABERS component</w:t>
      </w:r>
      <w:bookmarkEnd w:id="512"/>
      <w:bookmarkEnd w:id="513"/>
      <w:bookmarkEnd w:id="514"/>
      <w:bookmarkEnd w:id="515"/>
    </w:p>
    <w:p w14:paraId="484015F3" w14:textId="77777777" w:rsidR="00951742" w:rsidRDefault="00951742" w:rsidP="00951742">
      <w:pPr>
        <w:pStyle w:val="BodyText"/>
      </w:pPr>
      <w:r>
        <w:t xml:space="preserve">The likely future benefits of retaining the NABERS </w:t>
      </w:r>
      <w:r w:rsidR="006D0DB8">
        <w:t xml:space="preserve">component </w:t>
      </w:r>
      <w:r>
        <w:t>of the CBD program are estimated by considering expected outcomes with the program in place compared to what may occur if the program is discontinued.</w:t>
      </w:r>
    </w:p>
    <w:p w14:paraId="5D96DB4D" w14:textId="77777777" w:rsidR="00951742" w:rsidRDefault="00951742" w:rsidP="00951742">
      <w:pPr>
        <w:pStyle w:val="BodyText"/>
      </w:pPr>
      <w:r>
        <w:t>The projected outcome if the scheme is retained was modelled by considering the ‘evolution’ of building energy performance during the period the scheme was in operation</w:t>
      </w:r>
      <w:r w:rsidR="00CB3EC7">
        <w:t xml:space="preserve">. </w:t>
      </w:r>
      <w:r>
        <w:t>This provides an evidentiary basis for the projections as it is based on observed outcomes.</w:t>
      </w:r>
    </w:p>
    <w:p w14:paraId="7F67F282" w14:textId="77777777" w:rsidR="00951742" w:rsidRDefault="00951742" w:rsidP="00951742">
      <w:pPr>
        <w:pStyle w:val="BodyText"/>
      </w:pPr>
      <w:r>
        <w:t>There is less evidence available to project likely outcomes if the scheme is discontinued</w:t>
      </w:r>
      <w:r w:rsidR="00CB3EC7">
        <w:t xml:space="preserve">. </w:t>
      </w:r>
      <w:r>
        <w:t>The outcomes will depend on the extent to which positive changes triggered by the scheme are retained by the market even if it is discontinued (</w:t>
      </w:r>
      <w:r w:rsidR="008F6AEE">
        <w:t>for example,</w:t>
      </w:r>
      <w:r>
        <w:t xml:space="preserve"> if the market demands and places a sufficient value on NABERS ratings)</w:t>
      </w:r>
      <w:r w:rsidR="001403AF">
        <w:t>,</w:t>
      </w:r>
      <w:r>
        <w:t xml:space="preserve"> </w:t>
      </w:r>
      <w:r>
        <w:lastRenderedPageBreak/>
        <w:t xml:space="preserve">and the extent to which </w:t>
      </w:r>
      <w:r w:rsidR="008F6AEE">
        <w:t xml:space="preserve">the </w:t>
      </w:r>
      <w:r>
        <w:t xml:space="preserve">behaviour </w:t>
      </w:r>
      <w:r w:rsidR="008F6AEE">
        <w:t xml:space="preserve">of building owners and operators </w:t>
      </w:r>
      <w:r>
        <w:t>will revert to pre-CBD behaviour.</w:t>
      </w:r>
    </w:p>
    <w:p w14:paraId="51CF67C0" w14:textId="77777777" w:rsidR="00951742" w:rsidRDefault="00951742" w:rsidP="00951742">
      <w:pPr>
        <w:pStyle w:val="BodyText"/>
      </w:pPr>
      <w:r>
        <w:t>The approach</w:t>
      </w:r>
      <w:r w:rsidR="006F54CF">
        <w:t>es</w:t>
      </w:r>
      <w:r>
        <w:t xml:space="preserve"> used to model the projected outcome with the scheme </w:t>
      </w:r>
      <w:r w:rsidR="006F54CF">
        <w:t>retained</w:t>
      </w:r>
      <w:r w:rsidR="001403AF">
        <w:t>,</w:t>
      </w:r>
      <w:r w:rsidR="006F54CF">
        <w:t xml:space="preserve"> </w:t>
      </w:r>
      <w:r>
        <w:t>and possible outcomes if the scheme is discontinued</w:t>
      </w:r>
      <w:r w:rsidR="001403AF">
        <w:t>,</w:t>
      </w:r>
      <w:r>
        <w:t xml:space="preserve"> are discussed in turn.</w:t>
      </w:r>
    </w:p>
    <w:p w14:paraId="1CCC1AC7" w14:textId="77777777" w:rsidR="00951742" w:rsidRDefault="00951742" w:rsidP="00951742">
      <w:pPr>
        <w:pStyle w:val="Heading4"/>
        <w:numPr>
          <w:ilvl w:val="3"/>
          <w:numId w:val="20"/>
        </w:numPr>
      </w:pPr>
      <w:r>
        <w:t>Projected outcome if NABERS component is retained</w:t>
      </w:r>
    </w:p>
    <w:p w14:paraId="5D2BF897" w14:textId="77777777" w:rsidR="00951742" w:rsidRDefault="00951742" w:rsidP="00951742">
      <w:pPr>
        <w:pStyle w:val="BodyText"/>
      </w:pPr>
      <w:r>
        <w:t xml:space="preserve">The benefits of retaining NABERS disclosure are calculated by considering </w:t>
      </w:r>
      <w:r w:rsidR="008247A5">
        <w:t>likely</w:t>
      </w:r>
      <w:r>
        <w:t xml:space="preserve"> differences in </w:t>
      </w:r>
      <w:r w:rsidR="008247A5">
        <w:t xml:space="preserve">the future </w:t>
      </w:r>
      <w:r>
        <w:t xml:space="preserve">performance of mandatory </w:t>
      </w:r>
      <w:proofErr w:type="spellStart"/>
      <w:r>
        <w:t>raters</w:t>
      </w:r>
      <w:proofErr w:type="spellEnd"/>
      <w:r>
        <w:t xml:space="preserve"> only, as it is assumed that the behaviour of voluntary </w:t>
      </w:r>
      <w:proofErr w:type="spellStart"/>
      <w:r>
        <w:t>raters</w:t>
      </w:r>
      <w:proofErr w:type="spellEnd"/>
      <w:r>
        <w:t xml:space="preserve"> would be the same irrespective of legislation </w:t>
      </w:r>
      <w:r w:rsidR="0090606E">
        <w:t xml:space="preserve">requiring </w:t>
      </w:r>
      <w:r>
        <w:t>mandatory disclosure.</w:t>
      </w:r>
    </w:p>
    <w:p w14:paraId="7AECB0D0" w14:textId="77777777" w:rsidR="00951742" w:rsidRDefault="00951742" w:rsidP="00951742">
      <w:pPr>
        <w:pStyle w:val="BodyText"/>
      </w:pPr>
      <w:r>
        <w:t xml:space="preserve">Overall, the star rating of mandatory </w:t>
      </w:r>
      <w:proofErr w:type="spellStart"/>
      <w:r>
        <w:t>raters</w:t>
      </w:r>
      <w:proofErr w:type="spellEnd"/>
      <w:r>
        <w:t xml:space="preserve"> improved during</w:t>
      </w:r>
      <w:r w:rsidR="008247A5">
        <w:t xml:space="preserve"> the time the CBD was in effect</w:t>
      </w:r>
      <w:r w:rsidR="00CB3EC7">
        <w:t xml:space="preserve">. </w:t>
      </w:r>
      <w:r w:rsidR="008247A5">
        <w:t>H</w:t>
      </w:r>
      <w:r>
        <w:t>owever</w:t>
      </w:r>
      <w:r w:rsidR="008247A5">
        <w:t>,</w:t>
      </w:r>
      <w:r>
        <w:t xml:space="preserve"> this improvement differed by building</w:t>
      </w:r>
      <w:r w:rsidR="00CB3EC7">
        <w:t xml:space="preserve">. </w:t>
      </w:r>
      <w:r>
        <w:t>Buildings improved to a greater or lesser extent, while a smaller proportion of buildings were also found to have reported a decrease in star rating.</w:t>
      </w:r>
    </w:p>
    <w:p w14:paraId="65481458" w14:textId="77777777" w:rsidR="00951742" w:rsidRDefault="00951742" w:rsidP="00951742">
      <w:pPr>
        <w:pStyle w:val="BodyText"/>
      </w:pPr>
      <w:r>
        <w:t xml:space="preserve">The </w:t>
      </w:r>
      <w:r w:rsidR="008247A5">
        <w:t xml:space="preserve">transition in the </w:t>
      </w:r>
      <w:r>
        <w:t>star rating</w:t>
      </w:r>
      <w:r w:rsidR="008247A5">
        <w:t>s</w:t>
      </w:r>
      <w:r>
        <w:t xml:space="preserve"> of mandatory </w:t>
      </w:r>
      <w:proofErr w:type="spellStart"/>
      <w:r>
        <w:t>rater</w:t>
      </w:r>
      <w:proofErr w:type="spellEnd"/>
      <w:r>
        <w:t xml:space="preserve"> floor space (including only buildings with at least two ratings) </w:t>
      </w:r>
      <w:r w:rsidR="008247A5">
        <w:t xml:space="preserve">observed during the operation of the CBD program </w:t>
      </w:r>
      <w:r>
        <w:t xml:space="preserve">is </w:t>
      </w:r>
      <w:r w:rsidR="008247A5">
        <w:t>shown</w:t>
      </w:r>
      <w:r>
        <w:t xml:space="preserve"> in </w:t>
      </w:r>
      <w:r w:rsidR="003346C7">
        <w:fldChar w:fldCharType="begin"/>
      </w:r>
      <w:r w:rsidR="003346C7">
        <w:instrText xml:space="preserve"> REF _Ref408222385 \h  \* MERGEFORMAT </w:instrText>
      </w:r>
      <w:r w:rsidR="003346C7">
        <w:fldChar w:fldCharType="separate"/>
      </w:r>
      <w:r w:rsidR="006A273E">
        <w:t xml:space="preserve">Figure </w:t>
      </w:r>
      <w:r w:rsidR="006A273E">
        <w:rPr>
          <w:noProof/>
        </w:rPr>
        <w:t>24</w:t>
      </w:r>
      <w:r w:rsidR="003346C7">
        <w:fldChar w:fldCharType="end"/>
      </w:r>
      <w:r>
        <w:t>.</w:t>
      </w:r>
    </w:p>
    <w:p w14:paraId="19416CAE" w14:textId="77777777" w:rsidR="00951742" w:rsidRDefault="00951742" w:rsidP="00951742">
      <w:pPr>
        <w:pStyle w:val="Caption"/>
      </w:pPr>
      <w:bookmarkStart w:id="516" w:name="_Ref408222385"/>
      <w:bookmarkStart w:id="517" w:name="_Toc415660969"/>
      <w:r>
        <w:t xml:space="preserve">Figure </w:t>
      </w:r>
      <w:r w:rsidR="00492194">
        <w:fldChar w:fldCharType="begin"/>
      </w:r>
      <w:r w:rsidR="0044208C">
        <w:instrText xml:space="preserve"> SEQ Figure \* ARABIC </w:instrText>
      </w:r>
      <w:r w:rsidR="00492194">
        <w:fldChar w:fldCharType="separate"/>
      </w:r>
      <w:r w:rsidR="006A273E">
        <w:rPr>
          <w:noProof/>
        </w:rPr>
        <w:t>24</w:t>
      </w:r>
      <w:r w:rsidR="00492194">
        <w:rPr>
          <w:noProof/>
        </w:rPr>
        <w:fldChar w:fldCharType="end"/>
      </w:r>
      <w:bookmarkEnd w:id="516"/>
      <w:r w:rsidRPr="004E0C91">
        <w:rPr>
          <w:b/>
          <w:color w:val="000080"/>
        </w:rPr>
        <w:tab/>
      </w:r>
      <w:r w:rsidR="008247A5">
        <w:rPr>
          <w:rStyle w:val="CaptionLabel"/>
        </w:rPr>
        <w:t>T</w:t>
      </w:r>
      <w:r>
        <w:rPr>
          <w:rStyle w:val="CaptionLabel"/>
        </w:rPr>
        <w:t xml:space="preserve">ransition </w:t>
      </w:r>
      <w:r w:rsidR="008247A5">
        <w:rPr>
          <w:rStyle w:val="CaptionLabel"/>
        </w:rPr>
        <w:t xml:space="preserve">in star ratings </w:t>
      </w:r>
      <w:r>
        <w:rPr>
          <w:rStyle w:val="CaptionLabel"/>
        </w:rPr>
        <w:t xml:space="preserve">of mandatory </w:t>
      </w:r>
      <w:proofErr w:type="spellStart"/>
      <w:r>
        <w:rPr>
          <w:rStyle w:val="CaptionLabel"/>
        </w:rPr>
        <w:t>rater</w:t>
      </w:r>
      <w:proofErr w:type="spellEnd"/>
      <w:r>
        <w:rPr>
          <w:rStyle w:val="CaptionLabel"/>
        </w:rPr>
        <w:t xml:space="preserve"> floor space</w:t>
      </w:r>
      <w:r w:rsidR="00450430">
        <w:rPr>
          <w:rStyle w:val="CaptionLabel"/>
        </w:rPr>
        <w:t xml:space="preserve"> during CBD</w:t>
      </w:r>
      <w:bookmarkEnd w:id="517"/>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951742" w14:paraId="724FE25A" w14:textId="77777777">
        <w:trPr>
          <w:cantSplit/>
        </w:trPr>
        <w:tc>
          <w:tcPr>
            <w:tcW w:w="5000" w:type="pct"/>
          </w:tcPr>
          <w:p w14:paraId="7DF31A96" w14:textId="77777777" w:rsidR="00951742" w:rsidRDefault="00951742" w:rsidP="00594865">
            <w:pPr>
              <w:pStyle w:val="SmallDeltasRightAligned"/>
              <w:keepNext/>
            </w:pPr>
            <w:r>
              <w:rPr>
                <w:noProof/>
                <w:lang w:eastAsia="en-AU"/>
              </w:rPr>
              <w:drawing>
                <wp:inline distT="0" distB="0" distL="0" distR="0" wp14:anchorId="6D10F64D" wp14:editId="534C66D0">
                  <wp:extent cx="481585" cy="234696"/>
                  <wp:effectExtent l="0" t="0" r="0" b="0"/>
                  <wp:docPr id="30" name="Picture 30"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951742" w14:paraId="393099AB" w14:textId="77777777">
        <w:trPr>
          <w:cantSplit/>
        </w:trPr>
        <w:tc>
          <w:tcPr>
            <w:tcW w:w="5000" w:type="pct"/>
          </w:tcPr>
          <w:p w14:paraId="7DAB8C41" w14:textId="77777777" w:rsidR="00951742" w:rsidRDefault="00951742" w:rsidP="00594865">
            <w:pPr>
              <w:pStyle w:val="Figure"/>
            </w:pPr>
            <w:r w:rsidRPr="006F24F2">
              <w:rPr>
                <w:noProof/>
                <w:lang w:eastAsia="en-AU"/>
              </w:rPr>
              <w:drawing>
                <wp:inline distT="0" distB="0" distL="0" distR="0" wp14:anchorId="47101333" wp14:editId="0BA12B12">
                  <wp:extent cx="4680585" cy="1872615"/>
                  <wp:effectExtent l="0" t="0" r="5715" b="0"/>
                  <wp:docPr id="33" name="Picture 8" descr="Transition in star ratings of mandatory rater floor space during CBD" title="Transition in star ratings of mandatory rater floor space during 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56"/>
                          <a:stretch>
                            <a:fillRect/>
                          </a:stretch>
                        </pic:blipFill>
                        <pic:spPr>
                          <a:xfrm>
                            <a:off x="0" y="0"/>
                            <a:ext cx="4680585" cy="1872615"/>
                          </a:xfrm>
                          <a:prstGeom prst="rect">
                            <a:avLst/>
                          </a:prstGeom>
                        </pic:spPr>
                      </pic:pic>
                    </a:graphicData>
                  </a:graphic>
                </wp:inline>
              </w:drawing>
            </w:r>
          </w:p>
        </w:tc>
      </w:tr>
    </w:tbl>
    <w:p w14:paraId="1883F8EF" w14:textId="77777777" w:rsidR="00951742" w:rsidRDefault="00951742" w:rsidP="00951742">
      <w:pPr>
        <w:pStyle w:val="Note"/>
      </w:pPr>
      <w:r>
        <w:rPr>
          <w:i/>
        </w:rPr>
        <w:t>Note:</w:t>
      </w:r>
      <w:r>
        <w:t xml:space="preserve"> Includes only buildings with at least two star ratings</w:t>
      </w:r>
      <w:r w:rsidR="001403AF">
        <w:t>.</w:t>
      </w:r>
    </w:p>
    <w:p w14:paraId="19F1AB10" w14:textId="77777777" w:rsidR="00951742" w:rsidRPr="00B50A1B" w:rsidRDefault="00951742" w:rsidP="00951742">
      <w:pPr>
        <w:pStyle w:val="Source"/>
        <w:rPr>
          <w:i/>
        </w:rPr>
      </w:pPr>
      <w:r>
        <w:t>S</w:t>
      </w:r>
      <w:r w:rsidRPr="00B50A1B">
        <w:t>ource:</w:t>
      </w:r>
      <w:r w:rsidRPr="00954EED">
        <w:t xml:space="preserve"> </w:t>
      </w:r>
      <w:r>
        <w:t>ACIL Allen analysis of NABERS data</w:t>
      </w:r>
    </w:p>
    <w:p w14:paraId="673C4E2A" w14:textId="77777777" w:rsidR="00951742" w:rsidRDefault="00951742" w:rsidP="00951742">
      <w:pPr>
        <w:pStyle w:val="BodyText"/>
      </w:pPr>
      <w:r>
        <w:t xml:space="preserve">For example, </w:t>
      </w:r>
      <w:r w:rsidRPr="007F0AF2">
        <w:t xml:space="preserve">of all buildings that had a </w:t>
      </w:r>
      <w:r>
        <w:t xml:space="preserve">first star rating of </w:t>
      </w:r>
      <w:r w:rsidRPr="007F0AF2">
        <w:t>1.5 star</w:t>
      </w:r>
      <w:r>
        <w:t>s</w:t>
      </w:r>
      <w:r w:rsidRPr="007F0AF2">
        <w:t>, 35</w:t>
      </w:r>
      <w:r w:rsidR="00687A58">
        <w:t xml:space="preserve"> per cent</w:t>
      </w:r>
      <w:r w:rsidRPr="007F0AF2">
        <w:t xml:space="preserve"> of these buildings </w:t>
      </w:r>
      <w:r>
        <w:t>had a final star rating of 3.5.</w:t>
      </w:r>
    </w:p>
    <w:p w14:paraId="0F8F9ACB" w14:textId="77777777" w:rsidR="00951742" w:rsidRDefault="00951742" w:rsidP="00951742">
      <w:pPr>
        <w:pStyle w:val="BodyText"/>
      </w:pPr>
      <w:r>
        <w:t>The observed transition, which occurred over a period of approximately four years, is used to project the future evolution of building star ratings by assuming the same transition occurs every four years</w:t>
      </w:r>
      <w:r w:rsidR="00CB3EC7">
        <w:t xml:space="preserve">. </w:t>
      </w:r>
      <w:r>
        <w:t>A number of qualifications accompany this approach, including:</w:t>
      </w:r>
    </w:p>
    <w:p w14:paraId="1332290D" w14:textId="77777777" w:rsidR="00951742" w:rsidRDefault="00951742" w:rsidP="00951742">
      <w:pPr>
        <w:pStyle w:val="ListDash"/>
      </w:pPr>
      <w:r>
        <w:t>The two key factors that drive a star transition are the cost effective energy efficiency opportunities for a building and the propensity of building owners to capitalise on these opportunities</w:t>
      </w:r>
      <w:r w:rsidR="00CB3EC7">
        <w:t xml:space="preserve">. </w:t>
      </w:r>
      <w:r>
        <w:t>It is implicitly assumed these conti</w:t>
      </w:r>
      <w:r w:rsidR="00687A58">
        <w:t>nue to drive future improvement.</w:t>
      </w:r>
    </w:p>
    <w:p w14:paraId="065DA042" w14:textId="77777777" w:rsidR="00951742" w:rsidRDefault="00951742" w:rsidP="00951742">
      <w:pPr>
        <w:pStyle w:val="ListDash"/>
      </w:pPr>
      <w:r>
        <w:t>The cost effectiveness of energy efficiency improvements will in turn depend</w:t>
      </w:r>
      <w:r w:rsidR="009D34AA">
        <w:t xml:space="preserve"> on</w:t>
      </w:r>
      <w:r>
        <w:t xml:space="preserve"> government incentives</w:t>
      </w:r>
      <w:r w:rsidR="00CB3EC7">
        <w:t xml:space="preserve">. </w:t>
      </w:r>
      <w:r>
        <w:t>In particular, it is assumed that state</w:t>
      </w:r>
      <w:r w:rsidR="00687A58">
        <w:t>-based</w:t>
      </w:r>
      <w:r>
        <w:t xml:space="preserve"> white certificate schemes </w:t>
      </w:r>
      <w:r w:rsidR="00687A58">
        <w:t>will remain in place.</w:t>
      </w:r>
    </w:p>
    <w:p w14:paraId="50D9B0DC" w14:textId="77777777" w:rsidR="00951742" w:rsidRDefault="00951742" w:rsidP="00951742">
      <w:pPr>
        <w:pStyle w:val="ListDash"/>
      </w:pPr>
      <w:r>
        <w:lastRenderedPageBreak/>
        <w:t>Buildings of the same star rating are not a homogenous group</w:t>
      </w:r>
      <w:r w:rsidR="00CB3EC7">
        <w:t xml:space="preserve">. </w:t>
      </w:r>
      <w:r>
        <w:t>They vary by size, potential for improvement, climate zone, market demand etc</w:t>
      </w:r>
      <w:r w:rsidR="00CB3EC7">
        <w:t xml:space="preserve">. </w:t>
      </w:r>
      <w:r>
        <w:t xml:space="preserve">The above transition attempts to capture this heterogeneity through a distribution of </w:t>
      </w:r>
      <w:r w:rsidR="00687A58">
        <w:t xml:space="preserve">the </w:t>
      </w:r>
      <w:r>
        <w:t>final state</w:t>
      </w:r>
      <w:r w:rsidR="00687A58">
        <w:t>s</w:t>
      </w:r>
      <w:r>
        <w:t xml:space="preserve"> for each starting state.</w:t>
      </w:r>
    </w:p>
    <w:p w14:paraId="4A62BA31" w14:textId="77777777" w:rsidR="00951742" w:rsidRDefault="00951742" w:rsidP="00951742">
      <w:pPr>
        <w:pStyle w:val="Heading4"/>
        <w:numPr>
          <w:ilvl w:val="3"/>
          <w:numId w:val="20"/>
        </w:numPr>
      </w:pPr>
      <w:r>
        <w:t>Possible outcomes if NABERS component is discontinued</w:t>
      </w:r>
    </w:p>
    <w:p w14:paraId="488DD493" w14:textId="77777777" w:rsidR="00951742" w:rsidRDefault="00951742" w:rsidP="00951742">
      <w:pPr>
        <w:pStyle w:val="BodyText"/>
      </w:pPr>
      <w:r>
        <w:t xml:space="preserve">Estimating the </w:t>
      </w:r>
      <w:r w:rsidR="008A4A82">
        <w:t xml:space="preserve">net </w:t>
      </w:r>
      <w:r>
        <w:t xml:space="preserve">benefit of retaining NABERS disclosure requires </w:t>
      </w:r>
      <w:r w:rsidR="009D34AA">
        <w:t xml:space="preserve">determining </w:t>
      </w:r>
      <w:r>
        <w:t xml:space="preserve">the benefits that would be delivered in the absence </w:t>
      </w:r>
      <w:r w:rsidR="00B5553A">
        <w:t xml:space="preserve">of </w:t>
      </w:r>
      <w:r>
        <w:t>mandatory NABERS disclosure (the counterfactual)</w:t>
      </w:r>
      <w:r w:rsidR="00CB3EC7">
        <w:t xml:space="preserve">. </w:t>
      </w:r>
      <w:r>
        <w:t xml:space="preserve">However, there is significant uncertainty in projecting the likely outcome if </w:t>
      </w:r>
      <w:r w:rsidR="00B61926">
        <w:t xml:space="preserve">the </w:t>
      </w:r>
      <w:r>
        <w:t>NABERS</w:t>
      </w:r>
      <w:r w:rsidR="00B61926">
        <w:t xml:space="preserve"> component of</w:t>
      </w:r>
      <w:r>
        <w:t xml:space="preserve"> </w:t>
      </w:r>
      <w:r w:rsidR="00B61926">
        <w:t xml:space="preserve">CBD </w:t>
      </w:r>
      <w:r>
        <w:t>is discontinued.</w:t>
      </w:r>
    </w:p>
    <w:p w14:paraId="0420DF07" w14:textId="063154C6" w:rsidR="00951742" w:rsidRDefault="00B61926" w:rsidP="00951742">
      <w:pPr>
        <w:pStyle w:val="BodyText"/>
      </w:pPr>
      <w:r>
        <w:t xml:space="preserve">The </w:t>
      </w:r>
      <w:r w:rsidR="00951742">
        <w:t xml:space="preserve">likely outcome will depend on how mandatory </w:t>
      </w:r>
      <w:proofErr w:type="spellStart"/>
      <w:r w:rsidR="00951742">
        <w:t>raters</w:t>
      </w:r>
      <w:proofErr w:type="spellEnd"/>
      <w:r w:rsidR="00951742">
        <w:t xml:space="preserve"> respond to the </w:t>
      </w:r>
      <w:r w:rsidR="009D34AA">
        <w:t xml:space="preserve">ending </w:t>
      </w:r>
      <w:r w:rsidR="00951742">
        <w:t>of NABERS disclosure</w:t>
      </w:r>
      <w:r w:rsidR="00CB3EC7">
        <w:t xml:space="preserve">. </w:t>
      </w:r>
      <w:r w:rsidR="00951742">
        <w:t xml:space="preserve">The behaviour of mandatory </w:t>
      </w:r>
      <w:proofErr w:type="spellStart"/>
      <w:r w:rsidR="00951742">
        <w:t>raters</w:t>
      </w:r>
      <w:proofErr w:type="spellEnd"/>
      <w:r w:rsidR="00951742">
        <w:t xml:space="preserve"> in the absence of disclosure cannot be inferred through the NABERS data (as mandatory </w:t>
      </w:r>
      <w:proofErr w:type="spellStart"/>
      <w:r w:rsidR="00951742">
        <w:t>raters</w:t>
      </w:r>
      <w:proofErr w:type="spellEnd"/>
      <w:r w:rsidR="00951742">
        <w:t xml:space="preserve"> did not obtain NABERS ratings during </w:t>
      </w:r>
      <w:r w:rsidR="00B5553A">
        <w:t>the</w:t>
      </w:r>
      <w:r w:rsidR="00951742">
        <w:t xml:space="preserve"> period</w:t>
      </w:r>
      <w:r w:rsidR="00B5553A">
        <w:t xml:space="preserve"> preceding the introduction of CBD</w:t>
      </w:r>
      <w:r w:rsidR="00951742">
        <w:t>)</w:t>
      </w:r>
      <w:r w:rsidR="00CB3EC7">
        <w:t xml:space="preserve">. </w:t>
      </w:r>
      <w:r w:rsidR="00951742">
        <w:t xml:space="preserve">Furthermore, expected behaviour following </w:t>
      </w:r>
      <w:r w:rsidR="006F21ED">
        <w:t xml:space="preserve">cessation of </w:t>
      </w:r>
      <w:r w:rsidR="009D34AA">
        <w:t xml:space="preserve">the </w:t>
      </w:r>
      <w:r>
        <w:t>NABERS component</w:t>
      </w:r>
      <w:r w:rsidR="009D34AA">
        <w:t xml:space="preserve"> </w:t>
      </w:r>
      <w:r w:rsidR="00951742">
        <w:t>may differ from past behaviour before the scheme was introduced, since at least some behaviour change may be ingrained.</w:t>
      </w:r>
    </w:p>
    <w:p w14:paraId="7C18B7ED" w14:textId="77777777" w:rsidR="00951742" w:rsidRDefault="00951742" w:rsidP="00951742">
      <w:pPr>
        <w:pStyle w:val="BodyText"/>
      </w:pPr>
      <w:r>
        <w:t xml:space="preserve">Therefore, the assumed behaviour of mandatory </w:t>
      </w:r>
      <w:proofErr w:type="spellStart"/>
      <w:r>
        <w:t>raters</w:t>
      </w:r>
      <w:proofErr w:type="spellEnd"/>
      <w:r>
        <w:t xml:space="preserve"> (the extent to which </w:t>
      </w:r>
      <w:r w:rsidR="0076480D">
        <w:t xml:space="preserve">the </w:t>
      </w:r>
      <w:r>
        <w:t>rate of improvement during the period of mandatory disclosure is maintained compared with no improvement or stagnation) is a key sensitivity for the estimation of benefits of retaining NABERS disclosure.</w:t>
      </w:r>
    </w:p>
    <w:p w14:paraId="5B54FBA1" w14:textId="77777777" w:rsidR="00951742" w:rsidRDefault="00B61926" w:rsidP="00951742">
      <w:pPr>
        <w:pStyle w:val="BodyText"/>
      </w:pPr>
      <w:r>
        <w:t xml:space="preserve">ACIL Allen developed </w:t>
      </w:r>
      <w:r w:rsidR="00951742">
        <w:t xml:space="preserve">assumptions relating to the extent of behaviour retention (shown in </w:t>
      </w:r>
      <w:r w:rsidR="00492194">
        <w:fldChar w:fldCharType="begin"/>
      </w:r>
      <w:r w:rsidR="00951742">
        <w:instrText xml:space="preserve"> REF _Ref408226819 \h </w:instrText>
      </w:r>
      <w:r w:rsidR="00492194">
        <w:fldChar w:fldCharType="separate"/>
      </w:r>
      <w:r w:rsidR="006A273E">
        <w:t xml:space="preserve">Table </w:t>
      </w:r>
      <w:r w:rsidR="006A273E">
        <w:rPr>
          <w:noProof/>
        </w:rPr>
        <w:t>15</w:t>
      </w:r>
      <w:r w:rsidR="00492194">
        <w:fldChar w:fldCharType="end"/>
      </w:r>
      <w:r w:rsidR="00951742">
        <w:t xml:space="preserve"> below)</w:t>
      </w:r>
      <w:r w:rsidR="00CB3EC7">
        <w:t xml:space="preserve">. </w:t>
      </w:r>
      <w:r>
        <w:t>These were tested with stakeholders and it was generally agreed that they were plausible</w:t>
      </w:r>
      <w:r w:rsidR="00CB3EC7">
        <w:t xml:space="preserve">. </w:t>
      </w:r>
    </w:p>
    <w:p w14:paraId="66462521" w14:textId="77777777" w:rsidR="00951742" w:rsidRDefault="00951742" w:rsidP="00951742">
      <w:pPr>
        <w:pStyle w:val="Caption"/>
      </w:pPr>
      <w:bookmarkStart w:id="518" w:name="_Ref408226819"/>
      <w:bookmarkStart w:id="519" w:name="_Toc415661022"/>
      <w:r>
        <w:t xml:space="preserve">Table </w:t>
      </w:r>
      <w:r w:rsidR="00366ADF">
        <w:fldChar w:fldCharType="begin"/>
      </w:r>
      <w:r w:rsidR="00366ADF">
        <w:instrText xml:space="preserve"> SEQ Table \* MERGEFORMAT </w:instrText>
      </w:r>
      <w:r w:rsidR="00366ADF">
        <w:fldChar w:fldCharType="separate"/>
      </w:r>
      <w:r w:rsidR="006A273E">
        <w:rPr>
          <w:noProof/>
        </w:rPr>
        <w:t>15</w:t>
      </w:r>
      <w:r w:rsidR="00366ADF">
        <w:rPr>
          <w:noProof/>
        </w:rPr>
        <w:fldChar w:fldCharType="end"/>
      </w:r>
      <w:bookmarkEnd w:id="518"/>
      <w:r w:rsidRPr="00C9524D">
        <w:rPr>
          <w:b/>
          <w:color w:val="000000"/>
        </w:rPr>
        <w:tab/>
      </w:r>
      <w:r>
        <w:rPr>
          <w:b/>
          <w:color w:val="000000"/>
        </w:rPr>
        <w:t xml:space="preserve">Assumed </w:t>
      </w:r>
      <w:r w:rsidR="00761EF9">
        <w:rPr>
          <w:b/>
          <w:color w:val="000000"/>
        </w:rPr>
        <w:t>rate of improvement in the absence of NABERS disclosure</w:t>
      </w:r>
      <w:bookmarkEnd w:id="519"/>
    </w:p>
    <w:tbl>
      <w:tblPr>
        <w:tblW w:w="7343" w:type="dxa"/>
        <w:tblInd w:w="28"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1815"/>
        <w:gridCol w:w="2764"/>
        <w:gridCol w:w="2764"/>
      </w:tblGrid>
      <w:tr w:rsidR="00951742" w14:paraId="1B8DBB9D" w14:textId="77777777">
        <w:trPr>
          <w:cantSplit/>
        </w:trPr>
        <w:tc>
          <w:tcPr>
            <w:tcW w:w="1815" w:type="dxa"/>
            <w:tcBorders>
              <w:top w:val="nil"/>
              <w:bottom w:val="single" w:sz="2" w:space="0" w:color="C0C0C0"/>
            </w:tcBorders>
            <w:shd w:val="solid" w:color="9757A6" w:fill="auto"/>
            <w:vAlign w:val="center"/>
          </w:tcPr>
          <w:p w14:paraId="2C0B546E" w14:textId="77777777" w:rsidR="00951742" w:rsidRPr="00A31DAB" w:rsidRDefault="00951742" w:rsidP="00594865">
            <w:pPr>
              <w:pStyle w:val="Tablecolumnheadings"/>
            </w:pPr>
            <w:r w:rsidRPr="00A31DAB">
              <w:t>Segment</w:t>
            </w:r>
          </w:p>
        </w:tc>
        <w:tc>
          <w:tcPr>
            <w:tcW w:w="2764" w:type="dxa"/>
            <w:tcBorders>
              <w:top w:val="nil"/>
              <w:bottom w:val="single" w:sz="2" w:space="0" w:color="C0C0C0"/>
            </w:tcBorders>
            <w:shd w:val="solid" w:color="9757A6" w:fill="auto"/>
            <w:vAlign w:val="center"/>
          </w:tcPr>
          <w:p w14:paraId="49B2D9F3" w14:textId="2D8DE0B6" w:rsidR="00951742" w:rsidRPr="00A31DAB" w:rsidRDefault="00951742" w:rsidP="00594865">
            <w:pPr>
              <w:pStyle w:val="Tablecolumnheadings"/>
              <w:jc w:val="center"/>
            </w:pPr>
            <w:r>
              <w:t xml:space="preserve">Rate of improvement in energy intensity during CBD </w:t>
            </w:r>
            <w:proofErr w:type="spellStart"/>
            <w:r>
              <w:t>operation</w:t>
            </w:r>
            <w:r w:rsidRPr="00487E6D">
              <w:rPr>
                <w:vertAlign w:val="superscript"/>
              </w:rPr>
              <w:t>a</w:t>
            </w:r>
            <w:proofErr w:type="spellEnd"/>
          </w:p>
        </w:tc>
        <w:tc>
          <w:tcPr>
            <w:tcW w:w="2764" w:type="dxa"/>
            <w:tcBorders>
              <w:top w:val="nil"/>
              <w:bottom w:val="single" w:sz="2" w:space="0" w:color="C0C0C0"/>
            </w:tcBorders>
            <w:shd w:val="solid" w:color="9757A6" w:fill="auto"/>
            <w:vAlign w:val="center"/>
          </w:tcPr>
          <w:p w14:paraId="6D601EE2" w14:textId="77777777" w:rsidR="00951742" w:rsidRPr="00A31DAB" w:rsidRDefault="00951742" w:rsidP="00594865">
            <w:pPr>
              <w:pStyle w:val="Tablecolumnheadings"/>
              <w:jc w:val="center"/>
            </w:pPr>
            <w:r>
              <w:t>Assumed retention of trend in improvement</w:t>
            </w:r>
          </w:p>
        </w:tc>
      </w:tr>
      <w:tr w:rsidR="00951742" w14:paraId="2C37ADC7" w14:textId="77777777">
        <w:trPr>
          <w:cantSplit/>
        </w:trPr>
        <w:tc>
          <w:tcPr>
            <w:tcW w:w="1815" w:type="dxa"/>
            <w:shd w:val="clear" w:color="auto" w:fill="auto"/>
            <w:vAlign w:val="center"/>
          </w:tcPr>
          <w:p w14:paraId="27634516" w14:textId="77777777" w:rsidR="00951742" w:rsidRDefault="00951742" w:rsidP="00594865">
            <w:pPr>
              <w:pStyle w:val="Tabletext"/>
            </w:pPr>
            <w:r>
              <w:t>Mandatory 1</w:t>
            </w:r>
            <w:r w:rsidRPr="00C9524D">
              <w:rPr>
                <w:vertAlign w:val="superscript"/>
              </w:rPr>
              <w:t>st</w:t>
            </w:r>
            <w:r>
              <w:t xml:space="preserve"> quartile</w:t>
            </w:r>
          </w:p>
        </w:tc>
        <w:tc>
          <w:tcPr>
            <w:tcW w:w="2764" w:type="dxa"/>
            <w:shd w:val="clear" w:color="auto" w:fill="auto"/>
            <w:vAlign w:val="center"/>
          </w:tcPr>
          <w:p w14:paraId="265E28AC" w14:textId="77777777" w:rsidR="00951742" w:rsidRDefault="00951742" w:rsidP="00594865">
            <w:pPr>
              <w:pStyle w:val="Tabletext"/>
              <w:jc w:val="center"/>
            </w:pPr>
            <w:r>
              <w:t>1.0%</w:t>
            </w:r>
          </w:p>
        </w:tc>
        <w:tc>
          <w:tcPr>
            <w:tcW w:w="2764" w:type="dxa"/>
            <w:shd w:val="clear" w:color="auto" w:fill="auto"/>
          </w:tcPr>
          <w:p w14:paraId="054B137F" w14:textId="77777777" w:rsidR="00951742" w:rsidRDefault="00951742" w:rsidP="00594865">
            <w:pPr>
              <w:pStyle w:val="Tabletext"/>
              <w:jc w:val="center"/>
            </w:pPr>
            <w:r>
              <w:t>80%</w:t>
            </w:r>
          </w:p>
        </w:tc>
      </w:tr>
      <w:tr w:rsidR="00951742" w14:paraId="51F05598" w14:textId="77777777">
        <w:trPr>
          <w:cantSplit/>
        </w:trPr>
        <w:tc>
          <w:tcPr>
            <w:tcW w:w="1815" w:type="dxa"/>
            <w:shd w:val="clear" w:color="auto" w:fill="auto"/>
            <w:vAlign w:val="center"/>
          </w:tcPr>
          <w:p w14:paraId="6F127F6F" w14:textId="77777777" w:rsidR="00951742" w:rsidRDefault="00951742" w:rsidP="00594865">
            <w:pPr>
              <w:pStyle w:val="Tabletext"/>
            </w:pPr>
            <w:r>
              <w:t>Mandatory 2</w:t>
            </w:r>
            <w:r w:rsidRPr="00C9524D">
              <w:rPr>
                <w:vertAlign w:val="superscript"/>
              </w:rPr>
              <w:t>nd</w:t>
            </w:r>
            <w:r>
              <w:t xml:space="preserve"> quartile</w:t>
            </w:r>
          </w:p>
        </w:tc>
        <w:tc>
          <w:tcPr>
            <w:tcW w:w="2764" w:type="dxa"/>
            <w:shd w:val="clear" w:color="auto" w:fill="auto"/>
            <w:vAlign w:val="center"/>
          </w:tcPr>
          <w:p w14:paraId="33AFC4DA" w14:textId="77777777" w:rsidR="00951742" w:rsidRDefault="00951742" w:rsidP="00594865">
            <w:pPr>
              <w:pStyle w:val="Tabletext"/>
              <w:jc w:val="center"/>
            </w:pPr>
            <w:r>
              <w:t>5.6%</w:t>
            </w:r>
          </w:p>
        </w:tc>
        <w:tc>
          <w:tcPr>
            <w:tcW w:w="2764" w:type="dxa"/>
            <w:shd w:val="clear" w:color="auto" w:fill="auto"/>
          </w:tcPr>
          <w:p w14:paraId="791FBF07" w14:textId="77777777" w:rsidR="00951742" w:rsidRDefault="00951742" w:rsidP="00594865">
            <w:pPr>
              <w:pStyle w:val="Tabletext"/>
              <w:jc w:val="center"/>
            </w:pPr>
            <w:r>
              <w:t>40%</w:t>
            </w:r>
          </w:p>
        </w:tc>
      </w:tr>
      <w:tr w:rsidR="00951742" w14:paraId="7F486754" w14:textId="77777777">
        <w:trPr>
          <w:cantSplit/>
        </w:trPr>
        <w:tc>
          <w:tcPr>
            <w:tcW w:w="1815" w:type="dxa"/>
            <w:tcBorders>
              <w:bottom w:val="single" w:sz="2" w:space="0" w:color="C0C0C0"/>
            </w:tcBorders>
            <w:shd w:val="clear" w:color="auto" w:fill="auto"/>
            <w:vAlign w:val="center"/>
          </w:tcPr>
          <w:p w14:paraId="0C109159" w14:textId="77777777" w:rsidR="00951742" w:rsidRDefault="00951742" w:rsidP="00594865">
            <w:pPr>
              <w:pStyle w:val="Tabletext"/>
            </w:pPr>
            <w:r>
              <w:t>Mandatory 3</w:t>
            </w:r>
            <w:r w:rsidRPr="00C9524D">
              <w:rPr>
                <w:vertAlign w:val="superscript"/>
              </w:rPr>
              <w:t>rd</w:t>
            </w:r>
            <w:r>
              <w:t xml:space="preserve"> quartile</w:t>
            </w:r>
          </w:p>
        </w:tc>
        <w:tc>
          <w:tcPr>
            <w:tcW w:w="2764" w:type="dxa"/>
            <w:tcBorders>
              <w:bottom w:val="single" w:sz="2" w:space="0" w:color="C0C0C0"/>
            </w:tcBorders>
            <w:shd w:val="clear" w:color="auto" w:fill="auto"/>
            <w:vAlign w:val="center"/>
          </w:tcPr>
          <w:p w14:paraId="72A4B0BC" w14:textId="77777777" w:rsidR="00951742" w:rsidRDefault="00951742" w:rsidP="00594865">
            <w:pPr>
              <w:pStyle w:val="Tabletext"/>
              <w:jc w:val="center"/>
            </w:pPr>
            <w:r>
              <w:t>8.2%</w:t>
            </w:r>
          </w:p>
        </w:tc>
        <w:tc>
          <w:tcPr>
            <w:tcW w:w="2764" w:type="dxa"/>
            <w:tcBorders>
              <w:bottom w:val="single" w:sz="2" w:space="0" w:color="C0C0C0"/>
            </w:tcBorders>
            <w:shd w:val="clear" w:color="auto" w:fill="auto"/>
          </w:tcPr>
          <w:p w14:paraId="331D1F59" w14:textId="77777777" w:rsidR="00951742" w:rsidRDefault="00951742" w:rsidP="00594865">
            <w:pPr>
              <w:pStyle w:val="Tabletext"/>
              <w:jc w:val="center"/>
            </w:pPr>
            <w:r>
              <w:t>40%</w:t>
            </w:r>
          </w:p>
        </w:tc>
      </w:tr>
      <w:tr w:rsidR="00951742" w14:paraId="350C1D78" w14:textId="77777777">
        <w:trPr>
          <w:cantSplit/>
        </w:trPr>
        <w:tc>
          <w:tcPr>
            <w:tcW w:w="1815" w:type="dxa"/>
            <w:tcBorders>
              <w:top w:val="single" w:sz="2" w:space="0" w:color="C0C0C0"/>
              <w:bottom w:val="single" w:sz="2" w:space="0" w:color="999999"/>
            </w:tcBorders>
            <w:shd w:val="clear" w:color="auto" w:fill="auto"/>
            <w:vAlign w:val="center"/>
          </w:tcPr>
          <w:p w14:paraId="17B10518" w14:textId="77777777" w:rsidR="00951742" w:rsidRDefault="00951742" w:rsidP="00594865">
            <w:pPr>
              <w:pStyle w:val="Tabletext"/>
            </w:pPr>
            <w:r>
              <w:t>Mandatory 4</w:t>
            </w:r>
            <w:r w:rsidRPr="00C9524D">
              <w:rPr>
                <w:vertAlign w:val="superscript"/>
              </w:rPr>
              <w:t>th</w:t>
            </w:r>
            <w:r>
              <w:t xml:space="preserve"> quartile</w:t>
            </w:r>
          </w:p>
        </w:tc>
        <w:tc>
          <w:tcPr>
            <w:tcW w:w="2764" w:type="dxa"/>
            <w:tcBorders>
              <w:top w:val="single" w:sz="2" w:space="0" w:color="C0C0C0"/>
              <w:bottom w:val="single" w:sz="2" w:space="0" w:color="999999"/>
            </w:tcBorders>
            <w:shd w:val="clear" w:color="auto" w:fill="auto"/>
            <w:vAlign w:val="center"/>
          </w:tcPr>
          <w:p w14:paraId="7D1D1BB1" w14:textId="77777777" w:rsidR="00951742" w:rsidRDefault="00951742" w:rsidP="00594865">
            <w:pPr>
              <w:pStyle w:val="Tabletext"/>
              <w:jc w:val="center"/>
            </w:pPr>
            <w:r>
              <w:t>12.1%</w:t>
            </w:r>
          </w:p>
        </w:tc>
        <w:tc>
          <w:tcPr>
            <w:tcW w:w="2764" w:type="dxa"/>
            <w:tcBorders>
              <w:top w:val="single" w:sz="2" w:space="0" w:color="C0C0C0"/>
              <w:bottom w:val="single" w:sz="2" w:space="0" w:color="999999"/>
            </w:tcBorders>
            <w:shd w:val="clear" w:color="auto" w:fill="auto"/>
          </w:tcPr>
          <w:p w14:paraId="60BC5B6C" w14:textId="77777777" w:rsidR="00951742" w:rsidRDefault="00951742" w:rsidP="00594865">
            <w:pPr>
              <w:pStyle w:val="Tabletext"/>
              <w:jc w:val="center"/>
            </w:pPr>
            <w:r>
              <w:t>40%</w:t>
            </w:r>
          </w:p>
        </w:tc>
      </w:tr>
    </w:tbl>
    <w:p w14:paraId="2CD35944" w14:textId="77777777" w:rsidR="00951742" w:rsidRDefault="00951742" w:rsidP="00951742">
      <w:pPr>
        <w:pStyle w:val="Note"/>
      </w:pPr>
      <w:r>
        <w:rPr>
          <w:rStyle w:val="Notelabel"/>
        </w:rPr>
        <w:t>a</w:t>
      </w:r>
      <w:r>
        <w:t xml:space="preserve"> Compound annual rate of improvement (reduction in energy intensity) between 2011 and 2014</w:t>
      </w:r>
      <w:r w:rsidR="006F21ED">
        <w:t>.</w:t>
      </w:r>
    </w:p>
    <w:p w14:paraId="431442EB" w14:textId="77777777" w:rsidR="00951742" w:rsidRPr="00B85543" w:rsidRDefault="00951742" w:rsidP="00951742">
      <w:pPr>
        <w:pStyle w:val="Source"/>
      </w:pPr>
      <w:r>
        <w:t>Source</w:t>
      </w:r>
      <w:r w:rsidRPr="00B85543">
        <w:t xml:space="preserve">: </w:t>
      </w:r>
      <w:r>
        <w:t>ACIL Allen analysis of NABERS data and ACIL Allen assumptions</w:t>
      </w:r>
    </w:p>
    <w:p w14:paraId="7B581A91" w14:textId="77777777" w:rsidR="00951742" w:rsidRDefault="00951742" w:rsidP="00951742">
      <w:pPr>
        <w:pStyle w:val="BodyText"/>
      </w:pPr>
      <w:r>
        <w:t xml:space="preserve">Furthermore an </w:t>
      </w:r>
      <w:r w:rsidR="00761EF9">
        <w:t xml:space="preserve">overall </w:t>
      </w:r>
      <w:r>
        <w:t>‘attribution rate’ (the percentage of mone</w:t>
      </w:r>
      <w:r w:rsidR="0076480D">
        <w:t>t</w:t>
      </w:r>
      <w:r>
        <w:t>ised benefits of base building energy performance improvement delivered over the forward projections that may be attributed to retaining NABERS disclosure) is estimated for the above scenario</w:t>
      </w:r>
      <w:r w:rsidR="00CB3EC7">
        <w:t xml:space="preserve">. </w:t>
      </w:r>
      <w:r>
        <w:t>This is then compared with a ‘break-even’ attribution rate (the attribution rate required for the policy to be expected to deliver net economic benefits).</w:t>
      </w:r>
    </w:p>
    <w:p w14:paraId="7E002DC6" w14:textId="77777777" w:rsidR="00951742" w:rsidRDefault="00951742" w:rsidP="00951742">
      <w:pPr>
        <w:pStyle w:val="Heading3"/>
        <w:numPr>
          <w:ilvl w:val="2"/>
          <w:numId w:val="20"/>
        </w:numPr>
      </w:pPr>
      <w:bookmarkStart w:id="520" w:name="_Ref408404010"/>
      <w:bookmarkStart w:id="521" w:name="_Toc415660894"/>
      <w:r>
        <w:t>Assessment of TLA component</w:t>
      </w:r>
      <w:bookmarkEnd w:id="520"/>
      <w:bookmarkEnd w:id="521"/>
    </w:p>
    <w:p w14:paraId="67E903EE" w14:textId="77777777" w:rsidR="00951742" w:rsidRDefault="00951742" w:rsidP="00951742">
      <w:pPr>
        <w:pStyle w:val="BodyText"/>
      </w:pPr>
      <w:r>
        <w:t xml:space="preserve">Future improvements in tenancy lighting performance will depend on </w:t>
      </w:r>
      <w:r w:rsidR="00B379DF">
        <w:t>pay-off</w:t>
      </w:r>
      <w:r>
        <w:t>s from lighting upgrades and the extent to which the TLA component succeeds in addressing the underlying market failures.</w:t>
      </w:r>
    </w:p>
    <w:p w14:paraId="7148BD2A" w14:textId="36F2631C" w:rsidR="00951742" w:rsidRDefault="00951742" w:rsidP="00951742">
      <w:pPr>
        <w:pStyle w:val="BodyText"/>
      </w:pPr>
      <w:r>
        <w:t xml:space="preserve">During the period of CBD operation, much of the </w:t>
      </w:r>
      <w:r w:rsidR="001B0D48">
        <w:t xml:space="preserve">upgrades in luminaires </w:t>
      </w:r>
      <w:r>
        <w:t xml:space="preserve">consisted of switching from T8 </w:t>
      </w:r>
      <w:r w:rsidR="00B61926">
        <w:t xml:space="preserve">fluorescent </w:t>
      </w:r>
      <w:r>
        <w:t>lighting technology to T5</w:t>
      </w:r>
      <w:r w:rsidR="00CB3EC7">
        <w:t xml:space="preserve">. </w:t>
      </w:r>
      <w:r>
        <w:t xml:space="preserve">However, the financial </w:t>
      </w:r>
      <w:r>
        <w:lastRenderedPageBreak/>
        <w:t>returns from lighting upgrades continue to improve</w:t>
      </w:r>
      <w:r w:rsidR="00CA3E60">
        <w:t>,</w:t>
      </w:r>
      <w:r>
        <w:t xml:space="preserve"> with LED lighting technology now proving economic for many commercial building applications</w:t>
      </w:r>
      <w:r w:rsidR="006F21ED">
        <w:t>.</w:t>
      </w:r>
      <w:r>
        <w:rPr>
          <w:rStyle w:val="FootnoteReference"/>
        </w:rPr>
        <w:footnoteReference w:id="30"/>
      </w:r>
    </w:p>
    <w:p w14:paraId="0E8DF031" w14:textId="77777777" w:rsidR="00951742" w:rsidRDefault="00951742" w:rsidP="00951742">
      <w:pPr>
        <w:pStyle w:val="BodyText"/>
      </w:pPr>
      <w:r>
        <w:t xml:space="preserve">Reduced energy consumption and environmental benefits achievable by the TLA component will depend on the uptake of </w:t>
      </w:r>
      <w:r w:rsidR="00CA3E60">
        <w:t>energy efficiency opportunities made possible by technological improvements</w:t>
      </w:r>
      <w:r w:rsidR="00CB3EC7">
        <w:t xml:space="preserve">. </w:t>
      </w:r>
      <w:r>
        <w:t xml:space="preserve">In turn, uptake will depend on awareness of the benefits of lighting upgrades and </w:t>
      </w:r>
      <w:r w:rsidR="006F21ED">
        <w:t xml:space="preserve">the </w:t>
      </w:r>
      <w:r>
        <w:t>ability of tenants to negotiate upgrades with building owners</w:t>
      </w:r>
      <w:r w:rsidR="00CB3EC7">
        <w:t xml:space="preserve">. </w:t>
      </w:r>
      <w:r>
        <w:t>Tenancy lighting upgrades are typically only practical to undertake during a change of tenant.</w:t>
      </w:r>
    </w:p>
    <w:p w14:paraId="76444C0F" w14:textId="77777777" w:rsidR="00951742" w:rsidRDefault="00951742" w:rsidP="00951742">
      <w:pPr>
        <w:pStyle w:val="Heading4"/>
        <w:numPr>
          <w:ilvl w:val="3"/>
          <w:numId w:val="20"/>
        </w:numPr>
      </w:pPr>
      <w:r>
        <w:t>Projected outcome if TLA component is retained</w:t>
      </w:r>
    </w:p>
    <w:p w14:paraId="3526C77F" w14:textId="77777777" w:rsidR="00951742" w:rsidRDefault="00951742" w:rsidP="00951742">
      <w:pPr>
        <w:pStyle w:val="BodyText"/>
      </w:pPr>
      <w:r>
        <w:t>The TLA component aims to address market failures preventing the uptake of cost effective lighting upgrades</w:t>
      </w:r>
      <w:r w:rsidR="00CB3EC7">
        <w:t xml:space="preserve">. </w:t>
      </w:r>
      <w:r>
        <w:t>In a hypothetical market with no such failures</w:t>
      </w:r>
      <w:r w:rsidR="00601C24">
        <w:t>,</w:t>
      </w:r>
      <w:r>
        <w:t xml:space="preserve"> </w:t>
      </w:r>
      <w:r w:rsidR="00037D43">
        <w:t>all cost effective upgrades would be undertaken with new occupancies</w:t>
      </w:r>
      <w:r w:rsidR="00CB3EC7">
        <w:t xml:space="preserve">. </w:t>
      </w:r>
      <w:r w:rsidR="00037D43">
        <w:t>F</w:t>
      </w:r>
      <w:r w:rsidR="002C01BA">
        <w:t>or example,</w:t>
      </w:r>
      <w:r>
        <w:t xml:space="preserve"> where tenants are fully informed of the cost implications of lighting systems, they </w:t>
      </w:r>
      <w:r w:rsidR="00037D43">
        <w:t xml:space="preserve">would be </w:t>
      </w:r>
      <w:r>
        <w:t xml:space="preserve">able to negotiate upgrades with building owners and the more efficient lighting </w:t>
      </w:r>
      <w:r w:rsidR="00037D43">
        <w:t xml:space="preserve">would be </w:t>
      </w:r>
      <w:r>
        <w:t>valued through market rents</w:t>
      </w:r>
      <w:r w:rsidR="00CB3EC7">
        <w:t xml:space="preserve">. </w:t>
      </w:r>
      <w:r>
        <w:t>Such an outcome can be interpreted as an upper bound on the potential of the TLA.</w:t>
      </w:r>
    </w:p>
    <w:p w14:paraId="2BC02A48" w14:textId="77777777" w:rsidR="00951742" w:rsidRDefault="00951742" w:rsidP="00951742">
      <w:pPr>
        <w:pStyle w:val="BodyText"/>
      </w:pPr>
      <w:r>
        <w:t xml:space="preserve">Our analysis shows that the TLA has yet to fully address the </w:t>
      </w:r>
      <w:r w:rsidR="00037D43">
        <w:t xml:space="preserve">existing </w:t>
      </w:r>
      <w:r>
        <w:t>market failures and therefore</w:t>
      </w:r>
      <w:r w:rsidR="00601C24">
        <w:t>,</w:t>
      </w:r>
      <w:r>
        <w:t xml:space="preserve"> on current projections, as awareness of TLA grow</w:t>
      </w:r>
      <w:r w:rsidR="002C01BA">
        <w:t>s</w:t>
      </w:r>
      <w:r>
        <w:t>, an outcome between the observed business</w:t>
      </w:r>
      <w:r w:rsidR="002C01BA">
        <w:t>-</w:t>
      </w:r>
      <w:r>
        <w:t>as</w:t>
      </w:r>
      <w:r w:rsidR="002C01BA">
        <w:t>-</w:t>
      </w:r>
      <w:r>
        <w:t>usual and the upper bound is expected.</w:t>
      </w:r>
    </w:p>
    <w:p w14:paraId="0622C927" w14:textId="77777777" w:rsidR="00951742" w:rsidRDefault="00951742" w:rsidP="00951742">
      <w:pPr>
        <w:pStyle w:val="BodyText"/>
      </w:pPr>
      <w:r>
        <w:t xml:space="preserve">The theoretical upper bound has been estimated by simulating </w:t>
      </w:r>
      <w:r w:rsidR="002C01BA">
        <w:t xml:space="preserve">the </w:t>
      </w:r>
      <w:r>
        <w:t>behaviour of a ‘model tenant’ (</w:t>
      </w:r>
      <w:r w:rsidR="002C01BA">
        <w:t xml:space="preserve">that is, </w:t>
      </w:r>
      <w:r>
        <w:t xml:space="preserve">one </w:t>
      </w:r>
      <w:r w:rsidR="002C01BA">
        <w:t>who</w:t>
      </w:r>
      <w:r>
        <w:t xml:space="preserve"> is able to utilise TLA information to overcome market failures and negotiate cost effective upgrades)</w:t>
      </w:r>
      <w:r w:rsidR="00CB3EC7">
        <w:t xml:space="preserve">. </w:t>
      </w:r>
      <w:r w:rsidR="00ED68F6">
        <w:t>For example, t</w:t>
      </w:r>
      <w:r w:rsidR="009E5C81">
        <w:t xml:space="preserve">he </w:t>
      </w:r>
      <w:r>
        <w:t xml:space="preserve">NSW </w:t>
      </w:r>
      <w:r w:rsidR="009E5C81">
        <w:t>g</w:t>
      </w:r>
      <w:r>
        <w:t xml:space="preserve">overnment </w:t>
      </w:r>
      <w:r w:rsidR="00E16C27">
        <w:t>aims to achieve and maintain a minimum 4.5 star rating for large owned and leased buildings by June 2017</w:t>
      </w:r>
      <w:r w:rsidR="009E5C81">
        <w:t xml:space="preserve"> </w:t>
      </w:r>
      <w:r w:rsidR="009E5C81" w:rsidRPr="006649DF">
        <w:t>(NSW OEH, 2014)</w:t>
      </w:r>
      <w:r w:rsidR="00CB3EC7">
        <w:t xml:space="preserve">. </w:t>
      </w:r>
      <w:r w:rsidR="00E16C27">
        <w:t>This goal is pursued by implementing a range of measures</w:t>
      </w:r>
      <w:r w:rsidR="009E5C81">
        <w:t>,</w:t>
      </w:r>
      <w:r w:rsidR="00E16C27">
        <w:t xml:space="preserve"> including negotiating improvements to lighting systems on occupying new office space</w:t>
      </w:r>
      <w:r w:rsidR="00CB3EC7">
        <w:t xml:space="preserve">. </w:t>
      </w:r>
      <w:r>
        <w:t>Discussions with NSW Government Property about this policy were used to develop rules of thumb simulating the behaviour of a ‘model tenant’:</w:t>
      </w:r>
    </w:p>
    <w:p w14:paraId="7F8B8B18" w14:textId="77777777" w:rsidR="00951742" w:rsidRDefault="002C01BA" w:rsidP="00951742">
      <w:pPr>
        <w:pStyle w:val="ListDash"/>
      </w:pPr>
      <w:r>
        <w:t>a</w:t>
      </w:r>
      <w:r w:rsidR="00951742">
        <w:t>reas with an NLPD of less than 12 W/m</w:t>
      </w:r>
      <w:r w:rsidR="00951742" w:rsidRPr="00487E6D">
        <w:rPr>
          <w:vertAlign w:val="superscript"/>
        </w:rPr>
        <w:t>2</w:t>
      </w:r>
      <w:r w:rsidR="00951742">
        <w:t xml:space="preserve"> are generally considered not cost effective to upgrade</w:t>
      </w:r>
    </w:p>
    <w:p w14:paraId="2764252F" w14:textId="77777777" w:rsidR="00951742" w:rsidRDefault="002C01BA" w:rsidP="00951742">
      <w:pPr>
        <w:pStyle w:val="ListDash"/>
      </w:pPr>
      <w:r>
        <w:t>a</w:t>
      </w:r>
      <w:r w:rsidR="00951742">
        <w:t>reas with an NLPD of 12</w:t>
      </w:r>
      <w:r w:rsidR="00951742" w:rsidRPr="00B608B3">
        <w:t xml:space="preserve"> </w:t>
      </w:r>
      <w:r w:rsidR="00951742">
        <w:t>W/m</w:t>
      </w:r>
      <w:r w:rsidR="00951742" w:rsidRPr="00A6098E">
        <w:rPr>
          <w:vertAlign w:val="superscript"/>
        </w:rPr>
        <w:t>2</w:t>
      </w:r>
      <w:r w:rsidR="00951742">
        <w:t xml:space="preserve"> or higher are considered cost effective to upgrade</w:t>
      </w:r>
    </w:p>
    <w:p w14:paraId="47F35384" w14:textId="77777777" w:rsidR="00951742" w:rsidRDefault="002C01BA" w:rsidP="00951742">
      <w:pPr>
        <w:pStyle w:val="ListDash"/>
      </w:pPr>
      <w:r>
        <w:t>u</w:t>
      </w:r>
      <w:r w:rsidR="00951742">
        <w:t>pgrades of areas with NLPD of 12</w:t>
      </w:r>
      <w:r w:rsidR="00951742" w:rsidRPr="00B608B3">
        <w:t xml:space="preserve"> </w:t>
      </w:r>
      <w:r w:rsidR="00951742">
        <w:t>W/m</w:t>
      </w:r>
      <w:r w:rsidR="00951742" w:rsidRPr="00A6098E">
        <w:rPr>
          <w:vertAlign w:val="superscript"/>
        </w:rPr>
        <w:t>2</w:t>
      </w:r>
      <w:r w:rsidR="00951742">
        <w:t xml:space="preserve"> or higher aim to achieve NLPD of less than 6 W/m</w:t>
      </w:r>
      <w:r w:rsidR="00951742" w:rsidRPr="00487E6D">
        <w:rPr>
          <w:vertAlign w:val="superscript"/>
        </w:rPr>
        <w:t>2</w:t>
      </w:r>
      <w:r w:rsidR="00951742">
        <w:t xml:space="preserve"> </w:t>
      </w:r>
      <w:r w:rsidR="00726292">
        <w:t xml:space="preserve">and are </w:t>
      </w:r>
      <w:r w:rsidR="00951742">
        <w:t>sometimes also accompanied by improvements to control systems.</w:t>
      </w:r>
    </w:p>
    <w:p w14:paraId="5CD7C7D1" w14:textId="77777777" w:rsidR="00951742" w:rsidRDefault="00951742" w:rsidP="00951742">
      <w:pPr>
        <w:pStyle w:val="BodyText"/>
      </w:pPr>
      <w:r>
        <w:t>Therefore areas with NLPD of higher than 6 W/m</w:t>
      </w:r>
      <w:r w:rsidRPr="00487E6D">
        <w:rPr>
          <w:vertAlign w:val="superscript"/>
        </w:rPr>
        <w:t>2</w:t>
      </w:r>
      <w:r>
        <w:t xml:space="preserve"> and lower than 12 W/m</w:t>
      </w:r>
      <w:r w:rsidRPr="00487E6D">
        <w:rPr>
          <w:vertAlign w:val="superscript"/>
        </w:rPr>
        <w:t>2</w:t>
      </w:r>
      <w:r>
        <w:t xml:space="preserve"> have a higher power density than what upgrades would aim to achieve</w:t>
      </w:r>
      <w:r w:rsidR="00601C24">
        <w:t>,</w:t>
      </w:r>
      <w:r>
        <w:t xml:space="preserve"> but are not considered cost effective to upgrade.</w:t>
      </w:r>
    </w:p>
    <w:p w14:paraId="5D198719" w14:textId="77777777" w:rsidR="00951742" w:rsidRDefault="00951742" w:rsidP="00951742">
      <w:pPr>
        <w:pStyle w:val="BodyText"/>
      </w:pPr>
      <w:r>
        <w:t>The distribution</w:t>
      </w:r>
      <w:r>
        <w:rPr>
          <w:rStyle w:val="FootnoteReference"/>
        </w:rPr>
        <w:footnoteReference w:id="31"/>
      </w:r>
      <w:r>
        <w:t xml:space="preserve"> of NLPD of </w:t>
      </w:r>
      <w:r w:rsidR="00481074">
        <w:t>sample</w:t>
      </w:r>
      <w:r w:rsidR="00481074">
        <w:rPr>
          <w:rStyle w:val="FootnoteReference"/>
        </w:rPr>
        <w:footnoteReference w:id="32"/>
      </w:r>
      <w:r w:rsidR="00481074">
        <w:t xml:space="preserve"> </w:t>
      </w:r>
      <w:r>
        <w:t xml:space="preserve">floor space </w:t>
      </w:r>
      <w:r w:rsidR="00481074">
        <w:t>less than 6 W/m</w:t>
      </w:r>
      <w:r w:rsidR="00481074" w:rsidRPr="00487E6D">
        <w:rPr>
          <w:vertAlign w:val="superscript"/>
        </w:rPr>
        <w:t>2</w:t>
      </w:r>
      <w:r w:rsidR="00481074">
        <w:t xml:space="preserve"> and greater than 12 W/m</w:t>
      </w:r>
      <w:r w:rsidR="00481074" w:rsidRPr="00487E6D">
        <w:rPr>
          <w:vertAlign w:val="superscript"/>
        </w:rPr>
        <w:t>2</w:t>
      </w:r>
      <w:r w:rsidR="00481074">
        <w:t xml:space="preserve"> </w:t>
      </w:r>
      <w:r>
        <w:t xml:space="preserve">is shown in </w:t>
      </w:r>
      <w:r w:rsidR="003346C7">
        <w:fldChar w:fldCharType="begin"/>
      </w:r>
      <w:r w:rsidR="003346C7">
        <w:instrText xml:space="preserve"> REF _Ref408326637 \h  \* MERGEFORMAT </w:instrText>
      </w:r>
      <w:r w:rsidR="003346C7">
        <w:fldChar w:fldCharType="separate"/>
      </w:r>
      <w:r w:rsidR="006A273E">
        <w:t xml:space="preserve">Figure </w:t>
      </w:r>
      <w:r w:rsidR="006A273E">
        <w:rPr>
          <w:noProof/>
        </w:rPr>
        <w:t>25</w:t>
      </w:r>
      <w:r w:rsidR="003346C7">
        <w:fldChar w:fldCharType="end"/>
      </w:r>
      <w:r>
        <w:t>.</w:t>
      </w:r>
    </w:p>
    <w:p w14:paraId="3760B2AF" w14:textId="77777777" w:rsidR="00951742" w:rsidRDefault="00951742" w:rsidP="00951742">
      <w:pPr>
        <w:pStyle w:val="Caption"/>
      </w:pPr>
      <w:bookmarkStart w:id="522" w:name="_Ref408326637"/>
      <w:bookmarkStart w:id="523" w:name="_Toc415660970"/>
      <w:r>
        <w:lastRenderedPageBreak/>
        <w:t xml:space="preserve">Figure </w:t>
      </w:r>
      <w:r w:rsidR="00492194">
        <w:fldChar w:fldCharType="begin"/>
      </w:r>
      <w:r w:rsidR="0044208C">
        <w:instrText xml:space="preserve"> SEQ Figure \* ARABIC </w:instrText>
      </w:r>
      <w:r w:rsidR="00492194">
        <w:fldChar w:fldCharType="separate"/>
      </w:r>
      <w:r w:rsidR="006A273E">
        <w:rPr>
          <w:noProof/>
        </w:rPr>
        <w:t>25</w:t>
      </w:r>
      <w:r w:rsidR="00492194">
        <w:rPr>
          <w:noProof/>
        </w:rPr>
        <w:fldChar w:fldCharType="end"/>
      </w:r>
      <w:bookmarkEnd w:id="522"/>
      <w:r w:rsidRPr="004E0C91">
        <w:rPr>
          <w:b/>
          <w:color w:val="000080"/>
        </w:rPr>
        <w:tab/>
      </w:r>
      <w:r>
        <w:rPr>
          <w:b/>
          <w:color w:val="000000" w:themeColor="text1"/>
        </w:rPr>
        <w:t>Distribution of area within NLPD bands</w:t>
      </w:r>
      <w:bookmarkEnd w:id="523"/>
      <w:r>
        <w:rPr>
          <w:b/>
          <w:color w:val="000000" w:themeColor="text1"/>
        </w:rPr>
        <w:tab/>
      </w:r>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951742" w14:paraId="6EFDF9A1" w14:textId="77777777">
        <w:trPr>
          <w:cantSplit/>
        </w:trPr>
        <w:tc>
          <w:tcPr>
            <w:tcW w:w="5000" w:type="pct"/>
          </w:tcPr>
          <w:p w14:paraId="13B3ACEF" w14:textId="77777777" w:rsidR="00951742" w:rsidRDefault="00951742" w:rsidP="00594865">
            <w:pPr>
              <w:pStyle w:val="SmallDeltasRightAligned"/>
              <w:keepNext/>
            </w:pPr>
            <w:r>
              <w:rPr>
                <w:noProof/>
                <w:lang w:eastAsia="en-AU"/>
              </w:rPr>
              <w:drawing>
                <wp:inline distT="0" distB="0" distL="0" distR="0" wp14:anchorId="51C445E2" wp14:editId="69BAD841">
                  <wp:extent cx="481585" cy="234696"/>
                  <wp:effectExtent l="0" t="0" r="0" b="0"/>
                  <wp:docPr id="34" name="Picture 34"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951742" w14:paraId="6573D223" w14:textId="77777777">
        <w:tblPrEx>
          <w:tblCellMar>
            <w:left w:w="108" w:type="dxa"/>
            <w:right w:w="108" w:type="dxa"/>
          </w:tblCellMar>
        </w:tblPrEx>
        <w:trPr>
          <w:cantSplit/>
        </w:trPr>
        <w:tc>
          <w:tcPr>
            <w:tcW w:w="5000" w:type="pct"/>
          </w:tcPr>
          <w:p w14:paraId="205E8728" w14:textId="77777777" w:rsidR="00951742" w:rsidRDefault="00951742" w:rsidP="00594865">
            <w:pPr>
              <w:pStyle w:val="Figure"/>
            </w:pPr>
            <w:r w:rsidRPr="004268E3">
              <w:rPr>
                <w:noProof/>
                <w:lang w:eastAsia="en-AU"/>
              </w:rPr>
              <w:drawing>
                <wp:inline distT="0" distB="0" distL="0" distR="0" wp14:anchorId="7E7001F4" wp14:editId="57EA8363">
                  <wp:extent cx="4543425" cy="2726055"/>
                  <wp:effectExtent l="0" t="0" r="0" b="0"/>
                  <wp:docPr id="22" name="Chart 22" descr="Distribution of area within NLPD bands" title="Distribution of area within NLPD ba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bl>
    <w:p w14:paraId="275162EE" w14:textId="77777777" w:rsidR="00951742" w:rsidRDefault="00951742" w:rsidP="00951742">
      <w:pPr>
        <w:pStyle w:val="Source"/>
      </w:pPr>
      <w:r>
        <w:t>S</w:t>
      </w:r>
      <w:r w:rsidRPr="00B50A1B">
        <w:t>ource:</w:t>
      </w:r>
      <w:r w:rsidRPr="00954EED">
        <w:t xml:space="preserve"> </w:t>
      </w:r>
      <w:r>
        <w:t>ACIL Allen analysis of CBD data</w:t>
      </w:r>
    </w:p>
    <w:p w14:paraId="784D129C" w14:textId="77777777" w:rsidR="00951742" w:rsidRDefault="00951742" w:rsidP="00951742">
      <w:pPr>
        <w:pStyle w:val="BodyText"/>
      </w:pPr>
      <w:r>
        <w:t xml:space="preserve">The simulation assumes that each time a model tenant occupies a new </w:t>
      </w:r>
      <w:r w:rsidR="00B962B8">
        <w:t xml:space="preserve">functional </w:t>
      </w:r>
      <w:r>
        <w:t>space, the NLPD improves from greater than 12 W/m</w:t>
      </w:r>
      <w:r w:rsidRPr="00487E6D">
        <w:rPr>
          <w:vertAlign w:val="superscript"/>
        </w:rPr>
        <w:t>2</w:t>
      </w:r>
      <w:r>
        <w:t xml:space="preserve"> to 6 W/m</w:t>
      </w:r>
      <w:r w:rsidRPr="00487E6D">
        <w:rPr>
          <w:vertAlign w:val="superscript"/>
        </w:rPr>
        <w:t>2</w:t>
      </w:r>
      <w:r>
        <w:t xml:space="preserve"> or less</w:t>
      </w:r>
      <w:r w:rsidR="00CB3EC7">
        <w:t xml:space="preserve">. </w:t>
      </w:r>
      <w:r>
        <w:t>Furthermore, the upgraded power density is set within the 3 – 6 W/m</w:t>
      </w:r>
      <w:r w:rsidRPr="00487E6D">
        <w:rPr>
          <w:vertAlign w:val="superscript"/>
        </w:rPr>
        <w:t>2</w:t>
      </w:r>
      <w:r>
        <w:t xml:space="preserve"> range such that if two separate floor spaces are assumed to be upgraded, the floor space which started with the higher NLPD will still have a higher NLPD following the upgrade (</w:t>
      </w:r>
      <w:r w:rsidR="00930C53">
        <w:t>that is,</w:t>
      </w:r>
      <w:r w:rsidR="00CB3EC7">
        <w:t xml:space="preserve"> </w:t>
      </w:r>
      <w:r>
        <w:t>preserving the relative ranking of floor space by mapping the distribution of floor space greater than 12 W/m</w:t>
      </w:r>
      <w:r w:rsidRPr="00A6098E">
        <w:rPr>
          <w:vertAlign w:val="superscript"/>
        </w:rPr>
        <w:t>2</w:t>
      </w:r>
      <w:r>
        <w:t xml:space="preserve"> to the distribution of floor space 6 W/m</w:t>
      </w:r>
      <w:r w:rsidRPr="00A6098E">
        <w:rPr>
          <w:vertAlign w:val="superscript"/>
        </w:rPr>
        <w:t>2</w:t>
      </w:r>
      <w:r>
        <w:t xml:space="preserve"> or less).</w:t>
      </w:r>
    </w:p>
    <w:p w14:paraId="3FCFD5D2" w14:textId="6B98A554" w:rsidR="00951742" w:rsidRDefault="00951742" w:rsidP="00951742">
      <w:pPr>
        <w:pStyle w:val="BodyText"/>
      </w:pPr>
      <w:r>
        <w:t>It is assumed that this transition occurs over 10 years (by 2024)</w:t>
      </w:r>
      <w:r w:rsidR="005E6E49">
        <w:t>,</w:t>
      </w:r>
      <w:r w:rsidR="005306E8">
        <w:rPr>
          <w:rStyle w:val="FootnoteReference"/>
        </w:rPr>
        <w:footnoteReference w:id="33"/>
      </w:r>
      <w:r>
        <w:t xml:space="preserve"> reflecting the approximate average length of commercial building leases, with a constant annual average improvement rate every year</w:t>
      </w:r>
      <w:r w:rsidR="005E6E49">
        <w:t>.</w:t>
      </w:r>
      <w:r>
        <w:rPr>
          <w:rStyle w:val="FootnoteReference"/>
        </w:rPr>
        <w:footnoteReference w:id="34"/>
      </w:r>
    </w:p>
    <w:p w14:paraId="234AA98A" w14:textId="77777777" w:rsidR="00FF17E3" w:rsidRPr="006649DF" w:rsidRDefault="00FF17E3" w:rsidP="00FF17E3">
      <w:pPr>
        <w:pStyle w:val="BodyText"/>
      </w:pPr>
      <w:r>
        <w:t xml:space="preserve">The economic </w:t>
      </w:r>
      <w:r w:rsidR="00B379DF">
        <w:t>pay-off</w:t>
      </w:r>
      <w:r>
        <w:t xml:space="preserve"> achieved through upgrades, taking into account both power density and control system improvements is described in </w:t>
      </w:r>
      <w:r w:rsidRPr="006649DF">
        <w:t xml:space="preserve">Section </w:t>
      </w:r>
      <w:r w:rsidR="00492194">
        <w:fldChar w:fldCharType="begin"/>
      </w:r>
      <w:r w:rsidR="00233D37">
        <w:instrText xml:space="preserve"> REF _Ref409797431 \n \h </w:instrText>
      </w:r>
      <w:r w:rsidR="00492194">
        <w:fldChar w:fldCharType="separate"/>
      </w:r>
      <w:r w:rsidR="006A273E">
        <w:t>A.4</w:t>
      </w:r>
      <w:r w:rsidR="00492194">
        <w:fldChar w:fldCharType="end"/>
      </w:r>
      <w:r w:rsidRPr="006649DF">
        <w:t>.</w:t>
      </w:r>
    </w:p>
    <w:p w14:paraId="0256DB38" w14:textId="77777777" w:rsidR="00951742" w:rsidRDefault="00FF17E3" w:rsidP="00951742">
      <w:pPr>
        <w:pStyle w:val="BodyText"/>
      </w:pPr>
      <w:r>
        <w:t xml:space="preserve">This upper bound is then adjusted to take into account that </w:t>
      </w:r>
      <w:r w:rsidR="00951742" w:rsidRPr="00FF17E3">
        <w:t xml:space="preserve">there is likely to be a sub-optimal outcome </w:t>
      </w:r>
      <w:r>
        <w:t>as awarene</w:t>
      </w:r>
      <w:r w:rsidR="00BF5027">
        <w:t>ss of TLA</w:t>
      </w:r>
      <w:r w:rsidR="005E6E49">
        <w:t>, which</w:t>
      </w:r>
      <w:r w:rsidR="00BF5027">
        <w:t xml:space="preserve"> </w:t>
      </w:r>
      <w:r w:rsidR="00037D43">
        <w:t xml:space="preserve">is likely to </w:t>
      </w:r>
      <w:r w:rsidR="00BF5027">
        <w:t>increase</w:t>
      </w:r>
      <w:r w:rsidR="00037D43">
        <w:t xml:space="preserve"> </w:t>
      </w:r>
      <w:r w:rsidR="00BF5027">
        <w:t>gradually</w:t>
      </w:r>
      <w:r w:rsidR="00037D43">
        <w:t xml:space="preserve"> over time</w:t>
      </w:r>
      <w:r w:rsidR="00CB3EC7">
        <w:t xml:space="preserve">. </w:t>
      </w:r>
      <w:r w:rsidR="00037D43">
        <w:t>We</w:t>
      </w:r>
      <w:r>
        <w:t xml:space="preserve"> assumed that the </w:t>
      </w:r>
      <w:r w:rsidRPr="00FF17E3">
        <w:t xml:space="preserve">awareness of TLA increases </w:t>
      </w:r>
      <w:r w:rsidR="00BF5027">
        <w:t>steadily,</w:t>
      </w:r>
      <w:r w:rsidRPr="00FF17E3">
        <w:t xml:space="preserve"> with 10</w:t>
      </w:r>
      <w:r w:rsidR="002C01BA">
        <w:t xml:space="preserve"> per cent</w:t>
      </w:r>
      <w:r w:rsidRPr="00FF17E3">
        <w:t xml:space="preserve"> of tenants acting as model t</w:t>
      </w:r>
      <w:r>
        <w:t>enants in 2015 and 100</w:t>
      </w:r>
      <w:r w:rsidR="002C01BA">
        <w:t xml:space="preserve"> per cent </w:t>
      </w:r>
      <w:r>
        <w:t>by 2024.</w:t>
      </w:r>
    </w:p>
    <w:p w14:paraId="59249CC7" w14:textId="77777777" w:rsidR="00951742" w:rsidRDefault="00951742" w:rsidP="00951742">
      <w:pPr>
        <w:pStyle w:val="Heading4"/>
        <w:numPr>
          <w:ilvl w:val="3"/>
          <w:numId w:val="20"/>
        </w:numPr>
      </w:pPr>
      <w:r>
        <w:t>Possible outcomes if TLA component is discontinued</w:t>
      </w:r>
    </w:p>
    <w:p w14:paraId="6C9F694A" w14:textId="77777777" w:rsidR="00951742" w:rsidRDefault="00951742" w:rsidP="00951742">
      <w:pPr>
        <w:pStyle w:val="BodyText"/>
      </w:pPr>
      <w:r>
        <w:t xml:space="preserve">The projected improvements to NLPD if the TLA component is discontinued is assumed to be the compound annual rate of </w:t>
      </w:r>
      <w:r w:rsidR="00BF5027">
        <w:t xml:space="preserve">the observed </w:t>
      </w:r>
      <w:r>
        <w:t xml:space="preserve">improvement </w:t>
      </w:r>
      <w:r w:rsidR="00BF5027">
        <w:t>in</w:t>
      </w:r>
      <w:r>
        <w:t xml:space="preserve"> the sample of buildings that had undertaken at</w:t>
      </w:r>
      <w:r w:rsidR="00BF5027">
        <w:t xml:space="preserve"> </w:t>
      </w:r>
      <w:r>
        <w:t xml:space="preserve">least </w:t>
      </w:r>
      <w:r w:rsidR="00BF5027">
        <w:t>two</w:t>
      </w:r>
      <w:r>
        <w:t xml:space="preserve"> ‘all building’ TLA assessments</w:t>
      </w:r>
      <w:r w:rsidR="00BF5027">
        <w:t xml:space="preserve"> by the third quarter of 2014</w:t>
      </w:r>
      <w:r w:rsidR="00CB3EC7">
        <w:t xml:space="preserve">. </w:t>
      </w:r>
      <w:r>
        <w:t xml:space="preserve">This rate is calculated to be </w:t>
      </w:r>
      <w:r w:rsidRPr="008965D0">
        <w:t>2.6</w:t>
      </w:r>
      <w:r w:rsidR="00BF5027" w:rsidRPr="008965D0">
        <w:t xml:space="preserve"> per cent</w:t>
      </w:r>
      <w:r w:rsidRPr="008965D0">
        <w:t xml:space="preserve"> per year</w:t>
      </w:r>
      <w:r>
        <w:t xml:space="preserve"> (equivalent to a mean improvement of 0.81 W/m</w:t>
      </w:r>
      <w:r w:rsidRPr="00A6098E">
        <w:rPr>
          <w:vertAlign w:val="superscript"/>
        </w:rPr>
        <w:t>2</w:t>
      </w:r>
      <w:r>
        <w:t xml:space="preserve"> from a base of </w:t>
      </w:r>
      <w:r w:rsidRPr="008965D0">
        <w:t>10.43 W/m</w:t>
      </w:r>
      <w:r w:rsidRPr="008965D0">
        <w:rPr>
          <w:vertAlign w:val="superscript"/>
        </w:rPr>
        <w:t>2</w:t>
      </w:r>
      <w:r>
        <w:t xml:space="preserve"> over a period of three years).</w:t>
      </w:r>
    </w:p>
    <w:p w14:paraId="3A973B69" w14:textId="77777777" w:rsidR="00B07566" w:rsidRDefault="00FA2A6E" w:rsidP="004572F4">
      <w:pPr>
        <w:pStyle w:val="Heading2"/>
      </w:pPr>
      <w:bookmarkStart w:id="524" w:name="_Toc415660895"/>
      <w:r>
        <w:lastRenderedPageBreak/>
        <w:t xml:space="preserve">Assessment of future costs </w:t>
      </w:r>
      <w:r w:rsidR="00A6364A">
        <w:t xml:space="preserve">and </w:t>
      </w:r>
      <w:r>
        <w:t>benefits</w:t>
      </w:r>
      <w:r w:rsidR="00627505">
        <w:t xml:space="preserve"> of </w:t>
      </w:r>
      <w:r w:rsidR="00A6364A">
        <w:t xml:space="preserve">retaining </w:t>
      </w:r>
      <w:r w:rsidR="00627505">
        <w:t>NABERS component</w:t>
      </w:r>
      <w:bookmarkEnd w:id="524"/>
    </w:p>
    <w:p w14:paraId="56CF0AFA" w14:textId="77777777" w:rsidR="00B07566" w:rsidRDefault="001E6DE5" w:rsidP="004572F4">
      <w:pPr>
        <w:pStyle w:val="Heading3"/>
      </w:pPr>
      <w:bookmarkStart w:id="525" w:name="_Toc415660896"/>
      <w:r>
        <w:t xml:space="preserve">Projection of total </w:t>
      </w:r>
      <w:r w:rsidR="00D61F37">
        <w:t xml:space="preserve">base building </w:t>
      </w:r>
      <w:r>
        <w:t>energy efficiency benefits</w:t>
      </w:r>
      <w:bookmarkEnd w:id="525"/>
      <w:r>
        <w:t xml:space="preserve"> </w:t>
      </w:r>
    </w:p>
    <w:p w14:paraId="5FE4FEDF" w14:textId="77777777" w:rsidR="00B44305" w:rsidRDefault="00B44305" w:rsidP="00B44305">
      <w:pPr>
        <w:pStyle w:val="BodyText"/>
      </w:pPr>
      <w:r>
        <w:t xml:space="preserve">Using the approach described in </w:t>
      </w:r>
      <w:r w:rsidR="00BF5027" w:rsidRPr="009D5CAA">
        <w:t>S</w:t>
      </w:r>
      <w:r w:rsidRPr="009D5CAA">
        <w:t xml:space="preserve">ection </w:t>
      </w:r>
      <w:r w:rsidR="003346C7">
        <w:fldChar w:fldCharType="begin"/>
      </w:r>
      <w:r w:rsidR="003346C7">
        <w:instrText xml:space="preserve"> REF _Ref408835780 \n \h  \* MERGEFORMAT </w:instrText>
      </w:r>
      <w:r w:rsidR="003346C7">
        <w:fldChar w:fldCharType="separate"/>
      </w:r>
      <w:r w:rsidR="006A273E">
        <w:t>5.1.2</w:t>
      </w:r>
      <w:r w:rsidR="003346C7">
        <w:fldChar w:fldCharType="end"/>
      </w:r>
      <w:r w:rsidRPr="009D5CAA">
        <w:t>,</w:t>
      </w:r>
      <w:r>
        <w:t xml:space="preserve"> the </w:t>
      </w:r>
      <w:r w:rsidR="001E6DE5">
        <w:t xml:space="preserve">projected evolution </w:t>
      </w:r>
      <w:r>
        <w:t>of star rating</w:t>
      </w:r>
      <w:r w:rsidR="00BF5027">
        <w:t>s</w:t>
      </w:r>
      <w:r>
        <w:t xml:space="preserve"> for the </w:t>
      </w:r>
      <w:r w:rsidR="00E64D9D">
        <w:t xml:space="preserve">approximately </w:t>
      </w:r>
      <w:r>
        <w:t>16 million m</w:t>
      </w:r>
      <w:r w:rsidRPr="00487E6D">
        <w:rPr>
          <w:vertAlign w:val="superscript"/>
        </w:rPr>
        <w:t>2</w:t>
      </w:r>
      <w:r>
        <w:t xml:space="preserve"> </w:t>
      </w:r>
      <w:r w:rsidR="00E64D9D">
        <w:t xml:space="preserve">of estimated </w:t>
      </w:r>
      <w:r>
        <w:t xml:space="preserve">mandatory rateable area if the scheme is retained is </w:t>
      </w:r>
      <w:r w:rsidR="00E64D9D">
        <w:t xml:space="preserve">shown </w:t>
      </w:r>
      <w:r>
        <w:t xml:space="preserve">in </w:t>
      </w:r>
      <w:r w:rsidR="003346C7">
        <w:fldChar w:fldCharType="begin"/>
      </w:r>
      <w:r w:rsidR="003346C7">
        <w:instrText xml:space="preserve"> REF _Ref408395836 \h  \* MERGEFORMAT </w:instrText>
      </w:r>
      <w:r w:rsidR="003346C7">
        <w:fldChar w:fldCharType="separate"/>
      </w:r>
      <w:r w:rsidR="006A273E">
        <w:t xml:space="preserve">Figure </w:t>
      </w:r>
      <w:r w:rsidR="006A273E">
        <w:rPr>
          <w:noProof/>
        </w:rPr>
        <w:t>26</w:t>
      </w:r>
      <w:r w:rsidR="003346C7">
        <w:fldChar w:fldCharType="end"/>
      </w:r>
      <w:r w:rsidRPr="009D5CAA">
        <w:t>.</w:t>
      </w:r>
    </w:p>
    <w:p w14:paraId="6F1299FC" w14:textId="77777777" w:rsidR="00B44305" w:rsidRDefault="00B44305" w:rsidP="00B44305">
      <w:pPr>
        <w:pStyle w:val="Caption"/>
      </w:pPr>
      <w:bookmarkStart w:id="526" w:name="_Ref408395836"/>
      <w:bookmarkStart w:id="527" w:name="_Toc415660971"/>
      <w:r>
        <w:t xml:space="preserve">Figure </w:t>
      </w:r>
      <w:r w:rsidR="00492194">
        <w:fldChar w:fldCharType="begin"/>
      </w:r>
      <w:r w:rsidR="0044208C">
        <w:instrText xml:space="preserve"> SEQ Figure \* ARABIC </w:instrText>
      </w:r>
      <w:r w:rsidR="00492194">
        <w:fldChar w:fldCharType="separate"/>
      </w:r>
      <w:r w:rsidR="006A273E">
        <w:rPr>
          <w:noProof/>
        </w:rPr>
        <w:t>26</w:t>
      </w:r>
      <w:r w:rsidR="00492194">
        <w:rPr>
          <w:noProof/>
        </w:rPr>
        <w:fldChar w:fldCharType="end"/>
      </w:r>
      <w:bookmarkEnd w:id="526"/>
      <w:r w:rsidRPr="004E0C91">
        <w:rPr>
          <w:b/>
          <w:color w:val="000080"/>
        </w:rPr>
        <w:tab/>
      </w:r>
      <w:r>
        <w:rPr>
          <w:b/>
          <w:color w:val="000000" w:themeColor="text1"/>
        </w:rPr>
        <w:t>Projected evolution of star ratings</w:t>
      </w:r>
      <w:bookmarkEnd w:id="527"/>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B44305" w14:paraId="1A1C11F4" w14:textId="77777777">
        <w:trPr>
          <w:cantSplit/>
        </w:trPr>
        <w:tc>
          <w:tcPr>
            <w:tcW w:w="5000" w:type="pct"/>
          </w:tcPr>
          <w:p w14:paraId="37AA44BF" w14:textId="77777777" w:rsidR="00B44305" w:rsidRDefault="00B44305" w:rsidP="00594865">
            <w:pPr>
              <w:pStyle w:val="SmallDeltasRightAligned"/>
              <w:keepNext/>
            </w:pPr>
            <w:r>
              <w:rPr>
                <w:noProof/>
                <w:lang w:eastAsia="en-AU"/>
              </w:rPr>
              <w:drawing>
                <wp:inline distT="0" distB="0" distL="0" distR="0" wp14:anchorId="0CB24F6D" wp14:editId="6C4CEB44">
                  <wp:extent cx="481585" cy="234696"/>
                  <wp:effectExtent l="0" t="0" r="0" b="0"/>
                  <wp:docPr id="36" name="Picture 36"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B44305" w14:paraId="377F5136" w14:textId="77777777">
        <w:tblPrEx>
          <w:tblCellMar>
            <w:left w:w="108" w:type="dxa"/>
            <w:right w:w="108" w:type="dxa"/>
          </w:tblCellMar>
        </w:tblPrEx>
        <w:trPr>
          <w:cantSplit/>
        </w:trPr>
        <w:tc>
          <w:tcPr>
            <w:tcW w:w="5000" w:type="pct"/>
          </w:tcPr>
          <w:p w14:paraId="41E98AD1" w14:textId="77777777" w:rsidR="00B44305" w:rsidRDefault="00B44305" w:rsidP="00594865">
            <w:pPr>
              <w:pStyle w:val="Figure"/>
            </w:pPr>
            <w:r w:rsidRPr="004268E3">
              <w:rPr>
                <w:noProof/>
                <w:lang w:eastAsia="en-AU"/>
              </w:rPr>
              <w:drawing>
                <wp:inline distT="0" distB="0" distL="0" distR="0" wp14:anchorId="532500FA" wp14:editId="2F09066B">
                  <wp:extent cx="4543425" cy="2724150"/>
                  <wp:effectExtent l="0" t="0" r="0" b="0"/>
                  <wp:docPr id="38" name="Chart 38" descr="Projected evolution of star ratings" title="Projected evolution of star ratings"/>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14:paraId="2A5B63ED" w14:textId="77777777" w:rsidR="00B44305" w:rsidRPr="00B50A1B" w:rsidRDefault="00B44305" w:rsidP="00B44305">
      <w:pPr>
        <w:pStyle w:val="Source"/>
        <w:rPr>
          <w:i/>
        </w:rPr>
      </w:pPr>
      <w:r>
        <w:t>S</w:t>
      </w:r>
      <w:r w:rsidRPr="00B50A1B">
        <w:t>ource:</w:t>
      </w:r>
      <w:r w:rsidRPr="00954EED">
        <w:t xml:space="preserve"> </w:t>
      </w:r>
      <w:r>
        <w:t>ACIL Allen analysis of NABERS data</w:t>
      </w:r>
    </w:p>
    <w:p w14:paraId="0F1556BD" w14:textId="5A0B8552" w:rsidR="00B44305" w:rsidRDefault="00B44305" w:rsidP="00B44305">
      <w:pPr>
        <w:pStyle w:val="BodyText"/>
      </w:pPr>
      <w:r>
        <w:t>In particular, a substantial proportion (almost half) of building floor space is projected to have an energy performance rating of 5 to 6 stars</w:t>
      </w:r>
      <w:r w:rsidR="00BF5027">
        <w:t xml:space="preserve"> by 2024</w:t>
      </w:r>
      <w:r w:rsidR="002E05BB">
        <w:t>.</w:t>
      </w:r>
      <w:r w:rsidR="00122DAB">
        <w:rPr>
          <w:rStyle w:val="FootnoteReference"/>
        </w:rPr>
        <w:footnoteReference w:id="35"/>
      </w:r>
      <w:r w:rsidR="00CB3EC7">
        <w:t xml:space="preserve"> </w:t>
      </w:r>
    </w:p>
    <w:p w14:paraId="40AD49C1" w14:textId="77777777" w:rsidR="00B44305" w:rsidRDefault="00627505" w:rsidP="00B44305">
      <w:pPr>
        <w:pStyle w:val="BodyText"/>
      </w:pPr>
      <w:r>
        <w:t>T</w:t>
      </w:r>
      <w:r w:rsidR="00B44305">
        <w:t>he projected star improvements are first translated into equivalent MJ/m</w:t>
      </w:r>
      <w:r w:rsidR="00B44305" w:rsidRPr="00836ACA">
        <w:rPr>
          <w:vertAlign w:val="superscript"/>
        </w:rPr>
        <w:t>2</w:t>
      </w:r>
      <w:r>
        <w:rPr>
          <w:vertAlign w:val="superscript"/>
        </w:rPr>
        <w:t xml:space="preserve"> </w:t>
      </w:r>
      <w:r>
        <w:t>(estimated by performing regression on NABERS data)</w:t>
      </w:r>
      <w:r w:rsidR="00B44305">
        <w:t>, then to equivalent tCO</w:t>
      </w:r>
      <w:r w:rsidR="00B44305" w:rsidRPr="0024777E">
        <w:rPr>
          <w:vertAlign w:val="subscript"/>
        </w:rPr>
        <w:t>2</w:t>
      </w:r>
      <w:r w:rsidR="00B44305" w:rsidRPr="00487E6D">
        <w:rPr>
          <w:vertAlign w:val="subscript"/>
        </w:rPr>
        <w:t>e</w:t>
      </w:r>
      <w:r w:rsidR="00B44305">
        <w:t xml:space="preserve"> abated</w:t>
      </w:r>
      <w:r w:rsidR="002E05BB">
        <w:t>,</w:t>
      </w:r>
      <w:r w:rsidR="00B44305">
        <w:t xml:space="preserve"> and finally into the net benefits of energy efficiency expressed in monetary terms.</w:t>
      </w:r>
    </w:p>
    <w:p w14:paraId="52F35AB0" w14:textId="77777777" w:rsidR="00B44305" w:rsidRDefault="00B44305" w:rsidP="00B44305">
      <w:pPr>
        <w:pStyle w:val="BodyText"/>
      </w:pPr>
      <w:r>
        <w:t xml:space="preserve">These projections result in the stream of cost and benefits for the NABERS component of the CBD program shown in </w:t>
      </w:r>
      <w:r w:rsidR="003346C7">
        <w:fldChar w:fldCharType="begin"/>
      </w:r>
      <w:r w:rsidR="003346C7">
        <w:instrText xml:space="preserve"> REF _Ref408400463 \h  \* MERGEFORMAT </w:instrText>
      </w:r>
      <w:r w:rsidR="003346C7">
        <w:fldChar w:fldCharType="separate"/>
      </w:r>
      <w:r w:rsidR="006A273E">
        <w:t xml:space="preserve">Table </w:t>
      </w:r>
      <w:r w:rsidR="006A273E">
        <w:rPr>
          <w:noProof/>
        </w:rPr>
        <w:t>16</w:t>
      </w:r>
      <w:r w:rsidR="003346C7">
        <w:fldChar w:fldCharType="end"/>
      </w:r>
      <w:r>
        <w:t xml:space="preserve"> below.</w:t>
      </w:r>
    </w:p>
    <w:p w14:paraId="5CEAE927" w14:textId="77777777" w:rsidR="00B44305" w:rsidRDefault="00B44305" w:rsidP="00324F55">
      <w:pPr>
        <w:pStyle w:val="Caption"/>
        <w:ind w:left="-1701"/>
      </w:pPr>
      <w:bookmarkStart w:id="528" w:name="_Ref408400463"/>
      <w:bookmarkStart w:id="529" w:name="_Toc415661023"/>
      <w:r>
        <w:t xml:space="preserve">Table </w:t>
      </w:r>
      <w:r w:rsidR="00366ADF">
        <w:fldChar w:fldCharType="begin"/>
      </w:r>
      <w:r w:rsidR="00366ADF">
        <w:instrText xml:space="preserve"> SEQ Table \* MERGEFORMAT </w:instrText>
      </w:r>
      <w:r w:rsidR="00366ADF">
        <w:fldChar w:fldCharType="separate"/>
      </w:r>
      <w:r w:rsidR="006A273E">
        <w:rPr>
          <w:noProof/>
        </w:rPr>
        <w:t>16</w:t>
      </w:r>
      <w:r w:rsidR="00366ADF">
        <w:rPr>
          <w:noProof/>
        </w:rPr>
        <w:fldChar w:fldCharType="end"/>
      </w:r>
      <w:bookmarkEnd w:id="528"/>
      <w:r w:rsidRPr="00836ACA">
        <w:rPr>
          <w:b/>
          <w:color w:val="000000"/>
        </w:rPr>
        <w:tab/>
      </w:r>
      <w:r w:rsidR="009D5CAA">
        <w:rPr>
          <w:b/>
          <w:color w:val="000000"/>
        </w:rPr>
        <w:t>Projection of total base building energy efficiency benefits</w:t>
      </w:r>
      <w:r>
        <w:rPr>
          <w:b/>
          <w:color w:val="000000"/>
        </w:rPr>
        <w:t xml:space="preserve"> (2014 $m)</w:t>
      </w:r>
      <w:bookmarkEnd w:id="529"/>
    </w:p>
    <w:tbl>
      <w:tblPr>
        <w:tblW w:w="9922" w:type="dxa"/>
        <w:tblInd w:w="-2551"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1700"/>
        <w:gridCol w:w="1174"/>
        <w:gridCol w:w="1175"/>
        <w:gridCol w:w="1174"/>
        <w:gridCol w:w="1175"/>
        <w:gridCol w:w="1174"/>
        <w:gridCol w:w="1175"/>
        <w:gridCol w:w="1175"/>
      </w:tblGrid>
      <w:tr w:rsidR="00B44305" w14:paraId="2FF7EB30" w14:textId="77777777">
        <w:trPr>
          <w:cantSplit/>
        </w:trPr>
        <w:tc>
          <w:tcPr>
            <w:tcW w:w="1700" w:type="dxa"/>
            <w:tcBorders>
              <w:top w:val="nil"/>
            </w:tcBorders>
            <w:shd w:val="solid" w:color="9757A6" w:fill="auto"/>
            <w:vAlign w:val="center"/>
          </w:tcPr>
          <w:p w14:paraId="3AFF677E" w14:textId="77777777" w:rsidR="00B44305" w:rsidRDefault="00B44305" w:rsidP="00594865">
            <w:pPr>
              <w:pStyle w:val="Tablecolumnheadings"/>
            </w:pPr>
            <w:r>
              <w:t>Item</w:t>
            </w:r>
          </w:p>
        </w:tc>
        <w:tc>
          <w:tcPr>
            <w:tcW w:w="1174" w:type="dxa"/>
            <w:tcBorders>
              <w:top w:val="nil"/>
            </w:tcBorders>
            <w:shd w:val="solid" w:color="9757A6" w:fill="auto"/>
            <w:vAlign w:val="center"/>
          </w:tcPr>
          <w:p w14:paraId="73321CF2" w14:textId="77777777" w:rsidR="00B44305" w:rsidRDefault="00B44305" w:rsidP="00594865">
            <w:pPr>
              <w:pStyle w:val="Tablecolumnheadings"/>
              <w:jc w:val="center"/>
            </w:pPr>
            <w:r>
              <w:t>2015</w:t>
            </w:r>
          </w:p>
        </w:tc>
        <w:tc>
          <w:tcPr>
            <w:tcW w:w="1175" w:type="dxa"/>
            <w:tcBorders>
              <w:top w:val="nil"/>
            </w:tcBorders>
            <w:shd w:val="solid" w:color="9757A6" w:fill="auto"/>
            <w:vAlign w:val="center"/>
          </w:tcPr>
          <w:p w14:paraId="648D5763" w14:textId="77777777" w:rsidR="00B44305" w:rsidRDefault="00B44305" w:rsidP="00594865">
            <w:pPr>
              <w:pStyle w:val="Tablecolumnheadings"/>
              <w:jc w:val="center"/>
            </w:pPr>
            <w:r>
              <w:t>2016</w:t>
            </w:r>
          </w:p>
        </w:tc>
        <w:tc>
          <w:tcPr>
            <w:tcW w:w="1174" w:type="dxa"/>
            <w:tcBorders>
              <w:top w:val="nil"/>
            </w:tcBorders>
            <w:shd w:val="solid" w:color="9757A6" w:fill="auto"/>
            <w:vAlign w:val="center"/>
          </w:tcPr>
          <w:p w14:paraId="1D5E6B53" w14:textId="77777777" w:rsidR="00B44305" w:rsidRDefault="00B44305" w:rsidP="00594865">
            <w:pPr>
              <w:pStyle w:val="Tablecolumnheadings"/>
              <w:jc w:val="center"/>
            </w:pPr>
            <w:r>
              <w:t>2017</w:t>
            </w:r>
          </w:p>
        </w:tc>
        <w:tc>
          <w:tcPr>
            <w:tcW w:w="1175" w:type="dxa"/>
            <w:tcBorders>
              <w:top w:val="nil"/>
            </w:tcBorders>
            <w:shd w:val="solid" w:color="9757A6" w:fill="auto"/>
            <w:vAlign w:val="center"/>
          </w:tcPr>
          <w:p w14:paraId="4A481A61" w14:textId="77777777" w:rsidR="00B44305" w:rsidRDefault="00B44305" w:rsidP="00594865">
            <w:pPr>
              <w:pStyle w:val="Tablecolumnheadings"/>
              <w:jc w:val="center"/>
            </w:pPr>
            <w:r>
              <w:t>2018</w:t>
            </w:r>
          </w:p>
        </w:tc>
        <w:tc>
          <w:tcPr>
            <w:tcW w:w="1174" w:type="dxa"/>
            <w:tcBorders>
              <w:top w:val="nil"/>
            </w:tcBorders>
            <w:shd w:val="solid" w:color="9757A6" w:fill="auto"/>
            <w:vAlign w:val="center"/>
          </w:tcPr>
          <w:p w14:paraId="4B28E32A" w14:textId="77777777" w:rsidR="00B44305" w:rsidRDefault="00B44305" w:rsidP="00594865">
            <w:pPr>
              <w:pStyle w:val="Tablecolumnheadings"/>
              <w:jc w:val="center"/>
            </w:pPr>
            <w:r>
              <w:t>2019</w:t>
            </w:r>
          </w:p>
        </w:tc>
        <w:tc>
          <w:tcPr>
            <w:tcW w:w="1175" w:type="dxa"/>
            <w:tcBorders>
              <w:top w:val="nil"/>
            </w:tcBorders>
            <w:shd w:val="solid" w:color="9757A6" w:fill="auto"/>
            <w:vAlign w:val="center"/>
          </w:tcPr>
          <w:p w14:paraId="7A9F999F" w14:textId="77777777" w:rsidR="00B44305" w:rsidRDefault="00B44305" w:rsidP="00594865">
            <w:pPr>
              <w:pStyle w:val="Tablecolumnheadings"/>
              <w:jc w:val="center"/>
            </w:pPr>
            <w:r>
              <w:t>Terminal Value</w:t>
            </w:r>
          </w:p>
        </w:tc>
        <w:tc>
          <w:tcPr>
            <w:tcW w:w="1175" w:type="dxa"/>
            <w:tcBorders>
              <w:top w:val="nil"/>
            </w:tcBorders>
            <w:shd w:val="solid" w:color="9757A6" w:fill="auto"/>
            <w:vAlign w:val="center"/>
          </w:tcPr>
          <w:p w14:paraId="57D56105" w14:textId="77777777" w:rsidR="00B44305" w:rsidRDefault="00B44305" w:rsidP="00594865">
            <w:pPr>
              <w:pStyle w:val="Tablecolumnheadings"/>
              <w:jc w:val="center"/>
            </w:pPr>
            <w:r w:rsidRPr="00836ACA">
              <w:t>Present Value</w:t>
            </w:r>
          </w:p>
        </w:tc>
      </w:tr>
      <w:tr w:rsidR="00B44305" w14:paraId="114C4138" w14:textId="77777777">
        <w:trPr>
          <w:cantSplit/>
        </w:trPr>
        <w:tc>
          <w:tcPr>
            <w:tcW w:w="1700" w:type="dxa"/>
            <w:shd w:val="clear" w:color="auto" w:fill="auto"/>
            <w:vAlign w:val="center"/>
          </w:tcPr>
          <w:p w14:paraId="55065944" w14:textId="77777777" w:rsidR="00B44305" w:rsidRDefault="00B44305" w:rsidP="00594865">
            <w:pPr>
              <w:pStyle w:val="Tabletext"/>
            </w:pPr>
            <w:r>
              <w:t>Industry burden</w:t>
            </w:r>
          </w:p>
        </w:tc>
        <w:tc>
          <w:tcPr>
            <w:tcW w:w="1174" w:type="dxa"/>
            <w:shd w:val="clear" w:color="auto" w:fill="auto"/>
            <w:vAlign w:val="center"/>
          </w:tcPr>
          <w:p w14:paraId="6F9B74D2" w14:textId="77777777" w:rsidR="00B44305" w:rsidRDefault="00B44305" w:rsidP="00594865">
            <w:pPr>
              <w:pStyle w:val="Tabletext"/>
              <w:jc w:val="center"/>
            </w:pPr>
            <w:r>
              <w:t>-2.8</w:t>
            </w:r>
          </w:p>
        </w:tc>
        <w:tc>
          <w:tcPr>
            <w:tcW w:w="1175" w:type="dxa"/>
            <w:shd w:val="clear" w:color="auto" w:fill="auto"/>
            <w:vAlign w:val="center"/>
          </w:tcPr>
          <w:p w14:paraId="39DD8471" w14:textId="77777777" w:rsidR="00B44305" w:rsidRDefault="00B44305" w:rsidP="00594865">
            <w:pPr>
              <w:pStyle w:val="Tabletext"/>
              <w:jc w:val="center"/>
            </w:pPr>
            <w:r>
              <w:t>-2.8</w:t>
            </w:r>
          </w:p>
        </w:tc>
        <w:tc>
          <w:tcPr>
            <w:tcW w:w="1174" w:type="dxa"/>
            <w:shd w:val="clear" w:color="auto" w:fill="auto"/>
            <w:vAlign w:val="center"/>
          </w:tcPr>
          <w:p w14:paraId="022EA91D" w14:textId="77777777" w:rsidR="00B44305" w:rsidRDefault="00B44305" w:rsidP="00594865">
            <w:pPr>
              <w:pStyle w:val="Tabletext"/>
              <w:jc w:val="center"/>
            </w:pPr>
            <w:r>
              <w:t>-2.9</w:t>
            </w:r>
          </w:p>
        </w:tc>
        <w:tc>
          <w:tcPr>
            <w:tcW w:w="1175" w:type="dxa"/>
            <w:shd w:val="clear" w:color="auto" w:fill="auto"/>
            <w:vAlign w:val="center"/>
          </w:tcPr>
          <w:p w14:paraId="531A6AA4" w14:textId="77777777" w:rsidR="00B44305" w:rsidRDefault="00B44305" w:rsidP="00594865">
            <w:pPr>
              <w:pStyle w:val="Tabletext"/>
              <w:jc w:val="center"/>
            </w:pPr>
            <w:r>
              <w:t>-3.0</w:t>
            </w:r>
          </w:p>
        </w:tc>
        <w:tc>
          <w:tcPr>
            <w:tcW w:w="1174" w:type="dxa"/>
            <w:shd w:val="clear" w:color="auto" w:fill="auto"/>
            <w:vAlign w:val="center"/>
          </w:tcPr>
          <w:p w14:paraId="3779FCC2" w14:textId="77777777" w:rsidR="00B44305" w:rsidRDefault="00B44305" w:rsidP="00594865">
            <w:pPr>
              <w:pStyle w:val="Tabletext"/>
              <w:jc w:val="center"/>
            </w:pPr>
            <w:r>
              <w:t>-3.0</w:t>
            </w:r>
          </w:p>
        </w:tc>
        <w:tc>
          <w:tcPr>
            <w:tcW w:w="1175" w:type="dxa"/>
            <w:shd w:val="clear" w:color="auto" w:fill="auto"/>
            <w:vAlign w:val="center"/>
          </w:tcPr>
          <w:p w14:paraId="5DE26D86" w14:textId="77777777" w:rsidR="00B44305" w:rsidRDefault="00B44305" w:rsidP="00594865">
            <w:pPr>
              <w:pStyle w:val="Tabletext"/>
              <w:jc w:val="center"/>
            </w:pPr>
            <w:r>
              <w:t>Not applicable</w:t>
            </w:r>
          </w:p>
        </w:tc>
        <w:tc>
          <w:tcPr>
            <w:tcW w:w="1175" w:type="dxa"/>
            <w:shd w:val="clear" w:color="auto" w:fill="DBDBDB" w:themeFill="accent3" w:themeFillTint="66"/>
            <w:vAlign w:val="center"/>
          </w:tcPr>
          <w:p w14:paraId="52909FB8" w14:textId="77777777" w:rsidR="00B44305" w:rsidRPr="008965D0" w:rsidRDefault="00B44305" w:rsidP="00916E66">
            <w:pPr>
              <w:pStyle w:val="Tabletext"/>
              <w:jc w:val="center"/>
              <w:rPr>
                <w:b/>
              </w:rPr>
            </w:pPr>
            <w:r w:rsidRPr="008965D0">
              <w:rPr>
                <w:b/>
              </w:rPr>
              <w:t>-</w:t>
            </w:r>
            <w:r w:rsidR="00916E66" w:rsidRPr="008965D0">
              <w:rPr>
                <w:b/>
              </w:rPr>
              <w:t>12</w:t>
            </w:r>
            <w:r w:rsidRPr="008965D0">
              <w:rPr>
                <w:b/>
              </w:rPr>
              <w:t>.</w:t>
            </w:r>
            <w:r w:rsidR="00916E66" w:rsidRPr="008965D0">
              <w:rPr>
                <w:b/>
              </w:rPr>
              <w:t>9</w:t>
            </w:r>
          </w:p>
        </w:tc>
      </w:tr>
      <w:tr w:rsidR="00B44305" w14:paraId="7B1BF22E" w14:textId="77777777">
        <w:trPr>
          <w:cantSplit/>
        </w:trPr>
        <w:tc>
          <w:tcPr>
            <w:tcW w:w="1700" w:type="dxa"/>
            <w:shd w:val="clear" w:color="auto" w:fill="auto"/>
            <w:vAlign w:val="center"/>
          </w:tcPr>
          <w:p w14:paraId="356EBFFC" w14:textId="77777777" w:rsidR="00B44305" w:rsidRDefault="00B44305" w:rsidP="00594865">
            <w:pPr>
              <w:pStyle w:val="Tabletext"/>
            </w:pPr>
            <w:r>
              <w:t>Net benefits of energy efficiency</w:t>
            </w:r>
          </w:p>
        </w:tc>
        <w:tc>
          <w:tcPr>
            <w:tcW w:w="1174" w:type="dxa"/>
            <w:shd w:val="clear" w:color="auto" w:fill="auto"/>
            <w:vAlign w:val="center"/>
          </w:tcPr>
          <w:p w14:paraId="74C7FAB0" w14:textId="77777777" w:rsidR="00B44305" w:rsidRDefault="00B44305" w:rsidP="00594865">
            <w:pPr>
              <w:pStyle w:val="Tabletext"/>
              <w:jc w:val="center"/>
            </w:pPr>
            <w:r>
              <w:t>2.6</w:t>
            </w:r>
          </w:p>
        </w:tc>
        <w:tc>
          <w:tcPr>
            <w:tcW w:w="1175" w:type="dxa"/>
            <w:shd w:val="clear" w:color="auto" w:fill="auto"/>
            <w:vAlign w:val="center"/>
          </w:tcPr>
          <w:p w14:paraId="36E93177" w14:textId="77777777" w:rsidR="00B44305" w:rsidRDefault="00B44305" w:rsidP="00594865">
            <w:pPr>
              <w:pStyle w:val="Tabletext"/>
              <w:jc w:val="center"/>
            </w:pPr>
            <w:r>
              <w:t>6.7</w:t>
            </w:r>
          </w:p>
        </w:tc>
        <w:tc>
          <w:tcPr>
            <w:tcW w:w="1174" w:type="dxa"/>
            <w:shd w:val="clear" w:color="auto" w:fill="auto"/>
            <w:vAlign w:val="center"/>
          </w:tcPr>
          <w:p w14:paraId="2B1B8211" w14:textId="77777777" w:rsidR="00B44305" w:rsidRDefault="00B44305" w:rsidP="00594865">
            <w:pPr>
              <w:pStyle w:val="Tabletext"/>
              <w:jc w:val="center"/>
            </w:pPr>
            <w:r>
              <w:t>12.1</w:t>
            </w:r>
          </w:p>
        </w:tc>
        <w:tc>
          <w:tcPr>
            <w:tcW w:w="1175" w:type="dxa"/>
            <w:shd w:val="clear" w:color="auto" w:fill="auto"/>
            <w:vAlign w:val="center"/>
          </w:tcPr>
          <w:p w14:paraId="595985DD" w14:textId="77777777" w:rsidR="00B44305" w:rsidRDefault="00B44305" w:rsidP="00594865">
            <w:pPr>
              <w:pStyle w:val="Tabletext"/>
              <w:jc w:val="center"/>
            </w:pPr>
            <w:r>
              <w:t>18.8</w:t>
            </w:r>
          </w:p>
        </w:tc>
        <w:tc>
          <w:tcPr>
            <w:tcW w:w="1174" w:type="dxa"/>
            <w:shd w:val="clear" w:color="auto" w:fill="auto"/>
            <w:vAlign w:val="center"/>
          </w:tcPr>
          <w:p w14:paraId="5A715842" w14:textId="77777777" w:rsidR="00B44305" w:rsidRDefault="00B44305" w:rsidP="00594865">
            <w:pPr>
              <w:pStyle w:val="Tabletext"/>
              <w:jc w:val="center"/>
            </w:pPr>
            <w:r>
              <w:t>25.2</w:t>
            </w:r>
          </w:p>
        </w:tc>
        <w:tc>
          <w:tcPr>
            <w:tcW w:w="1175" w:type="dxa"/>
            <w:shd w:val="clear" w:color="auto" w:fill="auto"/>
            <w:vAlign w:val="center"/>
          </w:tcPr>
          <w:p w14:paraId="4953C82C" w14:textId="77777777" w:rsidR="00B44305" w:rsidRDefault="00B44305" w:rsidP="00594865">
            <w:pPr>
              <w:pStyle w:val="Tabletext"/>
              <w:jc w:val="center"/>
            </w:pPr>
            <w:r>
              <w:t>164.2</w:t>
            </w:r>
          </w:p>
        </w:tc>
        <w:tc>
          <w:tcPr>
            <w:tcW w:w="1175" w:type="dxa"/>
            <w:shd w:val="clear" w:color="auto" w:fill="DBDBDB" w:themeFill="accent3" w:themeFillTint="66"/>
            <w:vAlign w:val="center"/>
          </w:tcPr>
          <w:p w14:paraId="2E3324EA" w14:textId="77777777" w:rsidR="00B44305" w:rsidRPr="008965D0" w:rsidRDefault="00B44305" w:rsidP="00594865">
            <w:pPr>
              <w:pStyle w:val="Tabletext"/>
              <w:jc w:val="center"/>
              <w:rPr>
                <w:b/>
              </w:rPr>
            </w:pPr>
            <w:r w:rsidRPr="008965D0">
              <w:rPr>
                <w:b/>
              </w:rPr>
              <w:t>159.9</w:t>
            </w:r>
          </w:p>
        </w:tc>
      </w:tr>
    </w:tbl>
    <w:p w14:paraId="7A26D25B" w14:textId="77777777" w:rsidR="00B44305" w:rsidRDefault="00B44305" w:rsidP="00324F55">
      <w:pPr>
        <w:pStyle w:val="Note"/>
        <w:ind w:left="-2551"/>
      </w:pPr>
      <w:r w:rsidRPr="00836ACA">
        <w:rPr>
          <w:i/>
        </w:rPr>
        <w:t>Note</w:t>
      </w:r>
      <w:r>
        <w:rPr>
          <w:i/>
        </w:rPr>
        <w:t>s</w:t>
      </w:r>
      <w:r w:rsidRPr="00836ACA">
        <w:rPr>
          <w:i/>
        </w:rPr>
        <w:t>:</w:t>
      </w:r>
      <w:r w:rsidRPr="00A31DAB">
        <w:t xml:space="preserve"> </w:t>
      </w:r>
      <w:r>
        <w:t>The economic value of GHG reduction is excluded</w:t>
      </w:r>
      <w:r w:rsidR="00CB3EC7">
        <w:t xml:space="preserve">. </w:t>
      </w:r>
      <w:r>
        <w:t>Benefits accrue over a longer period than costs to reflect project lives of the improvements undertaken between 2015 and 2019</w:t>
      </w:r>
      <w:r w:rsidR="00CB3EC7">
        <w:rPr>
          <w:i/>
        </w:rPr>
        <w:t xml:space="preserve">. </w:t>
      </w:r>
      <w:r w:rsidRPr="00487E6D">
        <w:t xml:space="preserve">The </w:t>
      </w:r>
      <w:r>
        <w:t>terminal value is calculated as the present value of 2019 benefits repeated over 9 further years.</w:t>
      </w:r>
    </w:p>
    <w:p w14:paraId="3E60F2CE" w14:textId="77777777" w:rsidR="009D5CAA" w:rsidRPr="00B85543" w:rsidRDefault="009D5CAA" w:rsidP="009D5CAA">
      <w:pPr>
        <w:pStyle w:val="Source"/>
        <w:ind w:left="-2551"/>
      </w:pPr>
      <w:r>
        <w:t>Source</w:t>
      </w:r>
      <w:r w:rsidRPr="00B85543">
        <w:t xml:space="preserve">: </w:t>
      </w:r>
      <w:r>
        <w:t>ACIL Allen</w:t>
      </w:r>
    </w:p>
    <w:p w14:paraId="284FAB85" w14:textId="070673BC" w:rsidR="00B44305" w:rsidRDefault="00B44305" w:rsidP="00B44305">
      <w:pPr>
        <w:pStyle w:val="BodyText"/>
      </w:pPr>
      <w:r>
        <w:rPr>
          <w:lang w:eastAsia="en-US"/>
        </w:rPr>
        <w:lastRenderedPageBreak/>
        <w:t xml:space="preserve">The above cost and benefit items result in a Present Value of energy efficiency benefits of </w:t>
      </w:r>
      <w:r w:rsidRPr="003F5F13">
        <w:rPr>
          <w:lang w:eastAsia="en-US"/>
        </w:rPr>
        <w:t>$159.9m</w:t>
      </w:r>
      <w:r w:rsidRPr="00746840">
        <w:rPr>
          <w:lang w:eastAsia="en-US"/>
        </w:rPr>
        <w:t xml:space="preserve"> and </w:t>
      </w:r>
      <w:r w:rsidR="00DC146B" w:rsidRPr="00746840">
        <w:t>a NPV</w:t>
      </w:r>
      <w:r w:rsidRPr="00746840">
        <w:t xml:space="preserve"> of </w:t>
      </w:r>
      <w:r w:rsidRPr="003F5F13">
        <w:t>$14</w:t>
      </w:r>
      <w:r w:rsidR="00B163B2" w:rsidRPr="003F5F13">
        <w:t>7</w:t>
      </w:r>
      <w:r w:rsidRPr="003F5F13">
        <w:t>.</w:t>
      </w:r>
      <w:r w:rsidR="00B163B2" w:rsidRPr="003F5F13">
        <w:t>0</w:t>
      </w:r>
      <w:r w:rsidRPr="003F5F13">
        <w:t>m</w:t>
      </w:r>
      <w:r>
        <w:t>.</w:t>
      </w:r>
    </w:p>
    <w:p w14:paraId="1373C943" w14:textId="77777777" w:rsidR="00B44305" w:rsidRDefault="00B44305" w:rsidP="00B44305">
      <w:pPr>
        <w:pStyle w:val="BodyText"/>
      </w:pPr>
      <w:r>
        <w:t>Note that this should not be considered as the projected benefit attributed to retaining the NABERS component, as some benefits are expected to occur even if the scheme is discontinued</w:t>
      </w:r>
      <w:r w:rsidR="002278A1">
        <w:t>,</w:t>
      </w:r>
      <w:r>
        <w:t xml:space="preserve"> and these must be subtracted from this ‘total benefits estimate’.</w:t>
      </w:r>
    </w:p>
    <w:p w14:paraId="5BFCCECD" w14:textId="1D9297B7" w:rsidR="005D58DE" w:rsidRDefault="00037D43" w:rsidP="005D58DE">
      <w:pPr>
        <w:pStyle w:val="BodyText"/>
      </w:pPr>
      <w:r>
        <w:t xml:space="preserve">The benefits that will accrue even if the CBD program is ended (the </w:t>
      </w:r>
      <w:r w:rsidR="005D58DE">
        <w:t>counterfactual</w:t>
      </w:r>
      <w:r>
        <w:t>)</w:t>
      </w:r>
      <w:r w:rsidR="005D58DE">
        <w:t xml:space="preserve"> </w:t>
      </w:r>
      <w:r>
        <w:t xml:space="preserve">are </w:t>
      </w:r>
      <w:r w:rsidR="005D58DE">
        <w:t>highly uncertain as it will depend on the extent to which behaviour is ingrained and the value of energy efficiency retained in the market through rents.</w:t>
      </w:r>
    </w:p>
    <w:p w14:paraId="0C9688E9" w14:textId="77777777" w:rsidR="005D58DE" w:rsidRDefault="005D58DE" w:rsidP="005D58DE">
      <w:pPr>
        <w:pStyle w:val="BodyText"/>
      </w:pPr>
      <w:r>
        <w:t>The following</w:t>
      </w:r>
      <w:r w:rsidR="00037D43">
        <w:t xml:space="preserve"> analysis</w:t>
      </w:r>
      <w:r>
        <w:t xml:space="preserve"> test</w:t>
      </w:r>
      <w:r w:rsidR="00037D43">
        <w:t>s</w:t>
      </w:r>
      <w:r>
        <w:t xml:space="preserve"> whether retaining the program delivers sufficient benefits over and above the counterfactual to justify </w:t>
      </w:r>
      <w:r w:rsidR="00037D43">
        <w:t xml:space="preserve">the program </w:t>
      </w:r>
      <w:r>
        <w:t>costs:</w:t>
      </w:r>
    </w:p>
    <w:p w14:paraId="060EFE7B" w14:textId="1BD30599" w:rsidR="005D58DE" w:rsidRDefault="005D58DE" w:rsidP="006E5E03">
      <w:pPr>
        <w:pStyle w:val="ListNumber"/>
        <w:numPr>
          <w:ilvl w:val="0"/>
          <w:numId w:val="33"/>
        </w:numPr>
      </w:pPr>
      <w:r>
        <w:t>A break</w:t>
      </w:r>
      <w:r w:rsidR="006E5E03">
        <w:t>-</w:t>
      </w:r>
      <w:r>
        <w:t xml:space="preserve">even point </w:t>
      </w:r>
      <w:r w:rsidR="00037D43">
        <w:t>was</w:t>
      </w:r>
      <w:r>
        <w:t xml:space="preserve"> calculated </w:t>
      </w:r>
      <w:r w:rsidR="002278A1">
        <w:t xml:space="preserve">that </w:t>
      </w:r>
      <w:r>
        <w:t xml:space="preserve">suggests that at least </w:t>
      </w:r>
      <w:r w:rsidR="00B163B2" w:rsidRPr="008965D0">
        <w:t>11</w:t>
      </w:r>
      <w:r w:rsidRPr="008965D0">
        <w:t>.</w:t>
      </w:r>
      <w:r w:rsidR="00B163B2" w:rsidRPr="008965D0">
        <w:t>9</w:t>
      </w:r>
      <w:r w:rsidR="006E5E03" w:rsidRPr="008965D0">
        <w:t xml:space="preserve"> per cent</w:t>
      </w:r>
      <w:r>
        <w:t xml:space="preserve"> of the total benefits would need to be attributable to the NABERS c</w:t>
      </w:r>
      <w:r w:rsidR="006E5E03">
        <w:t>omponent of the CBD program</w:t>
      </w:r>
      <w:r w:rsidR="00037D43">
        <w:t xml:space="preserve"> for there to be a positive NPV</w:t>
      </w:r>
      <w:r w:rsidR="006E5E03">
        <w:t>.</w:t>
      </w:r>
    </w:p>
    <w:p w14:paraId="08457221" w14:textId="77777777" w:rsidR="005D58DE" w:rsidRDefault="005D58DE" w:rsidP="006E5E03">
      <w:pPr>
        <w:pStyle w:val="ListNumber"/>
        <w:numPr>
          <w:ilvl w:val="0"/>
          <w:numId w:val="33"/>
        </w:numPr>
      </w:pPr>
      <w:r>
        <w:t xml:space="preserve">A possible counterfactual has been constructed </w:t>
      </w:r>
      <w:r w:rsidR="00E0225E">
        <w:t>and the percentage of benefits attributable to CBD based on this counterfactual has been calculated</w:t>
      </w:r>
      <w:r>
        <w:t>.</w:t>
      </w:r>
    </w:p>
    <w:p w14:paraId="6B380D5D" w14:textId="77777777" w:rsidR="00C772A3" w:rsidRDefault="006D1B07" w:rsidP="006E5E03">
      <w:pPr>
        <w:pStyle w:val="ListNumber"/>
        <w:numPr>
          <w:ilvl w:val="0"/>
          <w:numId w:val="33"/>
        </w:numPr>
      </w:pPr>
      <w:r>
        <w:t xml:space="preserve">This </w:t>
      </w:r>
      <w:r w:rsidR="00256C30">
        <w:t xml:space="preserve">percentage was </w:t>
      </w:r>
      <w:r>
        <w:t xml:space="preserve">compared with the </w:t>
      </w:r>
      <w:r w:rsidR="00256C30">
        <w:t>require</w:t>
      </w:r>
      <w:r>
        <w:t>d</w:t>
      </w:r>
      <w:r w:rsidR="00256C30">
        <w:t xml:space="preserve"> </w:t>
      </w:r>
      <w:r w:rsidR="00885DEF">
        <w:t>11</w:t>
      </w:r>
      <w:r w:rsidR="00C772A3">
        <w:t>.</w:t>
      </w:r>
      <w:r w:rsidR="00885DEF">
        <w:t>9</w:t>
      </w:r>
      <w:r w:rsidR="00C772A3">
        <w:t xml:space="preserve"> per cent of total benefits, to indicate whether </w:t>
      </w:r>
      <w:r w:rsidR="00BF055A">
        <w:t xml:space="preserve">the NABERS component is </w:t>
      </w:r>
      <w:r w:rsidR="00C772A3">
        <w:t>expected to deliver net benefits.</w:t>
      </w:r>
    </w:p>
    <w:p w14:paraId="60659D86" w14:textId="77777777" w:rsidR="00256C30" w:rsidRDefault="00256C30" w:rsidP="00256C30">
      <w:pPr>
        <w:pStyle w:val="ListNumber"/>
        <w:numPr>
          <w:ilvl w:val="0"/>
          <w:numId w:val="33"/>
        </w:numPr>
      </w:pPr>
      <w:r>
        <w:t>Sensitivity/threshold analysis was conducted to test the robustness of results.</w:t>
      </w:r>
    </w:p>
    <w:p w14:paraId="3558F785" w14:textId="77777777" w:rsidR="00627505" w:rsidRPr="00D03AAD" w:rsidRDefault="00D03AAD" w:rsidP="00D03AAD">
      <w:pPr>
        <w:pStyle w:val="Heading3"/>
      </w:pPr>
      <w:bookmarkStart w:id="530" w:name="_Toc415660897"/>
      <w:r>
        <w:t xml:space="preserve">Projection of benefits attributable to </w:t>
      </w:r>
      <w:r w:rsidR="00D61F37">
        <w:t xml:space="preserve">mandatory disclosure of </w:t>
      </w:r>
      <w:r>
        <w:t>NABERS</w:t>
      </w:r>
      <w:bookmarkEnd w:id="530"/>
    </w:p>
    <w:p w14:paraId="311C7AFD" w14:textId="77777777" w:rsidR="00627505" w:rsidRDefault="00627505" w:rsidP="00627505">
      <w:pPr>
        <w:pStyle w:val="BodyText"/>
      </w:pPr>
      <w:r>
        <w:t xml:space="preserve">Using the assumptions described in </w:t>
      </w:r>
      <w:r w:rsidR="006E5E03" w:rsidRPr="009D5CAA">
        <w:t>S</w:t>
      </w:r>
      <w:r w:rsidRPr="009D5CAA">
        <w:t xml:space="preserve">ection </w:t>
      </w:r>
      <w:r w:rsidR="003346C7">
        <w:fldChar w:fldCharType="begin"/>
      </w:r>
      <w:r w:rsidR="003346C7">
        <w:instrText xml:space="preserve"> REF _Ref408835377 \r \h  \* MERGEFORMAT </w:instrText>
      </w:r>
      <w:r w:rsidR="003346C7">
        <w:fldChar w:fldCharType="separate"/>
      </w:r>
      <w:r w:rsidR="006A273E">
        <w:t>5.1.2</w:t>
      </w:r>
      <w:r w:rsidR="003346C7">
        <w:fldChar w:fldCharType="end"/>
      </w:r>
      <w:r>
        <w:t xml:space="preserve">, </w:t>
      </w:r>
      <w:r w:rsidR="00FA0376">
        <w:t xml:space="preserve">namely </w:t>
      </w:r>
      <w:r>
        <w:t>an 80</w:t>
      </w:r>
      <w:r w:rsidR="006E5E03">
        <w:t xml:space="preserve"> per cent</w:t>
      </w:r>
      <w:r>
        <w:t xml:space="preserve"> retention of trend </w:t>
      </w:r>
      <w:r w:rsidR="00FA0376">
        <w:t xml:space="preserve">observed </w:t>
      </w:r>
      <w:r w:rsidR="005F2736">
        <w:t xml:space="preserve">rate of </w:t>
      </w:r>
      <w:r>
        <w:t>improvement by the mandatory 1</w:t>
      </w:r>
      <w:r w:rsidRPr="00836ACA">
        <w:rPr>
          <w:vertAlign w:val="superscript"/>
        </w:rPr>
        <w:t>st</w:t>
      </w:r>
      <w:r>
        <w:t xml:space="preserve"> quartile while CBD was in operation, and a corresponding 40</w:t>
      </w:r>
      <w:r w:rsidR="00B615D0">
        <w:t xml:space="preserve"> per cent</w:t>
      </w:r>
      <w:r>
        <w:t xml:space="preserve"> retention of trend improvement for the remaining quartiles, </w:t>
      </w:r>
      <w:r w:rsidR="002278A1">
        <w:t xml:space="preserve">this </w:t>
      </w:r>
      <w:r>
        <w:t xml:space="preserve">would result in net benefits of energy efficiency of </w:t>
      </w:r>
      <w:r w:rsidRPr="003F5F13">
        <w:t>$93.7m PV</w:t>
      </w:r>
      <w:r w:rsidRPr="00746840">
        <w:t xml:space="preserve"> (or </w:t>
      </w:r>
      <w:r w:rsidRPr="003F5F13">
        <w:t>41</w:t>
      </w:r>
      <w:r w:rsidR="00B615D0" w:rsidRPr="003F5F13">
        <w:t xml:space="preserve"> per cent</w:t>
      </w:r>
      <w:r>
        <w:t xml:space="preserve"> of the total </w:t>
      </w:r>
      <w:r w:rsidRPr="003F5F13">
        <w:t>$159.9m PV</w:t>
      </w:r>
      <w:r w:rsidRPr="00746840">
        <w:t xml:space="preserve"> energy</w:t>
      </w:r>
      <w:r>
        <w:t xml:space="preserve"> efficiency benefits in the total </w:t>
      </w:r>
      <w:r w:rsidR="00B615D0">
        <w:t xml:space="preserve">potential </w:t>
      </w:r>
      <w:r>
        <w:t>benefits estimate).</w:t>
      </w:r>
    </w:p>
    <w:p w14:paraId="2CA7154D" w14:textId="77777777" w:rsidR="00627505" w:rsidRDefault="00627505" w:rsidP="00627505">
      <w:pPr>
        <w:pStyle w:val="BodyText"/>
      </w:pPr>
      <w:r>
        <w:t>This 41</w:t>
      </w:r>
      <w:r w:rsidR="00B615D0">
        <w:t xml:space="preserve"> per cent</w:t>
      </w:r>
      <w:r>
        <w:t xml:space="preserve"> exceeds the breakeven point of </w:t>
      </w:r>
      <w:r w:rsidR="00885DEF">
        <w:t>11.9</w:t>
      </w:r>
      <w:r w:rsidR="00B615D0">
        <w:t xml:space="preserve"> per cent</w:t>
      </w:r>
      <w:r>
        <w:t xml:space="preserve"> by a large margin</w:t>
      </w:r>
      <w:r w:rsidR="00CB3EC7">
        <w:t xml:space="preserve">. </w:t>
      </w:r>
      <w:r>
        <w:t>Furthermore</w:t>
      </w:r>
      <w:r w:rsidR="00B615D0">
        <w:t>,</w:t>
      </w:r>
      <w:r>
        <w:t xml:space="preserve"> the assumption of an 80</w:t>
      </w:r>
      <w:r w:rsidR="00B615D0">
        <w:t xml:space="preserve"> per cent</w:t>
      </w:r>
      <w:r>
        <w:t xml:space="preserve"> behaviour retention by mandatory 1</w:t>
      </w:r>
      <w:r w:rsidRPr="00487E6D">
        <w:rPr>
          <w:vertAlign w:val="superscript"/>
        </w:rPr>
        <w:t>st</w:t>
      </w:r>
      <w:r>
        <w:t xml:space="preserve"> quartile and 40</w:t>
      </w:r>
      <w:r w:rsidR="00B615D0">
        <w:t xml:space="preserve"> per cent</w:t>
      </w:r>
      <w:r>
        <w:t xml:space="preserve"> for remaining quartiles is conservative</w:t>
      </w:r>
      <w:r w:rsidR="002278A1">
        <w:t>,</w:t>
      </w:r>
      <w:r w:rsidR="00306DFB">
        <w:rPr>
          <w:rStyle w:val="FootnoteReference"/>
        </w:rPr>
        <w:footnoteReference w:id="36"/>
      </w:r>
      <w:r>
        <w:t xml:space="preserve"> considering that there is a high degree of risk that more building owners could </w:t>
      </w:r>
      <w:r w:rsidR="001C04E0">
        <w:t xml:space="preserve">have lower retention as they </w:t>
      </w:r>
      <w:r>
        <w:t>revert to pre</w:t>
      </w:r>
      <w:r w:rsidR="00B615D0">
        <w:t>-</w:t>
      </w:r>
      <w:r>
        <w:t>CBD behaviour</w:t>
      </w:r>
      <w:r w:rsidR="00CB3EC7">
        <w:t xml:space="preserve">. </w:t>
      </w:r>
      <w:r>
        <w:t xml:space="preserve">The resulting present values of costs and benefits </w:t>
      </w:r>
      <w:r w:rsidR="00B615D0">
        <w:t>are</w:t>
      </w:r>
      <w:r>
        <w:t xml:space="preserve"> shown in </w:t>
      </w:r>
      <w:r w:rsidR="003346C7">
        <w:fldChar w:fldCharType="begin"/>
      </w:r>
      <w:r w:rsidR="003346C7">
        <w:instrText xml:space="preserve"> REF _Ref408407267 \h  \* MERGEFORMAT </w:instrText>
      </w:r>
      <w:r w:rsidR="003346C7">
        <w:fldChar w:fldCharType="separate"/>
      </w:r>
      <w:r w:rsidR="006A273E">
        <w:t xml:space="preserve">Table </w:t>
      </w:r>
      <w:r w:rsidR="006A273E">
        <w:rPr>
          <w:noProof/>
        </w:rPr>
        <w:t>17</w:t>
      </w:r>
      <w:r w:rsidR="003346C7">
        <w:fldChar w:fldCharType="end"/>
      </w:r>
      <w:r>
        <w:t>.</w:t>
      </w:r>
    </w:p>
    <w:p w14:paraId="20E8F933" w14:textId="77777777" w:rsidR="00627505" w:rsidRDefault="00627505" w:rsidP="00627505">
      <w:pPr>
        <w:pStyle w:val="Caption"/>
      </w:pPr>
      <w:bookmarkStart w:id="531" w:name="_Ref408407267"/>
      <w:bookmarkStart w:id="532" w:name="_Toc415661024"/>
      <w:r>
        <w:t xml:space="preserve">Table </w:t>
      </w:r>
      <w:r w:rsidR="00366ADF">
        <w:fldChar w:fldCharType="begin"/>
      </w:r>
      <w:r w:rsidR="00366ADF">
        <w:instrText xml:space="preserve"> SEQ Table \* MERGEFORMAT </w:instrText>
      </w:r>
      <w:r w:rsidR="00366ADF">
        <w:fldChar w:fldCharType="separate"/>
      </w:r>
      <w:r w:rsidR="006A273E">
        <w:rPr>
          <w:noProof/>
        </w:rPr>
        <w:t>17</w:t>
      </w:r>
      <w:r w:rsidR="00366ADF">
        <w:rPr>
          <w:noProof/>
        </w:rPr>
        <w:fldChar w:fldCharType="end"/>
      </w:r>
      <w:bookmarkEnd w:id="531"/>
      <w:r w:rsidRPr="00836ACA">
        <w:rPr>
          <w:b/>
          <w:color w:val="000000"/>
        </w:rPr>
        <w:tab/>
      </w:r>
      <w:r>
        <w:rPr>
          <w:b/>
          <w:color w:val="000000"/>
        </w:rPr>
        <w:t>Potential present value of costs and benefits from retaining NABERS component (2014 $m)</w:t>
      </w:r>
      <w:bookmarkEnd w:id="532"/>
    </w:p>
    <w:tbl>
      <w:tblPr>
        <w:tblW w:w="7372" w:type="dxa"/>
        <w:tblInd w:w="28"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4508"/>
        <w:gridCol w:w="2864"/>
      </w:tblGrid>
      <w:tr w:rsidR="00627505" w14:paraId="3EB8443C" w14:textId="77777777">
        <w:trPr>
          <w:cantSplit/>
        </w:trPr>
        <w:tc>
          <w:tcPr>
            <w:tcW w:w="4508" w:type="dxa"/>
            <w:tcBorders>
              <w:top w:val="nil"/>
            </w:tcBorders>
            <w:shd w:val="solid" w:color="9757A6" w:fill="auto"/>
            <w:vAlign w:val="center"/>
          </w:tcPr>
          <w:p w14:paraId="24ACE548" w14:textId="77777777" w:rsidR="00627505" w:rsidRDefault="00627505" w:rsidP="00594865">
            <w:pPr>
              <w:pStyle w:val="Tablecolumnheadings"/>
            </w:pPr>
            <w:r>
              <w:t>Item</w:t>
            </w:r>
          </w:p>
        </w:tc>
        <w:tc>
          <w:tcPr>
            <w:tcW w:w="2864" w:type="dxa"/>
            <w:tcBorders>
              <w:top w:val="nil"/>
            </w:tcBorders>
            <w:shd w:val="solid" w:color="9757A6" w:fill="auto"/>
            <w:vAlign w:val="center"/>
          </w:tcPr>
          <w:p w14:paraId="17E4C723" w14:textId="77777777" w:rsidR="00627505" w:rsidRDefault="00627505" w:rsidP="00594865">
            <w:pPr>
              <w:pStyle w:val="Tablecolumnheadings"/>
              <w:jc w:val="center"/>
            </w:pPr>
            <w:r>
              <w:t>Present Value (2014 $m)</w:t>
            </w:r>
          </w:p>
        </w:tc>
      </w:tr>
      <w:tr w:rsidR="00627505" w14:paraId="70FD289D" w14:textId="77777777">
        <w:trPr>
          <w:cantSplit/>
        </w:trPr>
        <w:tc>
          <w:tcPr>
            <w:tcW w:w="4508" w:type="dxa"/>
            <w:shd w:val="clear" w:color="auto" w:fill="auto"/>
            <w:vAlign w:val="center"/>
          </w:tcPr>
          <w:p w14:paraId="3E1E8651" w14:textId="77777777" w:rsidR="00627505" w:rsidRDefault="00627505" w:rsidP="00594865">
            <w:pPr>
              <w:pStyle w:val="Tabletext"/>
            </w:pPr>
            <w:r>
              <w:t>Industry burden</w:t>
            </w:r>
          </w:p>
        </w:tc>
        <w:tc>
          <w:tcPr>
            <w:tcW w:w="2864" w:type="dxa"/>
            <w:shd w:val="clear" w:color="auto" w:fill="auto"/>
            <w:vAlign w:val="center"/>
          </w:tcPr>
          <w:p w14:paraId="3413A712" w14:textId="77777777" w:rsidR="00627505" w:rsidRDefault="00627505" w:rsidP="00935E3A">
            <w:pPr>
              <w:pStyle w:val="Tabletext"/>
              <w:jc w:val="center"/>
            </w:pPr>
            <w:r w:rsidRPr="0027527B">
              <w:t>-$1</w:t>
            </w:r>
            <w:r w:rsidR="00935E3A">
              <w:t>2</w:t>
            </w:r>
            <w:r w:rsidRPr="0027527B">
              <w:t>.</w:t>
            </w:r>
            <w:r w:rsidR="00935E3A">
              <w:t>9</w:t>
            </w:r>
          </w:p>
        </w:tc>
      </w:tr>
      <w:tr w:rsidR="00627505" w14:paraId="059F406D" w14:textId="77777777">
        <w:trPr>
          <w:cantSplit/>
        </w:trPr>
        <w:tc>
          <w:tcPr>
            <w:tcW w:w="4508" w:type="dxa"/>
            <w:tcBorders>
              <w:bottom w:val="single" w:sz="2" w:space="0" w:color="C0C0C0"/>
            </w:tcBorders>
            <w:shd w:val="clear" w:color="auto" w:fill="auto"/>
            <w:vAlign w:val="center"/>
          </w:tcPr>
          <w:p w14:paraId="3B0C0F63" w14:textId="77777777" w:rsidR="00627505" w:rsidRDefault="00627505" w:rsidP="00594865">
            <w:pPr>
              <w:pStyle w:val="Tabletext"/>
            </w:pPr>
            <w:r w:rsidRPr="0027527B">
              <w:t>Net benefit of energy efficiency</w:t>
            </w:r>
          </w:p>
        </w:tc>
        <w:tc>
          <w:tcPr>
            <w:tcW w:w="2864" w:type="dxa"/>
            <w:tcBorders>
              <w:bottom w:val="single" w:sz="2" w:space="0" w:color="C0C0C0"/>
            </w:tcBorders>
            <w:shd w:val="clear" w:color="auto" w:fill="auto"/>
            <w:vAlign w:val="center"/>
          </w:tcPr>
          <w:p w14:paraId="58B728A6" w14:textId="77777777" w:rsidR="00627505" w:rsidRDefault="00627505" w:rsidP="00594865">
            <w:pPr>
              <w:pStyle w:val="Tabletext"/>
              <w:jc w:val="center"/>
            </w:pPr>
            <w:r w:rsidRPr="0027527B">
              <w:t>$66.2</w:t>
            </w:r>
          </w:p>
        </w:tc>
      </w:tr>
      <w:tr w:rsidR="00627505" w14:paraId="529A39A9" w14:textId="77777777">
        <w:trPr>
          <w:cantSplit/>
        </w:trPr>
        <w:tc>
          <w:tcPr>
            <w:tcW w:w="4508" w:type="dxa"/>
            <w:tcBorders>
              <w:top w:val="single" w:sz="2" w:space="0" w:color="C0C0C0"/>
              <w:bottom w:val="single" w:sz="2" w:space="0" w:color="999999"/>
            </w:tcBorders>
            <w:shd w:val="clear" w:color="auto" w:fill="DBDBDB" w:themeFill="accent3" w:themeFillTint="66"/>
            <w:vAlign w:val="center"/>
          </w:tcPr>
          <w:p w14:paraId="49773A16" w14:textId="77777777" w:rsidR="00627505" w:rsidRPr="00836ACA" w:rsidRDefault="00627505" w:rsidP="00594865">
            <w:pPr>
              <w:pStyle w:val="Tabletext"/>
              <w:rPr>
                <w:b/>
              </w:rPr>
            </w:pPr>
            <w:r w:rsidRPr="00836ACA">
              <w:rPr>
                <w:b/>
              </w:rPr>
              <w:t>Net Present Value</w:t>
            </w:r>
          </w:p>
        </w:tc>
        <w:tc>
          <w:tcPr>
            <w:tcW w:w="2864" w:type="dxa"/>
            <w:tcBorders>
              <w:top w:val="single" w:sz="2" w:space="0" w:color="C0C0C0"/>
              <w:bottom w:val="single" w:sz="2" w:space="0" w:color="999999"/>
            </w:tcBorders>
            <w:shd w:val="clear" w:color="auto" w:fill="DBDBDB" w:themeFill="accent3" w:themeFillTint="66"/>
            <w:vAlign w:val="center"/>
          </w:tcPr>
          <w:p w14:paraId="7DFC4970" w14:textId="77777777" w:rsidR="00627505" w:rsidRPr="00836ACA" w:rsidRDefault="00627505" w:rsidP="00935E3A">
            <w:pPr>
              <w:pStyle w:val="Tabletext"/>
              <w:jc w:val="center"/>
              <w:rPr>
                <w:b/>
              </w:rPr>
            </w:pPr>
            <w:r w:rsidRPr="0027527B">
              <w:rPr>
                <w:b/>
              </w:rPr>
              <w:t>$</w:t>
            </w:r>
            <w:r>
              <w:rPr>
                <w:b/>
              </w:rPr>
              <w:t>5</w:t>
            </w:r>
            <w:r w:rsidR="00935E3A">
              <w:rPr>
                <w:b/>
              </w:rPr>
              <w:t>3</w:t>
            </w:r>
            <w:r w:rsidRPr="0027527B">
              <w:rPr>
                <w:b/>
              </w:rPr>
              <w:t>.3</w:t>
            </w:r>
          </w:p>
        </w:tc>
      </w:tr>
    </w:tbl>
    <w:p w14:paraId="01A2D87F" w14:textId="098A8851" w:rsidR="00627505" w:rsidRDefault="00627505" w:rsidP="00627505">
      <w:pPr>
        <w:pStyle w:val="Note"/>
      </w:pPr>
      <w:r w:rsidRPr="00836ACA">
        <w:rPr>
          <w:i/>
        </w:rPr>
        <w:t>Note:</w:t>
      </w:r>
      <w:r w:rsidRPr="00A31DAB">
        <w:t xml:space="preserve"> </w:t>
      </w:r>
      <w:r>
        <w:t>The economic value of GHG reduction is excluded</w:t>
      </w:r>
      <w:r w:rsidR="00CB3EC7">
        <w:t xml:space="preserve">. </w:t>
      </w:r>
      <w:r w:rsidR="00CC3E3D">
        <w:t>Present value estimates are based on a</w:t>
      </w:r>
      <w:r w:rsidR="00AE4F9A">
        <w:t>n assumed</w:t>
      </w:r>
      <w:r w:rsidR="00CC3E3D">
        <w:t xml:space="preserve"> </w:t>
      </w:r>
      <w:r w:rsidR="002278A1">
        <w:t>five-</w:t>
      </w:r>
      <w:r w:rsidR="00CC3E3D">
        <w:t>year program duration and estimated between 2015 and 2028.</w:t>
      </w:r>
    </w:p>
    <w:p w14:paraId="5F583A48" w14:textId="77777777" w:rsidR="00885DEF" w:rsidRPr="00B85543" w:rsidRDefault="00885DEF" w:rsidP="00F71862">
      <w:pPr>
        <w:pStyle w:val="Source"/>
      </w:pPr>
      <w:r>
        <w:t>Source</w:t>
      </w:r>
      <w:r w:rsidRPr="00B85543">
        <w:t xml:space="preserve">: </w:t>
      </w:r>
      <w:r>
        <w:t>ACIL Allen</w:t>
      </w:r>
    </w:p>
    <w:p w14:paraId="56C0B432" w14:textId="77777777" w:rsidR="00627505" w:rsidRDefault="00627505" w:rsidP="00627505">
      <w:pPr>
        <w:pStyle w:val="BodyText"/>
      </w:pPr>
      <w:r>
        <w:lastRenderedPageBreak/>
        <w:t>Based on the above analysis</w:t>
      </w:r>
      <w:r w:rsidR="00585188">
        <w:t>,</w:t>
      </w:r>
      <w:r>
        <w:t xml:space="preserve"> it is expected that the NABERS component of the CBD program wi</w:t>
      </w:r>
      <w:r w:rsidR="00585188">
        <w:t xml:space="preserve">ll deliver substantial benefits well </w:t>
      </w:r>
      <w:r>
        <w:t>in excess of costs</w:t>
      </w:r>
      <w:r w:rsidR="00CB3EC7">
        <w:t xml:space="preserve">. </w:t>
      </w:r>
      <w:r>
        <w:t xml:space="preserve">This is further tested through sensitivity analysis as described in </w:t>
      </w:r>
      <w:r w:rsidR="00585188" w:rsidRPr="000C2FB8">
        <w:t>Se</w:t>
      </w:r>
      <w:r w:rsidRPr="000C2FB8">
        <w:t xml:space="preserve">ction </w:t>
      </w:r>
      <w:r w:rsidR="003346C7">
        <w:fldChar w:fldCharType="begin"/>
      </w:r>
      <w:r w:rsidR="003346C7">
        <w:instrText xml:space="preserve"> REF _Ref408835398 \r \h  \* MERGEFORMAT </w:instrText>
      </w:r>
      <w:r w:rsidR="003346C7">
        <w:fldChar w:fldCharType="separate"/>
      </w:r>
      <w:r w:rsidR="006A273E">
        <w:t>5.2.4</w:t>
      </w:r>
      <w:r w:rsidR="003346C7">
        <w:fldChar w:fldCharType="end"/>
      </w:r>
      <w:r w:rsidRPr="000C2FB8">
        <w:t>.</w:t>
      </w:r>
    </w:p>
    <w:p w14:paraId="39CDD7E1" w14:textId="77777777" w:rsidR="00627505" w:rsidRDefault="00627505" w:rsidP="00753CD1">
      <w:pPr>
        <w:pStyle w:val="Heading3"/>
      </w:pPr>
      <w:bookmarkStart w:id="533" w:name="_Toc415660898"/>
      <w:r>
        <w:t>Associated GHG reduction and productivity benefits</w:t>
      </w:r>
      <w:bookmarkEnd w:id="533"/>
    </w:p>
    <w:p w14:paraId="28DF93ED" w14:textId="77777777" w:rsidR="00627505" w:rsidRDefault="00627505" w:rsidP="00627505">
      <w:pPr>
        <w:pStyle w:val="BodyText"/>
      </w:pPr>
      <w:r w:rsidRPr="00487E6D">
        <w:t xml:space="preserve">The </w:t>
      </w:r>
      <w:r>
        <w:t>above estimates do not include benefits of the value of GHG reduction and increased productivity</w:t>
      </w:r>
      <w:r w:rsidR="00CB3EC7">
        <w:t xml:space="preserve">. </w:t>
      </w:r>
      <w:r w:rsidR="00492194">
        <w:fldChar w:fldCharType="begin"/>
      </w:r>
      <w:r w:rsidR="00D365E6">
        <w:instrText xml:space="preserve"> REF _Ref408868295 \h </w:instrText>
      </w:r>
      <w:r w:rsidR="00492194">
        <w:fldChar w:fldCharType="separate"/>
      </w:r>
      <w:r w:rsidR="006A273E">
        <w:t xml:space="preserve">Table </w:t>
      </w:r>
      <w:r w:rsidR="006A273E">
        <w:rPr>
          <w:noProof/>
        </w:rPr>
        <w:t>18</w:t>
      </w:r>
      <w:r w:rsidR="00492194">
        <w:fldChar w:fldCharType="end"/>
      </w:r>
      <w:r w:rsidR="00D365E6">
        <w:t xml:space="preserve"> </w:t>
      </w:r>
      <w:r>
        <w:t>compares the total benefit estimate</w:t>
      </w:r>
      <w:r w:rsidR="00DA0A32">
        <w:t xml:space="preserve"> with</w:t>
      </w:r>
      <w:r>
        <w:t xml:space="preserve"> the proportion attributable to retaining NABERS disclosure with respect to economic benefits (excluding GHG reduction and productivity improvements), the quantity of GHG reduced and the estimated value of productivity improvements.</w:t>
      </w:r>
    </w:p>
    <w:p w14:paraId="243AC5FD" w14:textId="77777777" w:rsidR="00D365E6" w:rsidRDefault="00D365E6">
      <w:pPr>
        <w:pStyle w:val="Caption"/>
        <w:rPr>
          <w:rStyle w:val="CaptionLabel"/>
          <w:rFonts w:asciiTheme="minorHAnsi" w:hAnsiTheme="minorHAnsi" w:cs="Times New Roman"/>
          <w:sz w:val="22"/>
          <w:szCs w:val="22"/>
          <w:lang w:eastAsia="en-AU"/>
        </w:rPr>
      </w:pPr>
      <w:bookmarkStart w:id="534" w:name="_Ref408868295"/>
      <w:bookmarkStart w:id="535" w:name="_Toc415661025"/>
      <w:r>
        <w:t xml:space="preserve">Table </w:t>
      </w:r>
      <w:r w:rsidR="00492194">
        <w:fldChar w:fldCharType="begin"/>
      </w:r>
      <w:r w:rsidR="0044208C">
        <w:instrText xml:space="preserve"> SEQ Table \* ARABIC </w:instrText>
      </w:r>
      <w:r w:rsidR="00492194">
        <w:fldChar w:fldCharType="separate"/>
      </w:r>
      <w:r w:rsidR="006A273E">
        <w:rPr>
          <w:noProof/>
        </w:rPr>
        <w:t>18</w:t>
      </w:r>
      <w:r w:rsidR="00492194">
        <w:rPr>
          <w:noProof/>
        </w:rPr>
        <w:fldChar w:fldCharType="end"/>
      </w:r>
      <w:bookmarkEnd w:id="534"/>
      <w:r w:rsidRPr="008357FB">
        <w:rPr>
          <w:rStyle w:val="CaptionLabel"/>
        </w:rPr>
        <w:tab/>
      </w:r>
      <w:r>
        <w:rPr>
          <w:b/>
          <w:color w:val="000000"/>
        </w:rPr>
        <w:t>Benefits of retaining NABERS component including GHG reductions and productivity improvements</w:t>
      </w:r>
      <w:r w:rsidR="00280410">
        <w:rPr>
          <w:b/>
          <w:color w:val="000000"/>
        </w:rPr>
        <w:t>, 2015-2028</w:t>
      </w:r>
      <w:r>
        <w:rPr>
          <w:b/>
          <w:color w:val="000000"/>
        </w:rPr>
        <w:t xml:space="preserve"> (2014 $m)</w:t>
      </w:r>
      <w:bookmarkEnd w:id="535"/>
    </w:p>
    <w:tbl>
      <w:tblPr>
        <w:tblW w:w="7202" w:type="dxa"/>
        <w:tblInd w:w="28"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2524"/>
        <w:gridCol w:w="2401"/>
        <w:gridCol w:w="2277"/>
      </w:tblGrid>
      <w:tr w:rsidR="00D365E6" w14:paraId="44B2160C" w14:textId="77777777">
        <w:trPr>
          <w:cantSplit/>
        </w:trPr>
        <w:tc>
          <w:tcPr>
            <w:tcW w:w="2524" w:type="dxa"/>
            <w:tcBorders>
              <w:top w:val="nil"/>
            </w:tcBorders>
            <w:shd w:val="solid" w:color="9757A6" w:fill="auto"/>
            <w:vAlign w:val="center"/>
          </w:tcPr>
          <w:p w14:paraId="7DCA3B0C" w14:textId="77777777" w:rsidR="00D365E6" w:rsidRDefault="00D365E6" w:rsidP="006158F2">
            <w:pPr>
              <w:pStyle w:val="Tablecolumnheadings"/>
            </w:pPr>
            <w:r>
              <w:t>Item</w:t>
            </w:r>
          </w:p>
        </w:tc>
        <w:tc>
          <w:tcPr>
            <w:tcW w:w="2401" w:type="dxa"/>
            <w:tcBorders>
              <w:top w:val="nil"/>
            </w:tcBorders>
            <w:shd w:val="solid" w:color="9757A6" w:fill="auto"/>
            <w:vAlign w:val="center"/>
          </w:tcPr>
          <w:p w14:paraId="524827C8" w14:textId="77777777" w:rsidR="00D365E6" w:rsidRDefault="00280410" w:rsidP="006158F2">
            <w:pPr>
              <w:pStyle w:val="Tablecolumnheadings"/>
              <w:jc w:val="center"/>
            </w:pPr>
            <w:r>
              <w:t>Costs and</w:t>
            </w:r>
            <w:r w:rsidR="00D365E6">
              <w:t xml:space="preserve"> </w:t>
            </w:r>
            <w:r>
              <w:t>benefits</w:t>
            </w:r>
          </w:p>
          <w:p w14:paraId="352AF734" w14:textId="77777777" w:rsidR="00D365E6" w:rsidRDefault="00D365E6" w:rsidP="006158F2">
            <w:pPr>
              <w:pStyle w:val="Tablecolumnheadings"/>
              <w:jc w:val="center"/>
            </w:pPr>
            <w:r>
              <w:t>(negative = cost)</w:t>
            </w:r>
          </w:p>
        </w:tc>
        <w:tc>
          <w:tcPr>
            <w:tcW w:w="2277" w:type="dxa"/>
            <w:tcBorders>
              <w:top w:val="nil"/>
            </w:tcBorders>
            <w:shd w:val="solid" w:color="9757A6" w:fill="auto"/>
          </w:tcPr>
          <w:p w14:paraId="4C5A4DAC" w14:textId="77777777" w:rsidR="00D365E6" w:rsidRDefault="00D365E6" w:rsidP="006158F2">
            <w:pPr>
              <w:pStyle w:val="Tablecolumnheadings"/>
              <w:jc w:val="center"/>
            </w:pPr>
            <w:r>
              <w:t>Attributable to CBD</w:t>
            </w:r>
          </w:p>
          <w:p w14:paraId="3F6299C6" w14:textId="77777777" w:rsidR="00D365E6" w:rsidRDefault="00D365E6" w:rsidP="006158F2">
            <w:pPr>
              <w:pStyle w:val="Tablecolumnheadings"/>
              <w:jc w:val="center"/>
            </w:pPr>
            <w:r>
              <w:t>(negative = cost)</w:t>
            </w:r>
          </w:p>
        </w:tc>
      </w:tr>
      <w:tr w:rsidR="00D365E6" w14:paraId="70122C19" w14:textId="77777777">
        <w:trPr>
          <w:cantSplit/>
        </w:trPr>
        <w:tc>
          <w:tcPr>
            <w:tcW w:w="2524" w:type="dxa"/>
            <w:shd w:val="clear" w:color="auto" w:fill="auto"/>
            <w:vAlign w:val="center"/>
          </w:tcPr>
          <w:p w14:paraId="7F04B162" w14:textId="77777777" w:rsidR="00D365E6" w:rsidRDefault="00D365E6" w:rsidP="006158F2">
            <w:pPr>
              <w:pStyle w:val="Tabletext"/>
            </w:pPr>
            <w:r w:rsidRPr="009C4872">
              <w:t>Incremental Industry burden</w:t>
            </w:r>
          </w:p>
        </w:tc>
        <w:tc>
          <w:tcPr>
            <w:tcW w:w="2401" w:type="dxa"/>
            <w:shd w:val="clear" w:color="auto" w:fill="auto"/>
            <w:vAlign w:val="center"/>
          </w:tcPr>
          <w:p w14:paraId="7215F36F" w14:textId="77777777" w:rsidR="00D365E6" w:rsidRDefault="00D365E6" w:rsidP="000C2FB8">
            <w:pPr>
              <w:pStyle w:val="Tabletext"/>
              <w:jc w:val="center"/>
            </w:pPr>
            <w:r w:rsidRPr="0027527B">
              <w:t>-$</w:t>
            </w:r>
            <w:r w:rsidR="000C2FB8">
              <w:t>12</w:t>
            </w:r>
            <w:r w:rsidRPr="0027527B">
              <w:t>.</w:t>
            </w:r>
            <w:r w:rsidR="000C2FB8">
              <w:t>9</w:t>
            </w:r>
            <w:r>
              <w:t>m PV</w:t>
            </w:r>
          </w:p>
        </w:tc>
        <w:tc>
          <w:tcPr>
            <w:tcW w:w="2277" w:type="dxa"/>
          </w:tcPr>
          <w:p w14:paraId="4F28ECD3" w14:textId="77777777" w:rsidR="00D365E6" w:rsidRPr="0027527B" w:rsidRDefault="00D365E6" w:rsidP="000C2FB8">
            <w:pPr>
              <w:pStyle w:val="Tabletext"/>
              <w:jc w:val="center"/>
            </w:pPr>
            <w:r w:rsidRPr="0027527B">
              <w:t>-$</w:t>
            </w:r>
            <w:r w:rsidR="000C2FB8">
              <w:t>12</w:t>
            </w:r>
            <w:r w:rsidRPr="0027527B">
              <w:t>.</w:t>
            </w:r>
            <w:r w:rsidR="000C2FB8">
              <w:t>9</w:t>
            </w:r>
            <w:r>
              <w:t>m PV</w:t>
            </w:r>
          </w:p>
        </w:tc>
      </w:tr>
      <w:tr w:rsidR="00D365E6" w14:paraId="073E7606" w14:textId="77777777">
        <w:trPr>
          <w:cantSplit/>
        </w:trPr>
        <w:tc>
          <w:tcPr>
            <w:tcW w:w="2524" w:type="dxa"/>
            <w:tcBorders>
              <w:bottom w:val="single" w:sz="2" w:space="0" w:color="C0C0C0"/>
            </w:tcBorders>
            <w:shd w:val="clear" w:color="auto" w:fill="auto"/>
            <w:vAlign w:val="center"/>
          </w:tcPr>
          <w:p w14:paraId="0432A5EF" w14:textId="77777777" w:rsidR="00D365E6" w:rsidRDefault="00D365E6" w:rsidP="006158F2">
            <w:pPr>
              <w:pStyle w:val="Tabletext"/>
            </w:pPr>
            <w:r w:rsidRPr="0027527B">
              <w:t>Net benefit of energy efficiency</w:t>
            </w:r>
          </w:p>
        </w:tc>
        <w:tc>
          <w:tcPr>
            <w:tcW w:w="2401" w:type="dxa"/>
            <w:tcBorders>
              <w:bottom w:val="single" w:sz="2" w:space="0" w:color="C0C0C0"/>
            </w:tcBorders>
            <w:shd w:val="clear" w:color="auto" w:fill="auto"/>
            <w:vAlign w:val="center"/>
          </w:tcPr>
          <w:p w14:paraId="26147633" w14:textId="77777777" w:rsidR="00D365E6" w:rsidRDefault="00D365E6" w:rsidP="006158F2">
            <w:pPr>
              <w:pStyle w:val="Tabletext"/>
              <w:jc w:val="center"/>
            </w:pPr>
            <w:r>
              <w:t>$159m PV</w:t>
            </w:r>
          </w:p>
        </w:tc>
        <w:tc>
          <w:tcPr>
            <w:tcW w:w="2277" w:type="dxa"/>
            <w:tcBorders>
              <w:bottom w:val="single" w:sz="2" w:space="0" w:color="C0C0C0"/>
            </w:tcBorders>
          </w:tcPr>
          <w:p w14:paraId="7A075B17" w14:textId="77777777" w:rsidR="00D365E6" w:rsidRPr="0027527B" w:rsidRDefault="00D365E6" w:rsidP="006158F2">
            <w:pPr>
              <w:pStyle w:val="Tabletext"/>
              <w:jc w:val="center"/>
            </w:pPr>
            <w:r w:rsidRPr="0027527B">
              <w:t>$66.2</w:t>
            </w:r>
            <w:r>
              <w:t>m PV</w:t>
            </w:r>
          </w:p>
        </w:tc>
      </w:tr>
      <w:tr w:rsidR="00D365E6" w14:paraId="186775D4" w14:textId="77777777">
        <w:trPr>
          <w:cantSplit/>
        </w:trPr>
        <w:tc>
          <w:tcPr>
            <w:tcW w:w="2524" w:type="dxa"/>
            <w:tcBorders>
              <w:top w:val="single" w:sz="2" w:space="0" w:color="C0C0C0"/>
              <w:bottom w:val="single" w:sz="2" w:space="0" w:color="C0C0C0"/>
            </w:tcBorders>
            <w:shd w:val="clear" w:color="auto" w:fill="DBDBDB" w:themeFill="accent3" w:themeFillTint="66"/>
            <w:vAlign w:val="center"/>
          </w:tcPr>
          <w:p w14:paraId="0242709E" w14:textId="77777777" w:rsidR="00D365E6" w:rsidRDefault="00D365E6" w:rsidP="006158F2">
            <w:pPr>
              <w:pStyle w:val="Tabletext"/>
            </w:pPr>
            <w:r w:rsidRPr="00836ACA">
              <w:rPr>
                <w:b/>
              </w:rPr>
              <w:t>Net Present Value</w:t>
            </w:r>
            <w:r>
              <w:rPr>
                <w:b/>
              </w:rPr>
              <w:t xml:space="preserve"> (excluding GHG benefits and productivity improvements)</w:t>
            </w:r>
          </w:p>
        </w:tc>
        <w:tc>
          <w:tcPr>
            <w:tcW w:w="2401" w:type="dxa"/>
            <w:tcBorders>
              <w:top w:val="single" w:sz="2" w:space="0" w:color="C0C0C0"/>
              <w:bottom w:val="single" w:sz="2" w:space="0" w:color="C0C0C0"/>
            </w:tcBorders>
            <w:shd w:val="clear" w:color="auto" w:fill="DBDBDB" w:themeFill="accent3" w:themeFillTint="66"/>
            <w:vAlign w:val="center"/>
          </w:tcPr>
          <w:p w14:paraId="49E705DC" w14:textId="77777777" w:rsidR="00D365E6" w:rsidRPr="0027527B" w:rsidRDefault="00D365E6" w:rsidP="006158F2">
            <w:pPr>
              <w:pStyle w:val="Tabletext"/>
              <w:jc w:val="center"/>
            </w:pPr>
          </w:p>
        </w:tc>
        <w:tc>
          <w:tcPr>
            <w:tcW w:w="2277" w:type="dxa"/>
            <w:tcBorders>
              <w:top w:val="single" w:sz="2" w:space="0" w:color="C0C0C0"/>
              <w:bottom w:val="single" w:sz="2" w:space="0" w:color="C0C0C0"/>
            </w:tcBorders>
            <w:shd w:val="clear" w:color="auto" w:fill="DBDBDB" w:themeFill="accent3" w:themeFillTint="66"/>
          </w:tcPr>
          <w:p w14:paraId="3ED8A60F" w14:textId="77777777" w:rsidR="00D365E6" w:rsidRPr="0027527B" w:rsidRDefault="008965D0" w:rsidP="000C2FB8">
            <w:pPr>
              <w:pStyle w:val="Tabletext"/>
              <w:jc w:val="center"/>
            </w:pPr>
            <w:r>
              <w:rPr>
                <w:b/>
              </w:rPr>
              <w:br/>
            </w:r>
            <w:r w:rsidR="00D365E6">
              <w:rPr>
                <w:b/>
              </w:rPr>
              <w:t>$5</w:t>
            </w:r>
            <w:r w:rsidR="000C2FB8">
              <w:rPr>
                <w:b/>
              </w:rPr>
              <w:t>3</w:t>
            </w:r>
            <w:r w:rsidR="00D365E6">
              <w:rPr>
                <w:b/>
              </w:rPr>
              <w:t>.3</w:t>
            </w:r>
            <w:r w:rsidR="00D365E6" w:rsidRPr="00487E6D">
              <w:rPr>
                <w:b/>
              </w:rPr>
              <w:t>m PV</w:t>
            </w:r>
          </w:p>
        </w:tc>
      </w:tr>
      <w:tr w:rsidR="00D365E6" w14:paraId="2B719DB3" w14:textId="77777777">
        <w:trPr>
          <w:cantSplit/>
        </w:trPr>
        <w:tc>
          <w:tcPr>
            <w:tcW w:w="2524" w:type="dxa"/>
            <w:tcBorders>
              <w:top w:val="single" w:sz="2" w:space="0" w:color="C0C0C0"/>
              <w:bottom w:val="single" w:sz="2" w:space="0" w:color="C0C0C0"/>
            </w:tcBorders>
            <w:shd w:val="clear" w:color="auto" w:fill="auto"/>
            <w:vAlign w:val="center"/>
          </w:tcPr>
          <w:p w14:paraId="541FFA77" w14:textId="77777777" w:rsidR="00D365E6" w:rsidRDefault="00D365E6" w:rsidP="006158F2">
            <w:pPr>
              <w:pStyle w:val="Tabletext"/>
            </w:pPr>
            <w:r w:rsidRPr="00487E6D">
              <w:t>Estimated productivity benefits</w:t>
            </w:r>
            <w:r w:rsidR="00C338B7">
              <w:rPr>
                <w:rStyle w:val="Notelabel"/>
              </w:rPr>
              <w:t xml:space="preserve"> a</w:t>
            </w:r>
          </w:p>
        </w:tc>
        <w:tc>
          <w:tcPr>
            <w:tcW w:w="2401" w:type="dxa"/>
            <w:tcBorders>
              <w:top w:val="single" w:sz="2" w:space="0" w:color="C0C0C0"/>
              <w:bottom w:val="single" w:sz="2" w:space="0" w:color="C0C0C0"/>
            </w:tcBorders>
            <w:shd w:val="clear" w:color="auto" w:fill="auto"/>
            <w:vAlign w:val="center"/>
          </w:tcPr>
          <w:p w14:paraId="69D886C3" w14:textId="77777777" w:rsidR="00D365E6" w:rsidRPr="0027527B" w:rsidRDefault="00D365E6" w:rsidP="006158F2">
            <w:pPr>
              <w:pStyle w:val="Tabletext"/>
              <w:jc w:val="center"/>
            </w:pPr>
            <w:r w:rsidRPr="00487E6D">
              <w:t>$376.7</w:t>
            </w:r>
            <w:r>
              <w:t>m PV</w:t>
            </w:r>
          </w:p>
        </w:tc>
        <w:tc>
          <w:tcPr>
            <w:tcW w:w="2277" w:type="dxa"/>
            <w:tcBorders>
              <w:top w:val="single" w:sz="2" w:space="0" w:color="C0C0C0"/>
              <w:bottom w:val="single" w:sz="2" w:space="0" w:color="C0C0C0"/>
            </w:tcBorders>
            <w:vAlign w:val="center"/>
          </w:tcPr>
          <w:p w14:paraId="32B6D762" w14:textId="77777777" w:rsidR="00D365E6" w:rsidRPr="0027527B" w:rsidRDefault="00D365E6" w:rsidP="006158F2">
            <w:pPr>
              <w:pStyle w:val="Tabletext"/>
              <w:jc w:val="center"/>
            </w:pPr>
            <w:r w:rsidRPr="00487E6D">
              <w:t>$155.9</w:t>
            </w:r>
            <w:r>
              <w:t>m PV</w:t>
            </w:r>
          </w:p>
        </w:tc>
      </w:tr>
      <w:tr w:rsidR="00D365E6" w14:paraId="5B594EE4" w14:textId="77777777">
        <w:trPr>
          <w:cantSplit/>
        </w:trPr>
        <w:tc>
          <w:tcPr>
            <w:tcW w:w="2524" w:type="dxa"/>
            <w:tcBorders>
              <w:top w:val="single" w:sz="2" w:space="0" w:color="C0C0C0"/>
              <w:bottom w:val="single" w:sz="2" w:space="0" w:color="999999"/>
            </w:tcBorders>
            <w:shd w:val="clear" w:color="auto" w:fill="auto"/>
            <w:vAlign w:val="center"/>
          </w:tcPr>
          <w:p w14:paraId="40BBA05D" w14:textId="77777777" w:rsidR="00D365E6" w:rsidRPr="00487E6D" w:rsidRDefault="00D365E6" w:rsidP="0008364A">
            <w:pPr>
              <w:pStyle w:val="Tabletext"/>
            </w:pPr>
            <w:r w:rsidRPr="00487E6D">
              <w:t>Avoided GHG emissions</w:t>
            </w:r>
          </w:p>
        </w:tc>
        <w:tc>
          <w:tcPr>
            <w:tcW w:w="2401" w:type="dxa"/>
            <w:tcBorders>
              <w:top w:val="single" w:sz="2" w:space="0" w:color="C0C0C0"/>
              <w:bottom w:val="single" w:sz="2" w:space="0" w:color="999999"/>
            </w:tcBorders>
            <w:shd w:val="clear" w:color="auto" w:fill="auto"/>
            <w:vAlign w:val="center"/>
          </w:tcPr>
          <w:p w14:paraId="7903DC6F" w14:textId="77777777" w:rsidR="00D365E6" w:rsidRPr="00487E6D" w:rsidRDefault="00060FC2" w:rsidP="006158F2">
            <w:pPr>
              <w:pStyle w:val="Tabletext"/>
              <w:jc w:val="center"/>
            </w:pPr>
            <w:r>
              <w:t>4,267</w:t>
            </w:r>
            <w:r w:rsidR="00D365E6" w:rsidRPr="00487E6D">
              <w:t xml:space="preserve"> </w:t>
            </w:r>
            <w:r w:rsidR="0012349F" w:rsidRPr="00836ACA">
              <w:t>ktCO</w:t>
            </w:r>
            <w:r w:rsidR="0012349F" w:rsidRPr="00860430">
              <w:rPr>
                <w:vertAlign w:val="subscript"/>
              </w:rPr>
              <w:t>2</w:t>
            </w:r>
            <w:r w:rsidR="0012349F">
              <w:t>-e</w:t>
            </w:r>
          </w:p>
        </w:tc>
        <w:tc>
          <w:tcPr>
            <w:tcW w:w="2277" w:type="dxa"/>
            <w:tcBorders>
              <w:top w:val="single" w:sz="2" w:space="0" w:color="C0C0C0"/>
              <w:bottom w:val="single" w:sz="2" w:space="0" w:color="999999"/>
            </w:tcBorders>
            <w:vAlign w:val="center"/>
          </w:tcPr>
          <w:p w14:paraId="242C878F" w14:textId="77777777" w:rsidR="00D365E6" w:rsidRPr="00487E6D" w:rsidRDefault="00060FC2" w:rsidP="006158F2">
            <w:pPr>
              <w:pStyle w:val="Tabletext"/>
              <w:jc w:val="center"/>
            </w:pPr>
            <w:r>
              <w:t>2,504</w:t>
            </w:r>
            <w:r w:rsidR="00D365E6" w:rsidRPr="00487E6D">
              <w:t xml:space="preserve"> </w:t>
            </w:r>
            <w:r w:rsidR="0012349F" w:rsidRPr="00836ACA">
              <w:t>ktCO</w:t>
            </w:r>
            <w:r w:rsidR="0012349F" w:rsidRPr="00860430">
              <w:rPr>
                <w:vertAlign w:val="subscript"/>
              </w:rPr>
              <w:t>2</w:t>
            </w:r>
            <w:r w:rsidR="0012349F">
              <w:t>-e</w:t>
            </w:r>
          </w:p>
        </w:tc>
      </w:tr>
    </w:tbl>
    <w:p w14:paraId="0C3467C8" w14:textId="77777777" w:rsidR="00C338B7" w:rsidRDefault="00C338B7" w:rsidP="00DB0E3E">
      <w:pPr>
        <w:pStyle w:val="Note"/>
      </w:pPr>
      <w:proofErr w:type="spellStart"/>
      <w:r>
        <w:rPr>
          <w:rStyle w:val="Notelabel"/>
        </w:rPr>
        <w:t>a</w:t>
      </w:r>
      <w:proofErr w:type="spellEnd"/>
      <w:r>
        <w:t xml:space="preserve"> Approximately 0.7 million </w:t>
      </w:r>
      <w:r w:rsidR="006522EF">
        <w:t xml:space="preserve">office staff </w:t>
      </w:r>
      <w:r>
        <w:t>are estimated to occupy buildings where the CBD will improve energy efficiency and therefore, productivity.</w:t>
      </w:r>
    </w:p>
    <w:p w14:paraId="517E2D29" w14:textId="77777777" w:rsidR="00D365E6" w:rsidRPr="00B347D7" w:rsidRDefault="00D365E6" w:rsidP="006158F2">
      <w:pPr>
        <w:pStyle w:val="Source"/>
      </w:pPr>
      <w:r w:rsidRPr="00B347D7">
        <w:t xml:space="preserve">Source: </w:t>
      </w:r>
      <w:r>
        <w:t>ACIL Allen</w:t>
      </w:r>
    </w:p>
    <w:p w14:paraId="70975F00" w14:textId="77777777" w:rsidR="00627505" w:rsidRDefault="00627505" w:rsidP="00627505">
      <w:pPr>
        <w:pStyle w:val="Heading3"/>
        <w:numPr>
          <w:ilvl w:val="2"/>
          <w:numId w:val="20"/>
        </w:numPr>
      </w:pPr>
      <w:bookmarkStart w:id="536" w:name="_Ref408835398"/>
      <w:bookmarkStart w:id="537" w:name="_Toc415660899"/>
      <w:r>
        <w:t xml:space="preserve">Sensitivity analysis </w:t>
      </w:r>
      <w:r w:rsidRPr="00716064">
        <w:t xml:space="preserve">for assessment of </w:t>
      </w:r>
      <w:r>
        <w:t xml:space="preserve">NABERS </w:t>
      </w:r>
      <w:r w:rsidRPr="00716064">
        <w:t>benefits</w:t>
      </w:r>
      <w:bookmarkEnd w:id="536"/>
      <w:bookmarkEnd w:id="537"/>
    </w:p>
    <w:p w14:paraId="7A246C6C" w14:textId="77777777" w:rsidR="00627505" w:rsidRDefault="00627505" w:rsidP="00627505">
      <w:pPr>
        <w:pStyle w:val="Heading4"/>
        <w:numPr>
          <w:ilvl w:val="3"/>
          <w:numId w:val="20"/>
        </w:numPr>
      </w:pPr>
      <w:r>
        <w:t>Sensitivity to assumed retention of post-CBD behaviour</w:t>
      </w:r>
    </w:p>
    <w:p w14:paraId="62605AF3" w14:textId="77777777" w:rsidR="00627505" w:rsidRPr="00746840" w:rsidRDefault="002223BE" w:rsidP="00627505">
      <w:pPr>
        <w:pStyle w:val="BodyText"/>
      </w:pPr>
      <w:r>
        <w:t xml:space="preserve">Under </w:t>
      </w:r>
      <w:r w:rsidR="00627505">
        <w:t>base assumptions for the forward</w:t>
      </w:r>
      <w:r w:rsidR="00887F5E">
        <w:t>-</w:t>
      </w:r>
      <w:r w:rsidR="00627505">
        <w:t xml:space="preserve">looking counterfactual </w:t>
      </w:r>
      <w:r>
        <w:t xml:space="preserve">(with an </w:t>
      </w:r>
      <w:r w:rsidR="00627505">
        <w:t>assumed 80</w:t>
      </w:r>
      <w:r w:rsidR="00887F5E">
        <w:t xml:space="preserve"> per cent</w:t>
      </w:r>
      <w:r w:rsidR="00627505">
        <w:t xml:space="preserve"> retention of trend improvement by the mandatory 1</w:t>
      </w:r>
      <w:r w:rsidR="00627505" w:rsidRPr="00836ACA">
        <w:rPr>
          <w:vertAlign w:val="superscript"/>
        </w:rPr>
        <w:t>st</w:t>
      </w:r>
      <w:r w:rsidR="00627505">
        <w:t xml:space="preserve"> quartile and a corresponding 40</w:t>
      </w:r>
      <w:r w:rsidR="00887F5E">
        <w:t xml:space="preserve"> per cent</w:t>
      </w:r>
      <w:r w:rsidR="00627505">
        <w:t xml:space="preserve"> retention of trend improvement for the remaining quartiles</w:t>
      </w:r>
      <w:r>
        <w:t xml:space="preserve">), the </w:t>
      </w:r>
      <w:r w:rsidR="00627505">
        <w:t xml:space="preserve">estimated net benefit from NABERS disclosure </w:t>
      </w:r>
      <w:r w:rsidRPr="00746840">
        <w:t xml:space="preserve">is </w:t>
      </w:r>
      <w:r w:rsidR="00627505" w:rsidRPr="003F5F13">
        <w:t>$5</w:t>
      </w:r>
      <w:r w:rsidR="000C2FB8" w:rsidRPr="003F5F13">
        <w:t>3</w:t>
      </w:r>
      <w:r w:rsidR="00627505" w:rsidRPr="003F5F13">
        <w:t>.3</w:t>
      </w:r>
      <w:r w:rsidR="0024777E" w:rsidRPr="003F5F13">
        <w:t xml:space="preserve"> </w:t>
      </w:r>
      <w:r w:rsidR="00627505" w:rsidRPr="003F5F13">
        <w:t>m</w:t>
      </w:r>
      <w:r w:rsidR="0024777E" w:rsidRPr="003F5F13">
        <w:t>illion</w:t>
      </w:r>
      <w:r w:rsidR="00627505" w:rsidRPr="00746840">
        <w:t>.</w:t>
      </w:r>
    </w:p>
    <w:p w14:paraId="258E15E3" w14:textId="77777777" w:rsidR="00627505" w:rsidRDefault="00627505" w:rsidP="00627505">
      <w:pPr>
        <w:pStyle w:val="BodyText"/>
      </w:pPr>
      <w:r>
        <w:t>There is significant uncertainty relating to the likely continuation of efficiency improvements if the scheme is discontinued</w:t>
      </w:r>
      <w:r w:rsidR="00CB3EC7">
        <w:t xml:space="preserve">. </w:t>
      </w:r>
      <w:r w:rsidR="00887F5E">
        <w:t>T</w:t>
      </w:r>
      <w:r>
        <w:t>he projected net benefit assuming a range of values for behaviour retention</w:t>
      </w:r>
      <w:r w:rsidR="00887F5E">
        <w:t xml:space="preserve"> is shown in </w:t>
      </w:r>
      <w:r w:rsidR="00492194">
        <w:fldChar w:fldCharType="begin"/>
      </w:r>
      <w:r w:rsidR="00887F5E">
        <w:instrText xml:space="preserve"> REF _Ref408868403 \h </w:instrText>
      </w:r>
      <w:r w:rsidR="00492194">
        <w:fldChar w:fldCharType="separate"/>
      </w:r>
      <w:r w:rsidR="006A273E">
        <w:t xml:space="preserve">Table </w:t>
      </w:r>
      <w:r w:rsidR="006A273E">
        <w:rPr>
          <w:noProof/>
        </w:rPr>
        <w:t>19</w:t>
      </w:r>
      <w:r w:rsidR="00492194">
        <w:fldChar w:fldCharType="end"/>
      </w:r>
      <w:r>
        <w:t>.</w:t>
      </w:r>
    </w:p>
    <w:p w14:paraId="56EA77BC" w14:textId="77777777" w:rsidR="00627505" w:rsidRDefault="00627505" w:rsidP="00627505">
      <w:pPr>
        <w:pStyle w:val="Caption"/>
      </w:pPr>
      <w:bookmarkStart w:id="538" w:name="_Ref408868403"/>
      <w:bookmarkStart w:id="539" w:name="_Toc415661026"/>
      <w:r>
        <w:lastRenderedPageBreak/>
        <w:t xml:space="preserve">Table </w:t>
      </w:r>
      <w:r w:rsidR="00366ADF">
        <w:fldChar w:fldCharType="begin"/>
      </w:r>
      <w:r w:rsidR="00366ADF">
        <w:instrText xml:space="preserve"> S</w:instrText>
      </w:r>
      <w:r w:rsidR="00366ADF">
        <w:instrText xml:space="preserve">EQ Table \* MERGEFORMAT </w:instrText>
      </w:r>
      <w:r w:rsidR="00366ADF">
        <w:fldChar w:fldCharType="separate"/>
      </w:r>
      <w:r w:rsidR="006A273E">
        <w:rPr>
          <w:noProof/>
        </w:rPr>
        <w:t>19</w:t>
      </w:r>
      <w:r w:rsidR="00366ADF">
        <w:rPr>
          <w:noProof/>
        </w:rPr>
        <w:fldChar w:fldCharType="end"/>
      </w:r>
      <w:bookmarkEnd w:id="538"/>
      <w:r w:rsidRPr="00487E6D">
        <w:rPr>
          <w:b/>
          <w:color w:val="000000"/>
        </w:rPr>
        <w:tab/>
      </w:r>
      <w:r>
        <w:rPr>
          <w:b/>
          <w:color w:val="000000"/>
        </w:rPr>
        <w:t>Sensitivity to assumed retention of post-CBD behaviour</w:t>
      </w:r>
      <w:bookmarkEnd w:id="539"/>
    </w:p>
    <w:tbl>
      <w:tblPr>
        <w:tblW w:w="7372" w:type="dxa"/>
        <w:tblInd w:w="28"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1474"/>
        <w:gridCol w:w="1474"/>
        <w:gridCol w:w="1474"/>
        <w:gridCol w:w="1475"/>
        <w:gridCol w:w="1475"/>
      </w:tblGrid>
      <w:tr w:rsidR="00627505" w14:paraId="6C7F0743" w14:textId="77777777">
        <w:trPr>
          <w:cantSplit/>
        </w:trPr>
        <w:tc>
          <w:tcPr>
            <w:tcW w:w="1474" w:type="dxa"/>
            <w:tcBorders>
              <w:top w:val="nil"/>
            </w:tcBorders>
            <w:shd w:val="solid" w:color="9757A6" w:fill="auto"/>
            <w:vAlign w:val="center"/>
          </w:tcPr>
          <w:p w14:paraId="7C005211" w14:textId="77777777" w:rsidR="00627505" w:rsidRDefault="00627505" w:rsidP="00594865">
            <w:pPr>
              <w:pStyle w:val="Tablecolumnheadings"/>
              <w:jc w:val="center"/>
            </w:pPr>
            <w:r>
              <w:t>Mandatory Q1 retention of behaviour</w:t>
            </w:r>
          </w:p>
        </w:tc>
        <w:tc>
          <w:tcPr>
            <w:tcW w:w="1474" w:type="dxa"/>
            <w:tcBorders>
              <w:top w:val="nil"/>
            </w:tcBorders>
            <w:shd w:val="solid" w:color="9757A6" w:fill="auto"/>
            <w:vAlign w:val="center"/>
          </w:tcPr>
          <w:p w14:paraId="33595029" w14:textId="77777777" w:rsidR="00627505" w:rsidRDefault="00627505" w:rsidP="00594865">
            <w:pPr>
              <w:pStyle w:val="Tablecolumnheadings"/>
              <w:jc w:val="center"/>
            </w:pPr>
            <w:r>
              <w:t>Mandatory Q2 – Q4 retention of behaviour</w:t>
            </w:r>
          </w:p>
        </w:tc>
        <w:tc>
          <w:tcPr>
            <w:tcW w:w="1474" w:type="dxa"/>
            <w:tcBorders>
              <w:top w:val="nil"/>
            </w:tcBorders>
            <w:shd w:val="solid" w:color="9757A6" w:fill="auto"/>
            <w:vAlign w:val="center"/>
          </w:tcPr>
          <w:p w14:paraId="046503A6" w14:textId="77777777" w:rsidR="00627505" w:rsidRDefault="00627505" w:rsidP="00594865">
            <w:pPr>
              <w:pStyle w:val="Tablecolumnheadings"/>
              <w:jc w:val="center"/>
            </w:pPr>
            <w:r>
              <w:t>Break-even attribution point</w:t>
            </w:r>
          </w:p>
        </w:tc>
        <w:tc>
          <w:tcPr>
            <w:tcW w:w="1475" w:type="dxa"/>
            <w:tcBorders>
              <w:top w:val="nil"/>
            </w:tcBorders>
            <w:shd w:val="solid" w:color="9757A6" w:fill="auto"/>
            <w:vAlign w:val="center"/>
          </w:tcPr>
          <w:p w14:paraId="3249A71C" w14:textId="77777777" w:rsidR="00627505" w:rsidRDefault="00627505" w:rsidP="00594865">
            <w:pPr>
              <w:pStyle w:val="Tablecolumnheadings"/>
              <w:jc w:val="center"/>
            </w:pPr>
            <w:r>
              <w:t>Estimated attribution</w:t>
            </w:r>
          </w:p>
        </w:tc>
        <w:tc>
          <w:tcPr>
            <w:tcW w:w="1475" w:type="dxa"/>
            <w:tcBorders>
              <w:top w:val="nil"/>
            </w:tcBorders>
            <w:shd w:val="solid" w:color="9757A6" w:fill="auto"/>
            <w:vAlign w:val="center"/>
          </w:tcPr>
          <w:p w14:paraId="4E9CB2AA" w14:textId="77777777" w:rsidR="00627505" w:rsidRDefault="00627505" w:rsidP="00594865">
            <w:pPr>
              <w:pStyle w:val="Tablecolumnheadings"/>
              <w:jc w:val="center"/>
            </w:pPr>
            <w:r>
              <w:t>NABERS NPV ($m)</w:t>
            </w:r>
          </w:p>
        </w:tc>
      </w:tr>
      <w:tr w:rsidR="00C30627" w14:paraId="2AD8C77C" w14:textId="77777777">
        <w:trPr>
          <w:cantSplit/>
        </w:trPr>
        <w:tc>
          <w:tcPr>
            <w:tcW w:w="1474" w:type="dxa"/>
            <w:shd w:val="clear" w:color="auto" w:fill="auto"/>
          </w:tcPr>
          <w:p w14:paraId="60467792" w14:textId="77777777" w:rsidR="00C30627" w:rsidRDefault="00C30627" w:rsidP="00C30627">
            <w:pPr>
              <w:pStyle w:val="Tabletext"/>
              <w:jc w:val="center"/>
            </w:pPr>
            <w:r w:rsidRPr="00D315DD">
              <w:t>0%</w:t>
            </w:r>
          </w:p>
        </w:tc>
        <w:tc>
          <w:tcPr>
            <w:tcW w:w="1474" w:type="dxa"/>
            <w:shd w:val="clear" w:color="auto" w:fill="auto"/>
          </w:tcPr>
          <w:p w14:paraId="0A65FAFA" w14:textId="77777777" w:rsidR="00C30627" w:rsidRDefault="00C30627" w:rsidP="00C30627">
            <w:pPr>
              <w:pStyle w:val="Tabletext"/>
              <w:jc w:val="center"/>
            </w:pPr>
            <w:r w:rsidRPr="00D315DD">
              <w:t>0%</w:t>
            </w:r>
          </w:p>
        </w:tc>
        <w:tc>
          <w:tcPr>
            <w:tcW w:w="1474" w:type="dxa"/>
            <w:shd w:val="clear" w:color="auto" w:fill="auto"/>
          </w:tcPr>
          <w:p w14:paraId="055A019F" w14:textId="77777777" w:rsidR="00C30627" w:rsidRDefault="00C30627" w:rsidP="00C30627">
            <w:pPr>
              <w:pStyle w:val="Tabletext"/>
              <w:jc w:val="center"/>
            </w:pPr>
            <w:r>
              <w:t>11</w:t>
            </w:r>
            <w:r w:rsidRPr="00D315DD">
              <w:t>.</w:t>
            </w:r>
            <w:r>
              <w:t>9</w:t>
            </w:r>
            <w:r w:rsidRPr="00D315DD">
              <w:t>%</w:t>
            </w:r>
          </w:p>
        </w:tc>
        <w:tc>
          <w:tcPr>
            <w:tcW w:w="1475" w:type="dxa"/>
            <w:shd w:val="clear" w:color="auto" w:fill="auto"/>
          </w:tcPr>
          <w:p w14:paraId="68FCD819" w14:textId="77777777" w:rsidR="00C30627" w:rsidRDefault="00C30627" w:rsidP="00C30627">
            <w:pPr>
              <w:pStyle w:val="Tabletext"/>
              <w:jc w:val="center"/>
            </w:pPr>
            <w:r w:rsidRPr="00D315DD">
              <w:t>100%</w:t>
            </w:r>
          </w:p>
        </w:tc>
        <w:tc>
          <w:tcPr>
            <w:tcW w:w="1475" w:type="dxa"/>
            <w:shd w:val="clear" w:color="auto" w:fill="auto"/>
          </w:tcPr>
          <w:p w14:paraId="46FB1EC8" w14:textId="77777777" w:rsidR="00C30627" w:rsidRDefault="00C30627" w:rsidP="00C30627">
            <w:pPr>
              <w:pStyle w:val="Tabletext"/>
              <w:jc w:val="center"/>
            </w:pPr>
            <w:r w:rsidRPr="00844131">
              <w:t xml:space="preserve"> $147 </w:t>
            </w:r>
          </w:p>
        </w:tc>
      </w:tr>
      <w:tr w:rsidR="00C30627" w14:paraId="27155B8B" w14:textId="77777777">
        <w:trPr>
          <w:cantSplit/>
        </w:trPr>
        <w:tc>
          <w:tcPr>
            <w:tcW w:w="1474" w:type="dxa"/>
            <w:shd w:val="clear" w:color="auto" w:fill="auto"/>
          </w:tcPr>
          <w:p w14:paraId="596997F1" w14:textId="77777777" w:rsidR="00C30627" w:rsidRDefault="00C30627" w:rsidP="00C30627">
            <w:pPr>
              <w:pStyle w:val="Tabletext"/>
              <w:jc w:val="center"/>
            </w:pPr>
            <w:r w:rsidRPr="00D315DD">
              <w:t>10%</w:t>
            </w:r>
          </w:p>
        </w:tc>
        <w:tc>
          <w:tcPr>
            <w:tcW w:w="1474" w:type="dxa"/>
            <w:shd w:val="clear" w:color="auto" w:fill="auto"/>
          </w:tcPr>
          <w:p w14:paraId="42F6E5B9" w14:textId="77777777" w:rsidR="00C30627" w:rsidRDefault="00C30627" w:rsidP="00C30627">
            <w:pPr>
              <w:pStyle w:val="Tabletext"/>
              <w:jc w:val="center"/>
            </w:pPr>
            <w:r w:rsidRPr="00D315DD">
              <w:t>5%</w:t>
            </w:r>
          </w:p>
        </w:tc>
        <w:tc>
          <w:tcPr>
            <w:tcW w:w="1474" w:type="dxa"/>
            <w:shd w:val="clear" w:color="auto" w:fill="auto"/>
          </w:tcPr>
          <w:p w14:paraId="14D7B6A3" w14:textId="77777777" w:rsidR="00C30627" w:rsidRDefault="00C30627" w:rsidP="00C30627">
            <w:pPr>
              <w:pStyle w:val="Tabletext"/>
              <w:jc w:val="center"/>
            </w:pPr>
            <w:r w:rsidRPr="007B5309">
              <w:t>11.9%</w:t>
            </w:r>
          </w:p>
        </w:tc>
        <w:tc>
          <w:tcPr>
            <w:tcW w:w="1475" w:type="dxa"/>
            <w:shd w:val="clear" w:color="auto" w:fill="auto"/>
          </w:tcPr>
          <w:p w14:paraId="3286492F" w14:textId="77777777" w:rsidR="00C30627" w:rsidRDefault="00C30627" w:rsidP="00C30627">
            <w:pPr>
              <w:pStyle w:val="Tabletext"/>
              <w:jc w:val="center"/>
            </w:pPr>
            <w:r w:rsidRPr="00D315DD">
              <w:t>92%</w:t>
            </w:r>
          </w:p>
        </w:tc>
        <w:tc>
          <w:tcPr>
            <w:tcW w:w="1475" w:type="dxa"/>
            <w:shd w:val="clear" w:color="auto" w:fill="auto"/>
          </w:tcPr>
          <w:p w14:paraId="64B24BDD" w14:textId="77777777" w:rsidR="00C30627" w:rsidRDefault="00C30627" w:rsidP="00C30627">
            <w:pPr>
              <w:pStyle w:val="Tabletext"/>
              <w:jc w:val="center"/>
            </w:pPr>
            <w:r w:rsidRPr="00844131">
              <w:t xml:space="preserve"> $135 </w:t>
            </w:r>
          </w:p>
        </w:tc>
      </w:tr>
      <w:tr w:rsidR="00C30627" w14:paraId="0A0085A5" w14:textId="77777777">
        <w:trPr>
          <w:cantSplit/>
        </w:trPr>
        <w:tc>
          <w:tcPr>
            <w:tcW w:w="1474" w:type="dxa"/>
            <w:shd w:val="clear" w:color="auto" w:fill="auto"/>
          </w:tcPr>
          <w:p w14:paraId="79659971" w14:textId="77777777" w:rsidR="00C30627" w:rsidRDefault="00C30627" w:rsidP="00C30627">
            <w:pPr>
              <w:pStyle w:val="Tabletext"/>
              <w:jc w:val="center"/>
            </w:pPr>
            <w:r w:rsidRPr="00D315DD">
              <w:t>20%</w:t>
            </w:r>
          </w:p>
        </w:tc>
        <w:tc>
          <w:tcPr>
            <w:tcW w:w="1474" w:type="dxa"/>
            <w:shd w:val="clear" w:color="auto" w:fill="auto"/>
          </w:tcPr>
          <w:p w14:paraId="49BC7BDC" w14:textId="77777777" w:rsidR="00C30627" w:rsidRDefault="00C30627" w:rsidP="00C30627">
            <w:pPr>
              <w:pStyle w:val="Tabletext"/>
              <w:jc w:val="center"/>
            </w:pPr>
            <w:r w:rsidRPr="00D315DD">
              <w:t>10%</w:t>
            </w:r>
          </w:p>
        </w:tc>
        <w:tc>
          <w:tcPr>
            <w:tcW w:w="1474" w:type="dxa"/>
            <w:shd w:val="clear" w:color="auto" w:fill="auto"/>
          </w:tcPr>
          <w:p w14:paraId="5EE891D8" w14:textId="77777777" w:rsidR="00C30627" w:rsidRDefault="00C30627" w:rsidP="00C30627">
            <w:pPr>
              <w:pStyle w:val="Tabletext"/>
              <w:jc w:val="center"/>
            </w:pPr>
            <w:r w:rsidRPr="007B5309">
              <w:t>11.9%</w:t>
            </w:r>
          </w:p>
        </w:tc>
        <w:tc>
          <w:tcPr>
            <w:tcW w:w="1475" w:type="dxa"/>
            <w:shd w:val="clear" w:color="auto" w:fill="auto"/>
          </w:tcPr>
          <w:p w14:paraId="1B2FED07" w14:textId="77777777" w:rsidR="00C30627" w:rsidRDefault="00C30627" w:rsidP="00C30627">
            <w:pPr>
              <w:pStyle w:val="Tabletext"/>
              <w:jc w:val="center"/>
            </w:pPr>
            <w:r w:rsidRPr="00D315DD">
              <w:t>85%</w:t>
            </w:r>
          </w:p>
        </w:tc>
        <w:tc>
          <w:tcPr>
            <w:tcW w:w="1475" w:type="dxa"/>
            <w:shd w:val="clear" w:color="auto" w:fill="auto"/>
          </w:tcPr>
          <w:p w14:paraId="18A4EC0E" w14:textId="77777777" w:rsidR="00C30627" w:rsidRDefault="00C30627" w:rsidP="00C30627">
            <w:pPr>
              <w:pStyle w:val="Tabletext"/>
              <w:jc w:val="center"/>
            </w:pPr>
            <w:r w:rsidRPr="00844131">
              <w:t xml:space="preserve"> $122 </w:t>
            </w:r>
          </w:p>
        </w:tc>
      </w:tr>
      <w:tr w:rsidR="00C30627" w14:paraId="75C2822C" w14:textId="77777777">
        <w:trPr>
          <w:cantSplit/>
        </w:trPr>
        <w:tc>
          <w:tcPr>
            <w:tcW w:w="1474" w:type="dxa"/>
            <w:shd w:val="clear" w:color="auto" w:fill="auto"/>
          </w:tcPr>
          <w:p w14:paraId="5113B307" w14:textId="77777777" w:rsidR="00C30627" w:rsidRDefault="00C30627" w:rsidP="00C30627">
            <w:pPr>
              <w:pStyle w:val="Tabletext"/>
              <w:jc w:val="center"/>
            </w:pPr>
            <w:r w:rsidRPr="00D315DD">
              <w:t>30%</w:t>
            </w:r>
          </w:p>
        </w:tc>
        <w:tc>
          <w:tcPr>
            <w:tcW w:w="1474" w:type="dxa"/>
            <w:shd w:val="clear" w:color="auto" w:fill="auto"/>
          </w:tcPr>
          <w:p w14:paraId="7BC7F432" w14:textId="77777777" w:rsidR="00C30627" w:rsidRDefault="00C30627" w:rsidP="00C30627">
            <w:pPr>
              <w:pStyle w:val="Tabletext"/>
              <w:jc w:val="center"/>
            </w:pPr>
            <w:r w:rsidRPr="00D315DD">
              <w:t>15%</w:t>
            </w:r>
          </w:p>
        </w:tc>
        <w:tc>
          <w:tcPr>
            <w:tcW w:w="1474" w:type="dxa"/>
            <w:shd w:val="clear" w:color="auto" w:fill="auto"/>
          </w:tcPr>
          <w:p w14:paraId="40F02E81" w14:textId="77777777" w:rsidR="00C30627" w:rsidRDefault="00C30627" w:rsidP="00C30627">
            <w:pPr>
              <w:pStyle w:val="Tabletext"/>
              <w:jc w:val="center"/>
            </w:pPr>
            <w:r w:rsidRPr="007B5309">
              <w:t>11.9%</w:t>
            </w:r>
          </w:p>
        </w:tc>
        <w:tc>
          <w:tcPr>
            <w:tcW w:w="1475" w:type="dxa"/>
            <w:shd w:val="clear" w:color="auto" w:fill="auto"/>
          </w:tcPr>
          <w:p w14:paraId="5934ECF1" w14:textId="77777777" w:rsidR="00C30627" w:rsidRDefault="00C30627" w:rsidP="00C30627">
            <w:pPr>
              <w:pStyle w:val="Tabletext"/>
              <w:jc w:val="center"/>
            </w:pPr>
            <w:r w:rsidRPr="00D315DD">
              <w:t>77%</w:t>
            </w:r>
          </w:p>
        </w:tc>
        <w:tc>
          <w:tcPr>
            <w:tcW w:w="1475" w:type="dxa"/>
            <w:shd w:val="clear" w:color="auto" w:fill="auto"/>
          </w:tcPr>
          <w:p w14:paraId="5E72D0D6" w14:textId="77777777" w:rsidR="00C30627" w:rsidRDefault="00C30627" w:rsidP="00C30627">
            <w:pPr>
              <w:pStyle w:val="Tabletext"/>
              <w:jc w:val="center"/>
            </w:pPr>
            <w:r w:rsidRPr="00844131">
              <w:t xml:space="preserve"> $110 </w:t>
            </w:r>
          </w:p>
        </w:tc>
      </w:tr>
      <w:tr w:rsidR="00C30627" w14:paraId="7D06E620" w14:textId="77777777">
        <w:trPr>
          <w:cantSplit/>
        </w:trPr>
        <w:tc>
          <w:tcPr>
            <w:tcW w:w="1474" w:type="dxa"/>
            <w:shd w:val="clear" w:color="auto" w:fill="auto"/>
          </w:tcPr>
          <w:p w14:paraId="4208C96C" w14:textId="77777777" w:rsidR="00C30627" w:rsidRDefault="00C30627" w:rsidP="00C30627">
            <w:pPr>
              <w:pStyle w:val="Tabletext"/>
              <w:jc w:val="center"/>
            </w:pPr>
            <w:r w:rsidRPr="00D315DD">
              <w:t>40%</w:t>
            </w:r>
          </w:p>
        </w:tc>
        <w:tc>
          <w:tcPr>
            <w:tcW w:w="1474" w:type="dxa"/>
            <w:shd w:val="clear" w:color="auto" w:fill="auto"/>
          </w:tcPr>
          <w:p w14:paraId="6623FC63" w14:textId="77777777" w:rsidR="00C30627" w:rsidRDefault="00C30627" w:rsidP="00C30627">
            <w:pPr>
              <w:pStyle w:val="Tabletext"/>
              <w:jc w:val="center"/>
            </w:pPr>
            <w:r w:rsidRPr="00D315DD">
              <w:t>20%</w:t>
            </w:r>
          </w:p>
        </w:tc>
        <w:tc>
          <w:tcPr>
            <w:tcW w:w="1474" w:type="dxa"/>
            <w:shd w:val="clear" w:color="auto" w:fill="auto"/>
          </w:tcPr>
          <w:p w14:paraId="0D965F19" w14:textId="77777777" w:rsidR="00C30627" w:rsidRDefault="00C30627" w:rsidP="00C30627">
            <w:pPr>
              <w:pStyle w:val="Tabletext"/>
              <w:jc w:val="center"/>
            </w:pPr>
            <w:r w:rsidRPr="007B5309">
              <w:t>11.9%</w:t>
            </w:r>
          </w:p>
        </w:tc>
        <w:tc>
          <w:tcPr>
            <w:tcW w:w="1475" w:type="dxa"/>
            <w:shd w:val="clear" w:color="auto" w:fill="auto"/>
          </w:tcPr>
          <w:p w14:paraId="5CCB0298" w14:textId="77777777" w:rsidR="00C30627" w:rsidRDefault="00C30627" w:rsidP="00C30627">
            <w:pPr>
              <w:pStyle w:val="Tabletext"/>
              <w:jc w:val="center"/>
            </w:pPr>
            <w:r w:rsidRPr="00D315DD">
              <w:t>70%</w:t>
            </w:r>
          </w:p>
        </w:tc>
        <w:tc>
          <w:tcPr>
            <w:tcW w:w="1475" w:type="dxa"/>
            <w:shd w:val="clear" w:color="auto" w:fill="auto"/>
          </w:tcPr>
          <w:p w14:paraId="732F6A1E" w14:textId="77777777" w:rsidR="00C30627" w:rsidRDefault="00C30627" w:rsidP="00C30627">
            <w:pPr>
              <w:pStyle w:val="Tabletext"/>
              <w:jc w:val="center"/>
            </w:pPr>
            <w:r w:rsidRPr="00844131">
              <w:t xml:space="preserve"> $99 </w:t>
            </w:r>
          </w:p>
        </w:tc>
      </w:tr>
      <w:tr w:rsidR="00C30627" w14:paraId="734EFA3C" w14:textId="77777777">
        <w:trPr>
          <w:cantSplit/>
        </w:trPr>
        <w:tc>
          <w:tcPr>
            <w:tcW w:w="1474" w:type="dxa"/>
            <w:shd w:val="clear" w:color="auto" w:fill="auto"/>
          </w:tcPr>
          <w:p w14:paraId="0CB742C1" w14:textId="77777777" w:rsidR="00C30627" w:rsidRDefault="00C30627" w:rsidP="00C30627">
            <w:pPr>
              <w:pStyle w:val="Tabletext"/>
              <w:jc w:val="center"/>
            </w:pPr>
            <w:r w:rsidRPr="00D315DD">
              <w:t>50%</w:t>
            </w:r>
          </w:p>
        </w:tc>
        <w:tc>
          <w:tcPr>
            <w:tcW w:w="1474" w:type="dxa"/>
            <w:shd w:val="clear" w:color="auto" w:fill="auto"/>
          </w:tcPr>
          <w:p w14:paraId="6D889398" w14:textId="77777777" w:rsidR="00C30627" w:rsidRDefault="00C30627" w:rsidP="00C30627">
            <w:pPr>
              <w:pStyle w:val="Tabletext"/>
              <w:jc w:val="center"/>
            </w:pPr>
            <w:r w:rsidRPr="00D315DD">
              <w:t>25%</w:t>
            </w:r>
          </w:p>
        </w:tc>
        <w:tc>
          <w:tcPr>
            <w:tcW w:w="1474" w:type="dxa"/>
            <w:shd w:val="clear" w:color="auto" w:fill="auto"/>
          </w:tcPr>
          <w:p w14:paraId="2B9311E0" w14:textId="77777777" w:rsidR="00C30627" w:rsidRDefault="00C30627" w:rsidP="00C30627">
            <w:pPr>
              <w:pStyle w:val="Tabletext"/>
              <w:jc w:val="center"/>
            </w:pPr>
            <w:r w:rsidRPr="007B5309">
              <w:t>11.9%</w:t>
            </w:r>
          </w:p>
        </w:tc>
        <w:tc>
          <w:tcPr>
            <w:tcW w:w="1475" w:type="dxa"/>
            <w:shd w:val="clear" w:color="auto" w:fill="auto"/>
          </w:tcPr>
          <w:p w14:paraId="44218854" w14:textId="77777777" w:rsidR="00C30627" w:rsidRDefault="00C30627" w:rsidP="00C30627">
            <w:pPr>
              <w:pStyle w:val="Tabletext"/>
              <w:jc w:val="center"/>
            </w:pPr>
            <w:r w:rsidRPr="00D315DD">
              <w:t>62%</w:t>
            </w:r>
          </w:p>
        </w:tc>
        <w:tc>
          <w:tcPr>
            <w:tcW w:w="1475" w:type="dxa"/>
            <w:shd w:val="clear" w:color="auto" w:fill="auto"/>
          </w:tcPr>
          <w:p w14:paraId="5577E312" w14:textId="77777777" w:rsidR="00C30627" w:rsidRDefault="00C30627" w:rsidP="00C30627">
            <w:pPr>
              <w:pStyle w:val="Tabletext"/>
              <w:jc w:val="center"/>
            </w:pPr>
            <w:r w:rsidRPr="00844131">
              <w:t xml:space="preserve"> $87 </w:t>
            </w:r>
          </w:p>
        </w:tc>
      </w:tr>
      <w:tr w:rsidR="00C30627" w14:paraId="06CA99E1" w14:textId="77777777">
        <w:trPr>
          <w:cantSplit/>
        </w:trPr>
        <w:tc>
          <w:tcPr>
            <w:tcW w:w="1474" w:type="dxa"/>
            <w:shd w:val="clear" w:color="auto" w:fill="auto"/>
          </w:tcPr>
          <w:p w14:paraId="37E2C1B0" w14:textId="77777777" w:rsidR="00C30627" w:rsidRDefault="00C30627" w:rsidP="00C30627">
            <w:pPr>
              <w:pStyle w:val="Tabletext"/>
              <w:jc w:val="center"/>
            </w:pPr>
            <w:r w:rsidRPr="00D315DD">
              <w:t>60%</w:t>
            </w:r>
          </w:p>
        </w:tc>
        <w:tc>
          <w:tcPr>
            <w:tcW w:w="1474" w:type="dxa"/>
            <w:shd w:val="clear" w:color="auto" w:fill="auto"/>
          </w:tcPr>
          <w:p w14:paraId="112D5A60" w14:textId="77777777" w:rsidR="00C30627" w:rsidRDefault="00C30627" w:rsidP="00C30627">
            <w:pPr>
              <w:pStyle w:val="Tabletext"/>
              <w:jc w:val="center"/>
            </w:pPr>
            <w:r w:rsidRPr="00D315DD">
              <w:t>30%</w:t>
            </w:r>
          </w:p>
        </w:tc>
        <w:tc>
          <w:tcPr>
            <w:tcW w:w="1474" w:type="dxa"/>
            <w:shd w:val="clear" w:color="auto" w:fill="auto"/>
          </w:tcPr>
          <w:p w14:paraId="13F0DBC3" w14:textId="77777777" w:rsidR="00C30627" w:rsidRDefault="00C30627" w:rsidP="00C30627">
            <w:pPr>
              <w:pStyle w:val="Tabletext"/>
              <w:jc w:val="center"/>
            </w:pPr>
            <w:r w:rsidRPr="007B5309">
              <w:t>11.9%</w:t>
            </w:r>
          </w:p>
        </w:tc>
        <w:tc>
          <w:tcPr>
            <w:tcW w:w="1475" w:type="dxa"/>
            <w:shd w:val="clear" w:color="auto" w:fill="auto"/>
          </w:tcPr>
          <w:p w14:paraId="1A2B74E0" w14:textId="77777777" w:rsidR="00C30627" w:rsidRDefault="00C30627" w:rsidP="00C30627">
            <w:pPr>
              <w:pStyle w:val="Tabletext"/>
              <w:jc w:val="center"/>
            </w:pPr>
            <w:r w:rsidRPr="00D315DD">
              <w:t>55%</w:t>
            </w:r>
          </w:p>
        </w:tc>
        <w:tc>
          <w:tcPr>
            <w:tcW w:w="1475" w:type="dxa"/>
            <w:shd w:val="clear" w:color="auto" w:fill="auto"/>
          </w:tcPr>
          <w:p w14:paraId="102F6F39" w14:textId="77777777" w:rsidR="00C30627" w:rsidRDefault="00C30627" w:rsidP="00C30627">
            <w:pPr>
              <w:pStyle w:val="Tabletext"/>
              <w:jc w:val="center"/>
            </w:pPr>
            <w:r w:rsidRPr="00844131">
              <w:t xml:space="preserve"> $76 </w:t>
            </w:r>
          </w:p>
        </w:tc>
      </w:tr>
      <w:tr w:rsidR="00C30627" w14:paraId="126377C1" w14:textId="77777777">
        <w:trPr>
          <w:cantSplit/>
        </w:trPr>
        <w:tc>
          <w:tcPr>
            <w:tcW w:w="1474" w:type="dxa"/>
            <w:shd w:val="clear" w:color="auto" w:fill="auto"/>
          </w:tcPr>
          <w:p w14:paraId="257DFABF" w14:textId="77777777" w:rsidR="00C30627" w:rsidRDefault="00C30627" w:rsidP="00C30627">
            <w:pPr>
              <w:pStyle w:val="Tabletext"/>
              <w:jc w:val="center"/>
            </w:pPr>
            <w:r w:rsidRPr="00D315DD">
              <w:t>70%</w:t>
            </w:r>
          </w:p>
        </w:tc>
        <w:tc>
          <w:tcPr>
            <w:tcW w:w="1474" w:type="dxa"/>
            <w:shd w:val="clear" w:color="auto" w:fill="auto"/>
          </w:tcPr>
          <w:p w14:paraId="6D093917" w14:textId="77777777" w:rsidR="00C30627" w:rsidRDefault="00C30627" w:rsidP="00C30627">
            <w:pPr>
              <w:pStyle w:val="Tabletext"/>
              <w:jc w:val="center"/>
            </w:pPr>
            <w:r w:rsidRPr="00D315DD">
              <w:t>35%</w:t>
            </w:r>
          </w:p>
        </w:tc>
        <w:tc>
          <w:tcPr>
            <w:tcW w:w="1474" w:type="dxa"/>
            <w:shd w:val="clear" w:color="auto" w:fill="auto"/>
          </w:tcPr>
          <w:p w14:paraId="15E0210B" w14:textId="77777777" w:rsidR="00C30627" w:rsidRDefault="00C30627" w:rsidP="00C30627">
            <w:pPr>
              <w:pStyle w:val="Tabletext"/>
              <w:jc w:val="center"/>
            </w:pPr>
            <w:r w:rsidRPr="007B5309">
              <w:t>11.9%</w:t>
            </w:r>
          </w:p>
        </w:tc>
        <w:tc>
          <w:tcPr>
            <w:tcW w:w="1475" w:type="dxa"/>
            <w:shd w:val="clear" w:color="auto" w:fill="auto"/>
          </w:tcPr>
          <w:p w14:paraId="526055DF" w14:textId="77777777" w:rsidR="00C30627" w:rsidRDefault="00C30627" w:rsidP="00C30627">
            <w:pPr>
              <w:pStyle w:val="Tabletext"/>
              <w:jc w:val="center"/>
            </w:pPr>
            <w:r w:rsidRPr="00D315DD">
              <w:t>48%</w:t>
            </w:r>
          </w:p>
        </w:tc>
        <w:tc>
          <w:tcPr>
            <w:tcW w:w="1475" w:type="dxa"/>
            <w:shd w:val="clear" w:color="auto" w:fill="auto"/>
          </w:tcPr>
          <w:p w14:paraId="54CB32AA" w14:textId="77777777" w:rsidR="00C30627" w:rsidRDefault="00C30627" w:rsidP="00C30627">
            <w:pPr>
              <w:pStyle w:val="Tabletext"/>
              <w:jc w:val="center"/>
            </w:pPr>
            <w:r w:rsidRPr="00844131">
              <w:t xml:space="preserve"> $64 </w:t>
            </w:r>
          </w:p>
        </w:tc>
      </w:tr>
      <w:tr w:rsidR="00C30627" w14:paraId="79C11023" w14:textId="77777777">
        <w:trPr>
          <w:cantSplit/>
        </w:trPr>
        <w:tc>
          <w:tcPr>
            <w:tcW w:w="1474" w:type="dxa"/>
            <w:tcBorders>
              <w:bottom w:val="single" w:sz="2" w:space="0" w:color="C0C0C0"/>
            </w:tcBorders>
            <w:shd w:val="clear" w:color="auto" w:fill="DBDBDB" w:themeFill="accent3" w:themeFillTint="66"/>
          </w:tcPr>
          <w:p w14:paraId="0CF5F258" w14:textId="77777777" w:rsidR="00C30627" w:rsidRPr="00487E6D" w:rsidRDefault="00C30627" w:rsidP="00C30627">
            <w:pPr>
              <w:pStyle w:val="Tabletext"/>
              <w:jc w:val="center"/>
              <w:rPr>
                <w:b/>
                <w:highlight w:val="lightGray"/>
              </w:rPr>
            </w:pPr>
            <w:r w:rsidRPr="00487E6D">
              <w:rPr>
                <w:b/>
                <w:highlight w:val="lightGray"/>
              </w:rPr>
              <w:t>80%</w:t>
            </w:r>
          </w:p>
        </w:tc>
        <w:tc>
          <w:tcPr>
            <w:tcW w:w="1474" w:type="dxa"/>
            <w:tcBorders>
              <w:bottom w:val="single" w:sz="2" w:space="0" w:color="C0C0C0"/>
            </w:tcBorders>
            <w:shd w:val="clear" w:color="auto" w:fill="DBDBDB" w:themeFill="accent3" w:themeFillTint="66"/>
          </w:tcPr>
          <w:p w14:paraId="525EDB88" w14:textId="77777777" w:rsidR="00C30627" w:rsidRPr="00487E6D" w:rsidRDefault="00C30627" w:rsidP="00C30627">
            <w:pPr>
              <w:pStyle w:val="Tabletext"/>
              <w:jc w:val="center"/>
              <w:rPr>
                <w:b/>
                <w:highlight w:val="lightGray"/>
              </w:rPr>
            </w:pPr>
            <w:r w:rsidRPr="00487E6D">
              <w:rPr>
                <w:b/>
                <w:highlight w:val="lightGray"/>
              </w:rPr>
              <w:t>40%</w:t>
            </w:r>
          </w:p>
        </w:tc>
        <w:tc>
          <w:tcPr>
            <w:tcW w:w="1474" w:type="dxa"/>
            <w:tcBorders>
              <w:bottom w:val="single" w:sz="2" w:space="0" w:color="C0C0C0"/>
            </w:tcBorders>
            <w:shd w:val="clear" w:color="auto" w:fill="DBDBDB" w:themeFill="accent3" w:themeFillTint="66"/>
          </w:tcPr>
          <w:p w14:paraId="1C18C7C6" w14:textId="77777777" w:rsidR="00C30627" w:rsidRPr="00C30627" w:rsidRDefault="00C30627" w:rsidP="00C30627">
            <w:pPr>
              <w:pStyle w:val="Tabletext"/>
              <w:jc w:val="center"/>
              <w:rPr>
                <w:b/>
                <w:highlight w:val="lightGray"/>
              </w:rPr>
            </w:pPr>
            <w:r w:rsidRPr="00C30627">
              <w:rPr>
                <w:b/>
                <w:highlight w:val="lightGray"/>
              </w:rPr>
              <w:t>11.9%</w:t>
            </w:r>
          </w:p>
        </w:tc>
        <w:tc>
          <w:tcPr>
            <w:tcW w:w="1475" w:type="dxa"/>
            <w:tcBorders>
              <w:bottom w:val="single" w:sz="2" w:space="0" w:color="C0C0C0"/>
            </w:tcBorders>
            <w:shd w:val="clear" w:color="auto" w:fill="DBDBDB" w:themeFill="accent3" w:themeFillTint="66"/>
          </w:tcPr>
          <w:p w14:paraId="7DB4C8D3" w14:textId="77777777" w:rsidR="00C30627" w:rsidRPr="00487E6D" w:rsidRDefault="00C30627" w:rsidP="00C30627">
            <w:pPr>
              <w:pStyle w:val="Tabletext"/>
              <w:jc w:val="center"/>
              <w:rPr>
                <w:b/>
                <w:highlight w:val="lightGray"/>
              </w:rPr>
            </w:pPr>
            <w:r w:rsidRPr="00487E6D">
              <w:rPr>
                <w:b/>
                <w:highlight w:val="lightGray"/>
              </w:rPr>
              <w:t>41%</w:t>
            </w:r>
          </w:p>
        </w:tc>
        <w:tc>
          <w:tcPr>
            <w:tcW w:w="1475" w:type="dxa"/>
            <w:tcBorders>
              <w:bottom w:val="single" w:sz="2" w:space="0" w:color="C0C0C0"/>
            </w:tcBorders>
            <w:shd w:val="clear" w:color="auto" w:fill="DBDBDB" w:themeFill="accent3" w:themeFillTint="66"/>
          </w:tcPr>
          <w:p w14:paraId="1B8934F3" w14:textId="77777777" w:rsidR="00C30627" w:rsidRPr="00C30627" w:rsidRDefault="00C30627" w:rsidP="00C30627">
            <w:pPr>
              <w:pStyle w:val="Tabletext"/>
              <w:jc w:val="center"/>
              <w:rPr>
                <w:b/>
                <w:highlight w:val="lightGray"/>
              </w:rPr>
            </w:pPr>
            <w:r w:rsidRPr="00C30627">
              <w:rPr>
                <w:b/>
              </w:rPr>
              <w:t xml:space="preserve"> </w:t>
            </w:r>
            <w:r w:rsidRPr="00C30627">
              <w:rPr>
                <w:b/>
                <w:highlight w:val="lightGray"/>
              </w:rPr>
              <w:t>$53</w:t>
            </w:r>
            <w:r w:rsidRPr="00C30627">
              <w:rPr>
                <w:b/>
              </w:rPr>
              <w:t xml:space="preserve"> </w:t>
            </w:r>
          </w:p>
        </w:tc>
      </w:tr>
      <w:tr w:rsidR="00C30627" w14:paraId="7681E06E" w14:textId="77777777">
        <w:trPr>
          <w:cantSplit/>
        </w:trPr>
        <w:tc>
          <w:tcPr>
            <w:tcW w:w="1474" w:type="dxa"/>
            <w:tcBorders>
              <w:top w:val="single" w:sz="2" w:space="0" w:color="C0C0C0"/>
              <w:bottom w:val="single" w:sz="2" w:space="0" w:color="C0C0C0"/>
            </w:tcBorders>
            <w:shd w:val="clear" w:color="auto" w:fill="auto"/>
          </w:tcPr>
          <w:p w14:paraId="7E9501F3" w14:textId="77777777" w:rsidR="00C30627" w:rsidRPr="00487E6D" w:rsidRDefault="00C30627" w:rsidP="00C30627">
            <w:pPr>
              <w:pStyle w:val="Tabletext"/>
              <w:jc w:val="center"/>
              <w:rPr>
                <w:rStyle w:val="Notelabel"/>
                <w:sz w:val="24"/>
              </w:rPr>
            </w:pPr>
            <w:r w:rsidRPr="00D315DD">
              <w:t>90%</w:t>
            </w:r>
          </w:p>
        </w:tc>
        <w:tc>
          <w:tcPr>
            <w:tcW w:w="1474" w:type="dxa"/>
            <w:tcBorders>
              <w:top w:val="single" w:sz="2" w:space="0" w:color="C0C0C0"/>
              <w:bottom w:val="single" w:sz="2" w:space="0" w:color="C0C0C0"/>
            </w:tcBorders>
            <w:shd w:val="clear" w:color="auto" w:fill="auto"/>
          </w:tcPr>
          <w:p w14:paraId="3578D591" w14:textId="77777777" w:rsidR="00C30627" w:rsidRDefault="00C30627" w:rsidP="00C30627">
            <w:pPr>
              <w:pStyle w:val="Tabletext"/>
              <w:jc w:val="center"/>
            </w:pPr>
            <w:r w:rsidRPr="00D315DD">
              <w:t>45%</w:t>
            </w:r>
          </w:p>
        </w:tc>
        <w:tc>
          <w:tcPr>
            <w:tcW w:w="1474" w:type="dxa"/>
            <w:tcBorders>
              <w:top w:val="single" w:sz="2" w:space="0" w:color="C0C0C0"/>
              <w:bottom w:val="single" w:sz="2" w:space="0" w:color="C0C0C0"/>
            </w:tcBorders>
            <w:shd w:val="clear" w:color="auto" w:fill="auto"/>
          </w:tcPr>
          <w:p w14:paraId="77A5F31D" w14:textId="77777777" w:rsidR="00C30627" w:rsidRDefault="00C30627" w:rsidP="00C30627">
            <w:pPr>
              <w:pStyle w:val="Tabletext"/>
              <w:jc w:val="center"/>
            </w:pPr>
            <w:r w:rsidRPr="007B5309">
              <w:t>11.9%</w:t>
            </w:r>
          </w:p>
        </w:tc>
        <w:tc>
          <w:tcPr>
            <w:tcW w:w="1475" w:type="dxa"/>
            <w:tcBorders>
              <w:top w:val="single" w:sz="2" w:space="0" w:color="C0C0C0"/>
              <w:bottom w:val="single" w:sz="2" w:space="0" w:color="C0C0C0"/>
            </w:tcBorders>
            <w:shd w:val="clear" w:color="auto" w:fill="auto"/>
          </w:tcPr>
          <w:p w14:paraId="346C9EC4" w14:textId="77777777" w:rsidR="00C30627" w:rsidRDefault="00C30627" w:rsidP="00C30627">
            <w:pPr>
              <w:pStyle w:val="Tabletext"/>
              <w:jc w:val="center"/>
            </w:pPr>
            <w:r w:rsidRPr="00D315DD">
              <w:t>35%</w:t>
            </w:r>
          </w:p>
        </w:tc>
        <w:tc>
          <w:tcPr>
            <w:tcW w:w="1475" w:type="dxa"/>
            <w:tcBorders>
              <w:top w:val="single" w:sz="2" w:space="0" w:color="C0C0C0"/>
              <w:bottom w:val="single" w:sz="2" w:space="0" w:color="C0C0C0"/>
            </w:tcBorders>
            <w:shd w:val="clear" w:color="auto" w:fill="auto"/>
          </w:tcPr>
          <w:p w14:paraId="4613892A" w14:textId="77777777" w:rsidR="00C30627" w:rsidRDefault="00C30627" w:rsidP="00C30627">
            <w:pPr>
              <w:pStyle w:val="Tabletext"/>
              <w:jc w:val="center"/>
            </w:pPr>
            <w:r w:rsidRPr="00844131">
              <w:t xml:space="preserve"> $42 </w:t>
            </w:r>
          </w:p>
        </w:tc>
      </w:tr>
      <w:tr w:rsidR="00C30627" w14:paraId="5C2C8855" w14:textId="77777777">
        <w:trPr>
          <w:cantSplit/>
        </w:trPr>
        <w:tc>
          <w:tcPr>
            <w:tcW w:w="1474" w:type="dxa"/>
            <w:tcBorders>
              <w:top w:val="single" w:sz="2" w:space="0" w:color="C0C0C0"/>
              <w:bottom w:val="single" w:sz="2" w:space="0" w:color="999999"/>
            </w:tcBorders>
            <w:shd w:val="clear" w:color="auto" w:fill="auto"/>
          </w:tcPr>
          <w:p w14:paraId="6F8BC36F" w14:textId="77777777" w:rsidR="00C30627" w:rsidRPr="00D315DD" w:rsidRDefault="00C30627" w:rsidP="00C30627">
            <w:pPr>
              <w:pStyle w:val="Tabletext"/>
              <w:jc w:val="center"/>
            </w:pPr>
            <w:r>
              <w:t>100%</w:t>
            </w:r>
          </w:p>
        </w:tc>
        <w:tc>
          <w:tcPr>
            <w:tcW w:w="1474" w:type="dxa"/>
            <w:tcBorders>
              <w:top w:val="single" w:sz="2" w:space="0" w:color="C0C0C0"/>
              <w:bottom w:val="single" w:sz="2" w:space="0" w:color="999999"/>
            </w:tcBorders>
            <w:shd w:val="clear" w:color="auto" w:fill="auto"/>
          </w:tcPr>
          <w:p w14:paraId="5FD573AE" w14:textId="77777777" w:rsidR="00C30627" w:rsidRPr="00D315DD" w:rsidRDefault="00C30627" w:rsidP="00C30627">
            <w:pPr>
              <w:pStyle w:val="Tabletext"/>
              <w:jc w:val="center"/>
            </w:pPr>
            <w:r>
              <w:t>50%</w:t>
            </w:r>
          </w:p>
        </w:tc>
        <w:tc>
          <w:tcPr>
            <w:tcW w:w="1474" w:type="dxa"/>
            <w:tcBorders>
              <w:top w:val="single" w:sz="2" w:space="0" w:color="C0C0C0"/>
              <w:bottom w:val="single" w:sz="2" w:space="0" w:color="999999"/>
            </w:tcBorders>
            <w:shd w:val="clear" w:color="auto" w:fill="auto"/>
          </w:tcPr>
          <w:p w14:paraId="1AC3CBE1" w14:textId="77777777" w:rsidR="00C30627" w:rsidRPr="00D315DD" w:rsidRDefault="00C30627" w:rsidP="00C30627">
            <w:pPr>
              <w:pStyle w:val="Tabletext"/>
              <w:jc w:val="center"/>
            </w:pPr>
            <w:r w:rsidRPr="007B5309">
              <w:t>11.9%</w:t>
            </w:r>
          </w:p>
        </w:tc>
        <w:tc>
          <w:tcPr>
            <w:tcW w:w="1475" w:type="dxa"/>
            <w:tcBorders>
              <w:top w:val="single" w:sz="2" w:space="0" w:color="C0C0C0"/>
              <w:bottom w:val="single" w:sz="2" w:space="0" w:color="999999"/>
            </w:tcBorders>
            <w:shd w:val="clear" w:color="auto" w:fill="auto"/>
          </w:tcPr>
          <w:p w14:paraId="64713F44" w14:textId="77777777" w:rsidR="00C30627" w:rsidRPr="00D315DD" w:rsidRDefault="00C30627" w:rsidP="00C30627">
            <w:pPr>
              <w:pStyle w:val="Tabletext"/>
              <w:jc w:val="center"/>
            </w:pPr>
            <w:r>
              <w:t>28%</w:t>
            </w:r>
          </w:p>
        </w:tc>
        <w:tc>
          <w:tcPr>
            <w:tcW w:w="1475" w:type="dxa"/>
            <w:tcBorders>
              <w:top w:val="single" w:sz="2" w:space="0" w:color="C0C0C0"/>
              <w:bottom w:val="single" w:sz="2" w:space="0" w:color="999999"/>
            </w:tcBorders>
            <w:shd w:val="clear" w:color="auto" w:fill="auto"/>
          </w:tcPr>
          <w:p w14:paraId="67950D4F" w14:textId="77777777" w:rsidR="00C30627" w:rsidRPr="00D315DD" w:rsidRDefault="00C30627" w:rsidP="00C30627">
            <w:pPr>
              <w:pStyle w:val="Tabletext"/>
              <w:jc w:val="center"/>
            </w:pPr>
            <w:r w:rsidRPr="00844131">
              <w:t xml:space="preserve"> $32 </w:t>
            </w:r>
          </w:p>
        </w:tc>
      </w:tr>
    </w:tbl>
    <w:p w14:paraId="33770FA7" w14:textId="77777777" w:rsidR="00627505" w:rsidRDefault="00627505" w:rsidP="00627505">
      <w:pPr>
        <w:pStyle w:val="Note"/>
        <w:rPr>
          <w:b/>
        </w:rPr>
      </w:pPr>
      <w:r w:rsidRPr="00487E6D">
        <w:rPr>
          <w:i/>
        </w:rPr>
        <w:t>Note:</w:t>
      </w:r>
      <w:r w:rsidRPr="003E28D9">
        <w:t xml:space="preserve"> </w:t>
      </w:r>
      <w:r>
        <w:t xml:space="preserve">Base assumptions highlighted in </w:t>
      </w:r>
      <w:r w:rsidRPr="00487E6D">
        <w:rPr>
          <w:b/>
          <w:highlight w:val="lightGray"/>
        </w:rPr>
        <w:t>grey</w:t>
      </w:r>
      <w:r w:rsidR="00FF71DA">
        <w:rPr>
          <w:b/>
        </w:rPr>
        <w:t>.</w:t>
      </w:r>
    </w:p>
    <w:p w14:paraId="79A04D49" w14:textId="77777777" w:rsidR="00ED6DB1" w:rsidRPr="00B85543" w:rsidRDefault="00ED6DB1" w:rsidP="00F71862">
      <w:pPr>
        <w:pStyle w:val="Source"/>
      </w:pPr>
      <w:r>
        <w:t>Source</w:t>
      </w:r>
      <w:r w:rsidRPr="00B85543">
        <w:t xml:space="preserve">: </w:t>
      </w:r>
      <w:r w:rsidR="00307636">
        <w:t>ACIL Allen</w:t>
      </w:r>
    </w:p>
    <w:p w14:paraId="15C1DEA3" w14:textId="77777777" w:rsidR="00ED6DB1" w:rsidRPr="00ED6DB1" w:rsidRDefault="00ED6DB1" w:rsidP="00ED6DB1">
      <w:pPr>
        <w:pStyle w:val="BodyText"/>
        <w:rPr>
          <w:lang w:eastAsia="en-US"/>
        </w:rPr>
      </w:pPr>
    </w:p>
    <w:p w14:paraId="4986C318" w14:textId="77777777" w:rsidR="00627505" w:rsidRPr="00487E6D" w:rsidRDefault="00627505" w:rsidP="00627505">
      <w:pPr>
        <w:pStyle w:val="BodyText"/>
        <w:rPr>
          <w:lang w:eastAsia="en-US"/>
        </w:rPr>
      </w:pPr>
      <w:r>
        <w:rPr>
          <w:lang w:eastAsia="en-US"/>
        </w:rPr>
        <w:t xml:space="preserve">If it is assumed that base building energy performance of the total mandatory rateable area would </w:t>
      </w:r>
      <w:r w:rsidR="003F27DB">
        <w:rPr>
          <w:lang w:eastAsia="en-US"/>
        </w:rPr>
        <w:t xml:space="preserve">completely </w:t>
      </w:r>
      <w:r>
        <w:rPr>
          <w:lang w:eastAsia="en-US"/>
        </w:rPr>
        <w:t xml:space="preserve">stagnate if the scheme is discontinued, the </w:t>
      </w:r>
      <w:r w:rsidR="00FA0376">
        <w:rPr>
          <w:lang w:eastAsia="en-US"/>
        </w:rPr>
        <w:t xml:space="preserve">NPV of </w:t>
      </w:r>
      <w:r>
        <w:rPr>
          <w:lang w:eastAsia="en-US"/>
        </w:rPr>
        <w:t>ret</w:t>
      </w:r>
      <w:r w:rsidR="00FA0376">
        <w:rPr>
          <w:lang w:eastAsia="en-US"/>
        </w:rPr>
        <w:t xml:space="preserve">aining </w:t>
      </w:r>
      <w:r>
        <w:rPr>
          <w:lang w:eastAsia="en-US"/>
        </w:rPr>
        <w:t xml:space="preserve">the NABERS component is estimated to </w:t>
      </w:r>
      <w:r w:rsidRPr="00746840">
        <w:rPr>
          <w:lang w:eastAsia="en-US"/>
        </w:rPr>
        <w:t xml:space="preserve">be </w:t>
      </w:r>
      <w:r w:rsidRPr="003F5F13">
        <w:rPr>
          <w:lang w:eastAsia="en-US"/>
        </w:rPr>
        <w:t>$14</w:t>
      </w:r>
      <w:r w:rsidR="00307636" w:rsidRPr="003F5F13">
        <w:rPr>
          <w:lang w:eastAsia="en-US"/>
        </w:rPr>
        <w:t>7</w:t>
      </w:r>
      <w:r w:rsidRPr="003F5F13">
        <w:rPr>
          <w:lang w:eastAsia="en-US"/>
        </w:rPr>
        <w:t>m</w:t>
      </w:r>
      <w:r w:rsidRPr="00746840">
        <w:rPr>
          <w:lang w:eastAsia="en-US"/>
        </w:rPr>
        <w:t xml:space="preserve"> (the</w:t>
      </w:r>
      <w:r>
        <w:rPr>
          <w:lang w:eastAsia="en-US"/>
        </w:rPr>
        <w:t xml:space="preserve"> ‘total benefit’ estimate described above).</w:t>
      </w:r>
    </w:p>
    <w:p w14:paraId="51F74C2E" w14:textId="77777777" w:rsidR="00627505" w:rsidRDefault="00627505" w:rsidP="00627505">
      <w:pPr>
        <w:pStyle w:val="BodyText"/>
      </w:pPr>
      <w:r>
        <w:t>It is likely that some retention of improvements would occur in the case where the scheme is discontinued, although it is highly unlikely to be more than indicated by the upper end of above range (</w:t>
      </w:r>
      <w:r w:rsidR="003F27DB">
        <w:t>that is,</w:t>
      </w:r>
      <w:r>
        <w:t xml:space="preserve"> 100</w:t>
      </w:r>
      <w:r w:rsidR="003F27DB">
        <w:t xml:space="preserve"> per cent</w:t>
      </w:r>
      <w:r>
        <w:t xml:space="preserve"> retention for mandatory 1</w:t>
      </w:r>
      <w:r w:rsidRPr="00487E6D">
        <w:rPr>
          <w:vertAlign w:val="superscript"/>
        </w:rPr>
        <w:t>st</w:t>
      </w:r>
      <w:r>
        <w:t xml:space="preserve"> quartile and 50</w:t>
      </w:r>
      <w:r w:rsidR="003F27DB">
        <w:t xml:space="preserve"> per cent</w:t>
      </w:r>
      <w:r>
        <w:t xml:space="preserve"> for</w:t>
      </w:r>
      <w:r w:rsidR="003F27DB">
        <w:t xml:space="preserve"> the remaining</w:t>
      </w:r>
      <w:r>
        <w:t xml:space="preserve"> mandatory quartiles).</w:t>
      </w:r>
    </w:p>
    <w:p w14:paraId="17326019" w14:textId="77777777" w:rsidR="00627505" w:rsidRDefault="00627505" w:rsidP="00627505">
      <w:pPr>
        <w:pStyle w:val="Heading4"/>
        <w:numPr>
          <w:ilvl w:val="3"/>
          <w:numId w:val="20"/>
        </w:numPr>
      </w:pPr>
      <w:r>
        <w:t>Sensitivity to benefits of energy efficiency and total floor space</w:t>
      </w:r>
    </w:p>
    <w:p w14:paraId="029D5B54" w14:textId="77777777" w:rsidR="00627505" w:rsidRDefault="00627505" w:rsidP="00627505">
      <w:pPr>
        <w:pStyle w:val="BodyText"/>
      </w:pPr>
      <w:r>
        <w:t>As with the backward</w:t>
      </w:r>
      <w:r w:rsidR="00060766">
        <w:t>-</w:t>
      </w:r>
      <w:r>
        <w:t xml:space="preserve">looking analysis, the economic </w:t>
      </w:r>
      <w:r w:rsidR="00B379DF">
        <w:t>pay-off</w:t>
      </w:r>
      <w:r>
        <w:t xml:space="preserve"> from </w:t>
      </w:r>
      <w:r w:rsidR="00D406F8">
        <w:t xml:space="preserve">energy </w:t>
      </w:r>
      <w:r>
        <w:t>efficiency upgrades and the assumed volume of yet</w:t>
      </w:r>
      <w:r w:rsidR="00060766">
        <w:t>-</w:t>
      </w:r>
      <w:r>
        <w:t>to</w:t>
      </w:r>
      <w:r w:rsidR="00060766">
        <w:t>-</w:t>
      </w:r>
      <w:r>
        <w:t>rate floor space are uncertain variables and materially affect the estimate of net benefits.</w:t>
      </w:r>
    </w:p>
    <w:p w14:paraId="69C55A7D" w14:textId="77777777" w:rsidR="00FA46AB" w:rsidRDefault="00627505" w:rsidP="00627505">
      <w:pPr>
        <w:pStyle w:val="BodyText"/>
      </w:pPr>
      <w:r>
        <w:t>Therefore</w:t>
      </w:r>
      <w:r w:rsidR="009878DB">
        <w:t xml:space="preserve"> </w:t>
      </w:r>
      <w:r>
        <w:t xml:space="preserve">sensitivity analysis </w:t>
      </w:r>
      <w:r w:rsidR="00B537F2">
        <w:t xml:space="preserve">was </w:t>
      </w:r>
      <w:r w:rsidR="00FA46AB">
        <w:t xml:space="preserve">again </w:t>
      </w:r>
      <w:r w:rsidR="00B537F2">
        <w:t>carried out</w:t>
      </w:r>
      <w:r>
        <w:t xml:space="preserve"> using threshold analysis</w:t>
      </w:r>
      <w:r w:rsidR="00FA46AB">
        <w:t xml:space="preserve"> (see </w:t>
      </w:r>
      <w:r w:rsidR="00492194">
        <w:fldChar w:fldCharType="begin"/>
      </w:r>
      <w:r w:rsidR="00FA46AB">
        <w:instrText xml:space="preserve"> REF _Ref414005273 \h </w:instrText>
      </w:r>
      <w:r w:rsidR="00492194">
        <w:fldChar w:fldCharType="separate"/>
      </w:r>
      <w:r w:rsidR="006A273E" w:rsidRPr="00D26202">
        <w:t>Box</w:t>
      </w:r>
      <w:r w:rsidR="006A273E">
        <w:t xml:space="preserve"> </w:t>
      </w:r>
      <w:r w:rsidR="006A273E">
        <w:rPr>
          <w:noProof/>
        </w:rPr>
        <w:t>3</w:t>
      </w:r>
      <w:r w:rsidR="00492194">
        <w:fldChar w:fldCharType="end"/>
      </w:r>
      <w:r w:rsidR="00FA46AB">
        <w:t>)</w:t>
      </w:r>
      <w:r>
        <w:t xml:space="preserve"> to find the boundary conditions for the set of two assumptions for which the policy is expected to be economic</w:t>
      </w:r>
      <w:r w:rsidR="000A50BF">
        <w:t>.</w:t>
      </w:r>
    </w:p>
    <w:p w14:paraId="532D575C" w14:textId="77777777" w:rsidR="00627505" w:rsidRDefault="00627505" w:rsidP="00627505">
      <w:pPr>
        <w:pStyle w:val="BodyText"/>
      </w:pPr>
      <w:r>
        <w:t xml:space="preserve">The </w:t>
      </w:r>
      <w:r w:rsidR="00FA46AB">
        <w:t xml:space="preserve">base settings for the </w:t>
      </w:r>
      <w:r>
        <w:t>threshold analysis:</w:t>
      </w:r>
    </w:p>
    <w:p w14:paraId="0D7D4F20" w14:textId="77777777" w:rsidR="00627505" w:rsidRDefault="00746840" w:rsidP="00627505">
      <w:pPr>
        <w:pStyle w:val="ListDash"/>
      </w:pPr>
      <w:r>
        <w:t>a</w:t>
      </w:r>
      <w:r w:rsidR="00FA46AB">
        <w:t xml:space="preserve">ssume </w:t>
      </w:r>
      <w:r w:rsidR="00060766">
        <w:t>a</w:t>
      </w:r>
      <w:r w:rsidR="00627505">
        <w:t xml:space="preserve"> counterfactual where 80</w:t>
      </w:r>
      <w:r w:rsidR="00060766">
        <w:t xml:space="preserve"> per cent</w:t>
      </w:r>
      <w:r w:rsidR="00627505">
        <w:t xml:space="preserve"> of trend improvement is retained by the 1</w:t>
      </w:r>
      <w:r w:rsidR="00627505" w:rsidRPr="00487E6D">
        <w:rPr>
          <w:vertAlign w:val="superscript"/>
        </w:rPr>
        <w:t>st</w:t>
      </w:r>
      <w:r w:rsidR="00627505">
        <w:t xml:space="preserve"> quartile of mandatory </w:t>
      </w:r>
      <w:proofErr w:type="spellStart"/>
      <w:r w:rsidR="00627505">
        <w:t>raters</w:t>
      </w:r>
      <w:proofErr w:type="spellEnd"/>
      <w:r w:rsidR="00627505">
        <w:t xml:space="preserve"> and a corresponding 40</w:t>
      </w:r>
      <w:r w:rsidR="00060766">
        <w:t xml:space="preserve"> per cent</w:t>
      </w:r>
      <w:r w:rsidR="00627505">
        <w:t xml:space="preserve"> is retained by 2</w:t>
      </w:r>
      <w:r w:rsidR="00627505" w:rsidRPr="00487E6D">
        <w:rPr>
          <w:vertAlign w:val="superscript"/>
        </w:rPr>
        <w:t>nd</w:t>
      </w:r>
      <w:r w:rsidR="00627505">
        <w:t xml:space="preserve"> to 4</w:t>
      </w:r>
      <w:r w:rsidR="00627505" w:rsidRPr="00487E6D">
        <w:rPr>
          <w:vertAlign w:val="superscript"/>
        </w:rPr>
        <w:t>th</w:t>
      </w:r>
      <w:r w:rsidR="00060766">
        <w:t xml:space="preserve"> quartile of mandatory </w:t>
      </w:r>
      <w:proofErr w:type="spellStart"/>
      <w:r w:rsidR="00060766">
        <w:t>raters</w:t>
      </w:r>
      <w:proofErr w:type="spellEnd"/>
    </w:p>
    <w:p w14:paraId="1B5124EA" w14:textId="77777777" w:rsidR="00627505" w:rsidRDefault="00FA46AB" w:rsidP="00627505">
      <w:pPr>
        <w:pStyle w:val="ListDash"/>
      </w:pPr>
      <w:r>
        <w:t xml:space="preserve">exclude </w:t>
      </w:r>
      <w:r w:rsidR="00627505">
        <w:t>any econom</w:t>
      </w:r>
      <w:r w:rsidR="00060766">
        <w:t>ic value for GHG reductions</w:t>
      </w:r>
    </w:p>
    <w:p w14:paraId="1301F7E2" w14:textId="77777777" w:rsidR="00627505" w:rsidRDefault="00FA46AB" w:rsidP="00627505">
      <w:pPr>
        <w:pStyle w:val="ListDash"/>
      </w:pPr>
      <w:r>
        <w:t xml:space="preserve">exclude </w:t>
      </w:r>
      <w:r w:rsidR="00627505">
        <w:t>any consideration of potential productivity benefits.</w:t>
      </w:r>
    </w:p>
    <w:p w14:paraId="4D8F4888" w14:textId="77777777" w:rsidR="00627505" w:rsidRDefault="00627505" w:rsidP="00627505">
      <w:pPr>
        <w:pStyle w:val="BodyText"/>
      </w:pPr>
      <w:r>
        <w:t>These base settings are fixed for all sensitivities, whereas:</w:t>
      </w:r>
    </w:p>
    <w:p w14:paraId="0CDE626D" w14:textId="77777777" w:rsidR="00627505" w:rsidRDefault="00060766" w:rsidP="00627505">
      <w:pPr>
        <w:pStyle w:val="ListDash"/>
      </w:pPr>
      <w:r>
        <w:t>t</w:t>
      </w:r>
      <w:r w:rsidR="00627505">
        <w:t xml:space="preserve">he net benefit of energy efficiency is varied between </w:t>
      </w:r>
      <w:r>
        <w:t>one per cent</w:t>
      </w:r>
      <w:r w:rsidR="00627505">
        <w:t xml:space="preserve"> and 100</w:t>
      </w:r>
      <w:r>
        <w:t xml:space="preserve"> per cent</w:t>
      </w:r>
      <w:r w:rsidR="00627505">
        <w:t xml:space="preserve"> of the base assumption</w:t>
      </w:r>
      <w:r w:rsidR="00627505">
        <w:rPr>
          <w:rStyle w:val="FootnoteReference"/>
        </w:rPr>
        <w:footnoteReference w:id="37"/>
      </w:r>
    </w:p>
    <w:p w14:paraId="4A729AFB" w14:textId="77777777" w:rsidR="00627505" w:rsidRDefault="00060766" w:rsidP="00627505">
      <w:pPr>
        <w:pStyle w:val="ListDash"/>
      </w:pPr>
      <w:r>
        <w:lastRenderedPageBreak/>
        <w:t>t</w:t>
      </w:r>
      <w:r w:rsidR="00627505">
        <w:t>he assumed proportion of total rateable mandatory floor space that is floor space yet to have triggered disclosure is varied from 0</w:t>
      </w:r>
      <w:r>
        <w:t xml:space="preserve"> per cent</w:t>
      </w:r>
      <w:r w:rsidR="00627505">
        <w:t xml:space="preserve"> (</w:t>
      </w:r>
      <w:r>
        <w:t>that is,</w:t>
      </w:r>
      <w:r w:rsidR="00627505">
        <w:t xml:space="preserve"> including only the mandatory segment already rated) to 90</w:t>
      </w:r>
      <w:r>
        <w:t xml:space="preserve"> per cent</w:t>
      </w:r>
      <w:r w:rsidR="00627505">
        <w:t xml:space="preserve"> (</w:t>
      </w:r>
      <w:r>
        <w:t>that is,</w:t>
      </w:r>
      <w:r w:rsidR="00627505">
        <w:t xml:space="preserve"> the total rateable mandatory floor space is 1 ÷ [1</w:t>
      </w:r>
      <w:r>
        <w:t>00%</w:t>
      </w:r>
      <w:r w:rsidR="00627505">
        <w:t xml:space="preserve"> – 90</w:t>
      </w:r>
      <w:r>
        <w:t>%</w:t>
      </w:r>
      <w:r w:rsidR="00627505">
        <w:t>] or 10 times the already rated mandatory segment).</w:t>
      </w:r>
    </w:p>
    <w:p w14:paraId="29B06F8B" w14:textId="77777777" w:rsidR="00627505" w:rsidRDefault="00627505" w:rsidP="00627505">
      <w:pPr>
        <w:pStyle w:val="BodyText"/>
      </w:pPr>
      <w:r>
        <w:t xml:space="preserve">The results of this threshold analysis are shown in </w:t>
      </w:r>
      <w:r w:rsidR="003346C7">
        <w:fldChar w:fldCharType="begin"/>
      </w:r>
      <w:r w:rsidR="003346C7">
        <w:instrText xml:space="preserve"> REF _Ref408477852 \h  \* MERGEFORMAT </w:instrText>
      </w:r>
      <w:r w:rsidR="003346C7">
        <w:fldChar w:fldCharType="separate"/>
      </w:r>
      <w:r w:rsidR="006A273E">
        <w:t xml:space="preserve">Figure </w:t>
      </w:r>
      <w:r w:rsidR="006A273E">
        <w:rPr>
          <w:noProof/>
        </w:rPr>
        <w:t>27</w:t>
      </w:r>
      <w:r w:rsidR="003346C7">
        <w:fldChar w:fldCharType="end"/>
      </w:r>
      <w:r w:rsidR="00CB3EC7">
        <w:t xml:space="preserve">. </w:t>
      </w:r>
      <w:r>
        <w:t>The results are interpreted as follows:</w:t>
      </w:r>
    </w:p>
    <w:p w14:paraId="70B3F199" w14:textId="77777777" w:rsidR="00627505" w:rsidRDefault="00627505" w:rsidP="00627505">
      <w:pPr>
        <w:pStyle w:val="ListDash"/>
      </w:pPr>
      <w:r>
        <w:t xml:space="preserve">The NABERS component of the CBD </w:t>
      </w:r>
      <w:r w:rsidR="005D7354">
        <w:t>program</w:t>
      </w:r>
      <w:r>
        <w:t xml:space="preserve"> is projected to deliver benefits even if the net benefits of energy efficiency are </w:t>
      </w:r>
      <w:r w:rsidR="00307636">
        <w:t>41</w:t>
      </w:r>
      <w:r w:rsidR="00060766">
        <w:t xml:space="preserve"> per cent</w:t>
      </w:r>
      <w:r>
        <w:t xml:space="preserve"> of the base assumption and the outstanding floor sp</w:t>
      </w:r>
      <w:r w:rsidR="00060766">
        <w:t>ace yet to rate is excluded.</w:t>
      </w:r>
    </w:p>
    <w:p w14:paraId="42486D13" w14:textId="77777777" w:rsidR="00627505" w:rsidRDefault="00627505" w:rsidP="00627505">
      <w:pPr>
        <w:pStyle w:val="ListDash"/>
      </w:pPr>
      <w:r>
        <w:t>If the assumed proportion of total rateable mandatory floor space that is floor space yet to have triggered disclosure is 50</w:t>
      </w:r>
      <w:r w:rsidR="00060766">
        <w:t xml:space="preserve"> per cent</w:t>
      </w:r>
      <w:r>
        <w:t>, the NABERS component of the CBD p</w:t>
      </w:r>
      <w:r w:rsidR="005D7354">
        <w:t>rogram</w:t>
      </w:r>
      <w:r>
        <w:t xml:space="preserve"> is projected to deliver benefits so long as net benefits of energy efficiency are at</w:t>
      </w:r>
      <w:r w:rsidR="00060766">
        <w:t xml:space="preserve"> </w:t>
      </w:r>
      <w:r>
        <w:t xml:space="preserve">least </w:t>
      </w:r>
      <w:r w:rsidR="00307636">
        <w:t xml:space="preserve">21 </w:t>
      </w:r>
      <w:r w:rsidR="00060766">
        <w:t>per cent</w:t>
      </w:r>
      <w:r>
        <w:t xml:space="preserve"> of the base assumption.</w:t>
      </w:r>
    </w:p>
    <w:p w14:paraId="6F8D3A5B" w14:textId="77777777" w:rsidR="00627505" w:rsidRDefault="00627505" w:rsidP="00627505">
      <w:pPr>
        <w:pStyle w:val="Caption"/>
      </w:pPr>
      <w:bookmarkStart w:id="540" w:name="_Ref408477852"/>
      <w:bookmarkStart w:id="541" w:name="_Toc415660972"/>
      <w:r>
        <w:lastRenderedPageBreak/>
        <w:t xml:space="preserve">Figure </w:t>
      </w:r>
      <w:r w:rsidR="00492194">
        <w:fldChar w:fldCharType="begin"/>
      </w:r>
      <w:r w:rsidR="0044208C">
        <w:instrText xml:space="preserve"> SEQ Figure \* ARABIC </w:instrText>
      </w:r>
      <w:r w:rsidR="00492194">
        <w:fldChar w:fldCharType="separate"/>
      </w:r>
      <w:r w:rsidR="006A273E">
        <w:rPr>
          <w:noProof/>
        </w:rPr>
        <w:t>27</w:t>
      </w:r>
      <w:r w:rsidR="00492194">
        <w:rPr>
          <w:noProof/>
        </w:rPr>
        <w:fldChar w:fldCharType="end"/>
      </w:r>
      <w:bookmarkEnd w:id="540"/>
      <w:r w:rsidRPr="004E0C91">
        <w:rPr>
          <w:b/>
          <w:color w:val="000080"/>
        </w:rPr>
        <w:tab/>
      </w:r>
      <w:r>
        <w:rPr>
          <w:rStyle w:val="CaptionLabel"/>
        </w:rPr>
        <w:t>Threshold analysis for benefit of continuing NABERS component ($m NPV)</w:t>
      </w:r>
      <w:bookmarkEnd w:id="541"/>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627505" w14:paraId="05A25493" w14:textId="77777777">
        <w:trPr>
          <w:cantSplit/>
        </w:trPr>
        <w:tc>
          <w:tcPr>
            <w:tcW w:w="5000" w:type="pct"/>
          </w:tcPr>
          <w:p w14:paraId="1804A7B4" w14:textId="77777777" w:rsidR="00627505" w:rsidRDefault="00627505" w:rsidP="00594865">
            <w:pPr>
              <w:pStyle w:val="SmallDeltasRightAligned"/>
              <w:keepNext/>
            </w:pPr>
            <w:r>
              <w:rPr>
                <w:noProof/>
                <w:lang w:eastAsia="en-AU"/>
              </w:rPr>
              <w:drawing>
                <wp:inline distT="0" distB="0" distL="0" distR="0" wp14:anchorId="0DA211D6" wp14:editId="057DE40F">
                  <wp:extent cx="481585" cy="234696"/>
                  <wp:effectExtent l="0" t="0" r="0" b="0"/>
                  <wp:docPr id="29" name="Picture 29"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627505" w14:paraId="0DB23CFE" w14:textId="77777777">
        <w:trPr>
          <w:cantSplit/>
        </w:trPr>
        <w:tc>
          <w:tcPr>
            <w:tcW w:w="5000" w:type="pct"/>
          </w:tcPr>
          <w:p w14:paraId="3F933703" w14:textId="7111C9D7" w:rsidR="00627505" w:rsidRDefault="0003072F" w:rsidP="00594865">
            <w:pPr>
              <w:pStyle w:val="Figure"/>
            </w:pPr>
            <w:r>
              <w:rPr>
                <w:noProof/>
                <w:lang w:eastAsia="en-AU"/>
              </w:rPr>
              <w:drawing>
                <wp:inline distT="0" distB="0" distL="0" distR="0" wp14:anchorId="2A2F509A" wp14:editId="292BC4F9">
                  <wp:extent cx="4737723" cy="7760086"/>
                  <wp:effectExtent l="0" t="0" r="6350" b="0"/>
                  <wp:docPr id="144" name="Picture 144" descr="Figure 27 Threshold analysis for benefit of continuing NABERS component ($m NPV)" title="Figure 27 Threshold analysis for benefit of continuing NABERS component ($m N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gy\Energy Efficiency\Buildings\Commercial Buildings Disclosure\T. CBD Review\WCAG'ed documents\Final WCAG'ed versions\Figure 27 (fixed red oval).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37940" cy="7760441"/>
                          </a:xfrm>
                          <a:prstGeom prst="rect">
                            <a:avLst/>
                          </a:prstGeom>
                          <a:noFill/>
                          <a:ln>
                            <a:noFill/>
                          </a:ln>
                        </pic:spPr>
                      </pic:pic>
                    </a:graphicData>
                  </a:graphic>
                </wp:inline>
              </w:drawing>
            </w:r>
          </w:p>
        </w:tc>
      </w:tr>
    </w:tbl>
    <w:p w14:paraId="09DA9A05" w14:textId="77777777" w:rsidR="00B44305" w:rsidRDefault="00627505" w:rsidP="00307636">
      <w:pPr>
        <w:pStyle w:val="Source"/>
        <w:rPr>
          <w:i/>
        </w:rPr>
      </w:pPr>
      <w:r>
        <w:rPr>
          <w:i/>
        </w:rPr>
        <w:t>Note:</w:t>
      </w:r>
      <w:r w:rsidRPr="00151D24">
        <w:rPr>
          <w:i/>
        </w:rPr>
        <w:t xml:space="preserve"> Red shading with grey text indicates a negative NPV,</w:t>
      </w:r>
      <w:r w:rsidR="00473A38" w:rsidRPr="00473A38">
        <w:rPr>
          <w:noProof/>
        </w:rPr>
        <w:t xml:space="preserve"> </w:t>
      </w:r>
      <w:r w:rsidRPr="00151D24">
        <w:rPr>
          <w:i/>
        </w:rPr>
        <w:t>blue shading with black text indicates a positive NPV and brighter shading indicates relatively higher magnitude of NPV</w:t>
      </w:r>
      <w:r w:rsidR="00CB3EC7">
        <w:rPr>
          <w:i/>
        </w:rPr>
        <w:t xml:space="preserve">. </w:t>
      </w:r>
      <w:r w:rsidR="00884D0C">
        <w:rPr>
          <w:i/>
        </w:rPr>
        <w:t>Red circle ($53</w:t>
      </w:r>
      <w:r w:rsidR="00473A38">
        <w:rPr>
          <w:i/>
        </w:rPr>
        <w:t xml:space="preserve">m) </w:t>
      </w:r>
      <w:r w:rsidR="00A856E3">
        <w:rPr>
          <w:i/>
        </w:rPr>
        <w:t>indicates the combination of parameter values used in the central analysis</w:t>
      </w:r>
      <w:r w:rsidR="00473A38">
        <w:rPr>
          <w:i/>
        </w:rPr>
        <w:t>.</w:t>
      </w:r>
    </w:p>
    <w:p w14:paraId="225358B5" w14:textId="77777777" w:rsidR="00307636" w:rsidRPr="00B85543" w:rsidRDefault="00307636" w:rsidP="00F71862">
      <w:pPr>
        <w:pStyle w:val="Source"/>
      </w:pPr>
      <w:r>
        <w:t>Source</w:t>
      </w:r>
      <w:r w:rsidRPr="00B85543">
        <w:t xml:space="preserve">: </w:t>
      </w:r>
      <w:r>
        <w:t>ACIL Allen</w:t>
      </w:r>
    </w:p>
    <w:p w14:paraId="727ED5A4" w14:textId="77777777" w:rsidR="00B07566" w:rsidRDefault="00A6364A" w:rsidP="00A6364A">
      <w:pPr>
        <w:pStyle w:val="Heading2"/>
      </w:pPr>
      <w:bookmarkStart w:id="542" w:name="_Toc415660900"/>
      <w:r w:rsidRPr="00A6364A">
        <w:lastRenderedPageBreak/>
        <w:t xml:space="preserve">Assessment of future costs and benefits of </w:t>
      </w:r>
      <w:r>
        <w:t xml:space="preserve">retaining </w:t>
      </w:r>
      <w:r w:rsidR="00B07566">
        <w:t>TLA</w:t>
      </w:r>
      <w:r>
        <w:t xml:space="preserve"> component</w:t>
      </w:r>
      <w:bookmarkEnd w:id="542"/>
    </w:p>
    <w:p w14:paraId="06D6F622" w14:textId="77777777" w:rsidR="00A85155" w:rsidRDefault="00A85155" w:rsidP="00A85155">
      <w:pPr>
        <w:pStyle w:val="Heading3"/>
      </w:pPr>
      <w:bookmarkStart w:id="543" w:name="_Toc415660901"/>
      <w:r>
        <w:t>Projection of benefits from TLA component</w:t>
      </w:r>
      <w:bookmarkEnd w:id="543"/>
    </w:p>
    <w:p w14:paraId="7FAD2C12" w14:textId="77777777" w:rsidR="00A6364A" w:rsidRDefault="00A6364A" w:rsidP="00D406F8">
      <w:pPr>
        <w:pStyle w:val="BodyText"/>
      </w:pPr>
      <w:r>
        <w:t xml:space="preserve">The benefits of the TLA program have been estimated by using the approach outlined in </w:t>
      </w:r>
      <w:r w:rsidR="00286CA6">
        <w:t>S</w:t>
      </w:r>
      <w:r w:rsidRPr="00E56186">
        <w:t xml:space="preserve">ection </w:t>
      </w:r>
      <w:r w:rsidR="003346C7">
        <w:fldChar w:fldCharType="begin"/>
      </w:r>
      <w:r w:rsidR="003346C7">
        <w:instrText xml:space="preserve"> REF _Ref408404010 \r \h  \* MERGEFORMAT </w:instrText>
      </w:r>
      <w:r w:rsidR="003346C7">
        <w:fldChar w:fldCharType="separate"/>
      </w:r>
      <w:r w:rsidR="006A273E">
        <w:t>5.1.3</w:t>
      </w:r>
      <w:r w:rsidR="003346C7">
        <w:fldChar w:fldCharType="end"/>
      </w:r>
      <w:r w:rsidR="00CB3EC7">
        <w:t xml:space="preserve">. </w:t>
      </w:r>
      <w:r w:rsidR="00D406F8">
        <w:t>T</w:t>
      </w:r>
      <w:r>
        <w:t xml:space="preserve">he projected improvements to average power density (and the </w:t>
      </w:r>
      <w:r w:rsidR="00B379DF">
        <w:t>pay-off</w:t>
      </w:r>
      <w:r>
        <w:t xml:space="preserve"> through associated upgrades delivering improvements in both power density and control systems) </w:t>
      </w:r>
      <w:r w:rsidR="00B537F2">
        <w:t xml:space="preserve">was </w:t>
      </w:r>
      <w:r>
        <w:t xml:space="preserve">first estimated </w:t>
      </w:r>
      <w:r w:rsidR="00B537F2">
        <w:t xml:space="preserve">under a </w:t>
      </w:r>
      <w:r w:rsidR="00E42796">
        <w:t xml:space="preserve">hypothetical </w:t>
      </w:r>
      <w:r w:rsidR="00B537F2">
        <w:t>scenario where all tenants were</w:t>
      </w:r>
      <w:r>
        <w:t xml:space="preserve"> ‘model tenants’</w:t>
      </w:r>
      <w:r w:rsidR="00CB3EC7">
        <w:t xml:space="preserve">. </w:t>
      </w:r>
      <w:r>
        <w:t xml:space="preserve">The projected </w:t>
      </w:r>
      <w:r w:rsidR="00B379DF">
        <w:t>pay-off</w:t>
      </w:r>
      <w:r>
        <w:t xml:space="preserve"> from assuming a gradual increase in awareness is then calculated as a growing proportion of those benefits delivered over time, as shown in </w:t>
      </w:r>
      <w:r w:rsidR="00492194">
        <w:fldChar w:fldCharType="begin"/>
      </w:r>
      <w:r w:rsidR="00A1108A">
        <w:instrText xml:space="preserve"> REF _Ref408868936 \h </w:instrText>
      </w:r>
      <w:r w:rsidR="00492194">
        <w:fldChar w:fldCharType="separate"/>
      </w:r>
      <w:r w:rsidR="006A273E">
        <w:t xml:space="preserve">Table </w:t>
      </w:r>
      <w:r w:rsidR="006A273E">
        <w:rPr>
          <w:noProof/>
        </w:rPr>
        <w:t>20</w:t>
      </w:r>
      <w:r w:rsidR="00492194">
        <w:fldChar w:fldCharType="end"/>
      </w:r>
      <w:r w:rsidR="00A1108A">
        <w:t>.</w:t>
      </w:r>
    </w:p>
    <w:p w14:paraId="3180B7CF" w14:textId="77777777" w:rsidR="00237E62" w:rsidRDefault="00237E62">
      <w:pPr>
        <w:pStyle w:val="Caption"/>
        <w:rPr>
          <w:rStyle w:val="CaptionLabel"/>
          <w:rFonts w:asciiTheme="minorHAnsi" w:hAnsiTheme="minorHAnsi" w:cs="Times New Roman"/>
          <w:sz w:val="22"/>
          <w:szCs w:val="22"/>
          <w:lang w:eastAsia="en-AU"/>
        </w:rPr>
      </w:pPr>
      <w:bookmarkStart w:id="544" w:name="_Ref408868936"/>
      <w:bookmarkStart w:id="545" w:name="_Toc415661027"/>
      <w:r>
        <w:t xml:space="preserve">Table </w:t>
      </w:r>
      <w:r w:rsidR="00492194">
        <w:fldChar w:fldCharType="begin"/>
      </w:r>
      <w:r w:rsidR="0044208C">
        <w:instrText xml:space="preserve"> SEQ Table \* ARABIC </w:instrText>
      </w:r>
      <w:r w:rsidR="00492194">
        <w:fldChar w:fldCharType="separate"/>
      </w:r>
      <w:r w:rsidR="006A273E">
        <w:rPr>
          <w:noProof/>
        </w:rPr>
        <w:t>20</w:t>
      </w:r>
      <w:r w:rsidR="00492194">
        <w:rPr>
          <w:noProof/>
        </w:rPr>
        <w:fldChar w:fldCharType="end"/>
      </w:r>
      <w:bookmarkEnd w:id="544"/>
      <w:r w:rsidRPr="008357FB">
        <w:rPr>
          <w:rStyle w:val="CaptionLabel"/>
        </w:rPr>
        <w:tab/>
      </w:r>
      <w:r>
        <w:rPr>
          <w:b/>
          <w:color w:val="000000"/>
        </w:rPr>
        <w:t>Costs and benefits of retaining TLA</w:t>
      </w:r>
      <w:r w:rsidR="00280410">
        <w:rPr>
          <w:b/>
          <w:color w:val="000000"/>
        </w:rPr>
        <w:t>, 2015-2028</w:t>
      </w:r>
      <w:r>
        <w:rPr>
          <w:b/>
          <w:color w:val="000000"/>
        </w:rPr>
        <w:t xml:space="preserve"> (2014 $m)</w:t>
      </w:r>
      <w:bookmarkEnd w:id="545"/>
    </w:p>
    <w:tbl>
      <w:tblPr>
        <w:tblW w:w="7202" w:type="dxa"/>
        <w:tblInd w:w="28"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2400"/>
        <w:gridCol w:w="2401"/>
        <w:gridCol w:w="2401"/>
      </w:tblGrid>
      <w:tr w:rsidR="00237E62" w14:paraId="79773576" w14:textId="77777777">
        <w:trPr>
          <w:cantSplit/>
        </w:trPr>
        <w:tc>
          <w:tcPr>
            <w:tcW w:w="2400" w:type="dxa"/>
            <w:tcBorders>
              <w:top w:val="nil"/>
            </w:tcBorders>
            <w:shd w:val="solid" w:color="9757A6" w:fill="auto"/>
            <w:vAlign w:val="center"/>
          </w:tcPr>
          <w:p w14:paraId="3218510C" w14:textId="77777777" w:rsidR="00237E62" w:rsidRDefault="00237E62" w:rsidP="006158F2">
            <w:pPr>
              <w:pStyle w:val="Tablecolumnheadings"/>
            </w:pPr>
            <w:r>
              <w:t>Item</w:t>
            </w:r>
          </w:p>
        </w:tc>
        <w:tc>
          <w:tcPr>
            <w:tcW w:w="2401" w:type="dxa"/>
            <w:tcBorders>
              <w:top w:val="nil"/>
            </w:tcBorders>
            <w:shd w:val="solid" w:color="9757A6" w:fill="auto"/>
            <w:vAlign w:val="center"/>
          </w:tcPr>
          <w:p w14:paraId="69EA12D2" w14:textId="77777777" w:rsidR="00237E62" w:rsidRDefault="00237E62" w:rsidP="006158F2">
            <w:pPr>
              <w:pStyle w:val="Tablecolumnheadings"/>
              <w:jc w:val="center"/>
            </w:pPr>
            <w:r>
              <w:t>All model tenants</w:t>
            </w:r>
            <w:r w:rsidR="00E42796">
              <w:t xml:space="preserve"> (Hypothetical scenario)</w:t>
            </w:r>
          </w:p>
        </w:tc>
        <w:tc>
          <w:tcPr>
            <w:tcW w:w="2401" w:type="dxa"/>
            <w:tcBorders>
              <w:top w:val="nil"/>
            </w:tcBorders>
            <w:shd w:val="solid" w:color="9757A6" w:fill="auto"/>
          </w:tcPr>
          <w:p w14:paraId="53E0FDD8" w14:textId="77777777" w:rsidR="00237E62" w:rsidRDefault="00237E62" w:rsidP="006158F2">
            <w:pPr>
              <w:pStyle w:val="Tablecolumnheadings"/>
              <w:jc w:val="center"/>
            </w:pPr>
            <w:r>
              <w:t>Gradual increase in awareness</w:t>
            </w:r>
          </w:p>
        </w:tc>
      </w:tr>
      <w:tr w:rsidR="00237E62" w14:paraId="57A8E14A" w14:textId="77777777">
        <w:trPr>
          <w:cantSplit/>
        </w:trPr>
        <w:tc>
          <w:tcPr>
            <w:tcW w:w="2400" w:type="dxa"/>
            <w:shd w:val="clear" w:color="auto" w:fill="auto"/>
            <w:vAlign w:val="center"/>
          </w:tcPr>
          <w:p w14:paraId="6D4AE294" w14:textId="77777777" w:rsidR="00237E62" w:rsidRDefault="00237E62" w:rsidP="006158F2">
            <w:pPr>
              <w:pStyle w:val="Tabletext"/>
            </w:pPr>
            <w:r>
              <w:t>TLA i</w:t>
            </w:r>
            <w:r w:rsidRPr="009C4872">
              <w:t>ndustry burden</w:t>
            </w:r>
          </w:p>
        </w:tc>
        <w:tc>
          <w:tcPr>
            <w:tcW w:w="2401" w:type="dxa"/>
            <w:shd w:val="clear" w:color="auto" w:fill="auto"/>
            <w:vAlign w:val="center"/>
          </w:tcPr>
          <w:p w14:paraId="6CE34B90" w14:textId="77777777" w:rsidR="00237E62" w:rsidRDefault="00237E62" w:rsidP="006158F2">
            <w:pPr>
              <w:pStyle w:val="Tabletext"/>
              <w:jc w:val="center"/>
            </w:pPr>
            <w:r>
              <w:t>-$8</w:t>
            </w:r>
            <w:r w:rsidRPr="0027527B">
              <w:t>.</w:t>
            </w:r>
            <w:r>
              <w:t>4m PV</w:t>
            </w:r>
          </w:p>
        </w:tc>
        <w:tc>
          <w:tcPr>
            <w:tcW w:w="2401" w:type="dxa"/>
          </w:tcPr>
          <w:p w14:paraId="66D6C0A1" w14:textId="77777777" w:rsidR="00237E62" w:rsidRPr="0027527B" w:rsidRDefault="00237E62" w:rsidP="006158F2">
            <w:pPr>
              <w:pStyle w:val="Tabletext"/>
              <w:jc w:val="center"/>
            </w:pPr>
            <w:r>
              <w:t>-$8</w:t>
            </w:r>
            <w:r w:rsidRPr="0027527B">
              <w:t>.</w:t>
            </w:r>
            <w:r>
              <w:t>4m PV</w:t>
            </w:r>
          </w:p>
        </w:tc>
      </w:tr>
      <w:tr w:rsidR="00237E62" w14:paraId="5F41B127" w14:textId="77777777">
        <w:trPr>
          <w:cantSplit/>
        </w:trPr>
        <w:tc>
          <w:tcPr>
            <w:tcW w:w="2400" w:type="dxa"/>
            <w:tcBorders>
              <w:bottom w:val="single" w:sz="2" w:space="0" w:color="C0C0C0"/>
            </w:tcBorders>
            <w:shd w:val="clear" w:color="auto" w:fill="auto"/>
            <w:vAlign w:val="center"/>
          </w:tcPr>
          <w:p w14:paraId="04D7B6F1" w14:textId="77777777" w:rsidR="00237E62" w:rsidRDefault="00237E62" w:rsidP="006158F2">
            <w:pPr>
              <w:pStyle w:val="Tabletext"/>
            </w:pPr>
            <w:r>
              <w:t xml:space="preserve">TLA </w:t>
            </w:r>
            <w:r w:rsidRPr="0027527B">
              <w:t>benefit</w:t>
            </w:r>
            <w:r>
              <w:t>s</w:t>
            </w:r>
            <w:r w:rsidRPr="0027527B">
              <w:t xml:space="preserve"> of energy efficiency</w:t>
            </w:r>
          </w:p>
        </w:tc>
        <w:tc>
          <w:tcPr>
            <w:tcW w:w="2401" w:type="dxa"/>
            <w:tcBorders>
              <w:bottom w:val="single" w:sz="2" w:space="0" w:color="C0C0C0"/>
            </w:tcBorders>
            <w:shd w:val="clear" w:color="auto" w:fill="auto"/>
            <w:vAlign w:val="center"/>
          </w:tcPr>
          <w:p w14:paraId="6291F3F8" w14:textId="77777777" w:rsidR="00237E62" w:rsidRDefault="00237E62" w:rsidP="006158F2">
            <w:pPr>
              <w:pStyle w:val="Tabletext"/>
              <w:jc w:val="center"/>
            </w:pPr>
            <w:r>
              <w:t>$16.6m PV</w:t>
            </w:r>
          </w:p>
        </w:tc>
        <w:tc>
          <w:tcPr>
            <w:tcW w:w="2401" w:type="dxa"/>
            <w:tcBorders>
              <w:bottom w:val="single" w:sz="2" w:space="0" w:color="C0C0C0"/>
            </w:tcBorders>
          </w:tcPr>
          <w:p w14:paraId="144968AF" w14:textId="77777777" w:rsidR="00237E62" w:rsidRPr="0027527B" w:rsidRDefault="00237E62" w:rsidP="006158F2">
            <w:pPr>
              <w:pStyle w:val="Tabletext"/>
              <w:jc w:val="center"/>
            </w:pPr>
            <w:r>
              <w:t>$4.5m PV</w:t>
            </w:r>
          </w:p>
        </w:tc>
      </w:tr>
      <w:tr w:rsidR="00237E62" w14:paraId="5C4879FE" w14:textId="77777777">
        <w:trPr>
          <w:cantSplit/>
        </w:trPr>
        <w:tc>
          <w:tcPr>
            <w:tcW w:w="2400" w:type="dxa"/>
            <w:tcBorders>
              <w:top w:val="single" w:sz="2" w:space="0" w:color="C0C0C0"/>
              <w:bottom w:val="single" w:sz="2" w:space="0" w:color="C0C0C0"/>
            </w:tcBorders>
            <w:shd w:val="clear" w:color="auto" w:fill="auto"/>
            <w:vAlign w:val="center"/>
          </w:tcPr>
          <w:p w14:paraId="76360C1E" w14:textId="77777777" w:rsidR="00237E62" w:rsidRDefault="00237E62" w:rsidP="006158F2">
            <w:pPr>
              <w:pStyle w:val="Tabletext"/>
            </w:pPr>
            <w:r w:rsidRPr="00836ACA">
              <w:rPr>
                <w:b/>
              </w:rPr>
              <w:t>Net Present Value</w:t>
            </w:r>
            <w:r>
              <w:rPr>
                <w:b/>
              </w:rPr>
              <w:t xml:space="preserve"> (excluding GHG benefits)</w:t>
            </w:r>
          </w:p>
        </w:tc>
        <w:tc>
          <w:tcPr>
            <w:tcW w:w="2401" w:type="dxa"/>
            <w:tcBorders>
              <w:top w:val="single" w:sz="2" w:space="0" w:color="C0C0C0"/>
              <w:bottom w:val="single" w:sz="2" w:space="0" w:color="C0C0C0"/>
            </w:tcBorders>
            <w:shd w:val="clear" w:color="auto" w:fill="auto"/>
            <w:vAlign w:val="center"/>
          </w:tcPr>
          <w:p w14:paraId="127BCAC5" w14:textId="77777777" w:rsidR="00237E62" w:rsidRPr="00487E6D" w:rsidRDefault="00237E62" w:rsidP="006158F2">
            <w:pPr>
              <w:pStyle w:val="Tabletext"/>
              <w:jc w:val="center"/>
              <w:rPr>
                <w:b/>
              </w:rPr>
            </w:pPr>
            <w:r w:rsidRPr="00487E6D">
              <w:rPr>
                <w:b/>
              </w:rPr>
              <w:t>$8.2m NPV</w:t>
            </w:r>
          </w:p>
        </w:tc>
        <w:tc>
          <w:tcPr>
            <w:tcW w:w="2401" w:type="dxa"/>
            <w:tcBorders>
              <w:top w:val="single" w:sz="2" w:space="0" w:color="C0C0C0"/>
              <w:bottom w:val="single" w:sz="2" w:space="0" w:color="C0C0C0"/>
            </w:tcBorders>
            <w:vAlign w:val="center"/>
          </w:tcPr>
          <w:p w14:paraId="321EA263" w14:textId="77777777" w:rsidR="00237E62" w:rsidRPr="00487E6D" w:rsidRDefault="00237E62" w:rsidP="006158F2">
            <w:pPr>
              <w:pStyle w:val="Tabletext"/>
              <w:jc w:val="center"/>
              <w:rPr>
                <w:b/>
              </w:rPr>
            </w:pPr>
            <w:r>
              <w:rPr>
                <w:b/>
              </w:rPr>
              <w:t>-</w:t>
            </w:r>
            <w:r w:rsidRPr="00D95B86">
              <w:rPr>
                <w:b/>
              </w:rPr>
              <w:t>$3.9</w:t>
            </w:r>
            <w:r w:rsidRPr="00487E6D">
              <w:rPr>
                <w:b/>
              </w:rPr>
              <w:t>m NPV</w:t>
            </w:r>
          </w:p>
        </w:tc>
      </w:tr>
      <w:tr w:rsidR="00671243" w14:paraId="212D2F06" w14:textId="77777777">
        <w:trPr>
          <w:cantSplit/>
        </w:trPr>
        <w:tc>
          <w:tcPr>
            <w:tcW w:w="2400" w:type="dxa"/>
            <w:tcBorders>
              <w:top w:val="single" w:sz="2" w:space="0" w:color="C0C0C0"/>
              <w:bottom w:val="single" w:sz="2" w:space="0" w:color="C0C0C0"/>
            </w:tcBorders>
            <w:shd w:val="clear" w:color="auto" w:fill="auto"/>
            <w:vAlign w:val="center"/>
          </w:tcPr>
          <w:p w14:paraId="637CF0CB" w14:textId="77777777" w:rsidR="00671243" w:rsidRPr="00836ACA" w:rsidRDefault="00671243" w:rsidP="00280410">
            <w:pPr>
              <w:pStyle w:val="Tabletext"/>
            </w:pPr>
            <w:r>
              <w:t>Reduced end use energy consumption</w:t>
            </w:r>
          </w:p>
        </w:tc>
        <w:tc>
          <w:tcPr>
            <w:tcW w:w="2401" w:type="dxa"/>
            <w:tcBorders>
              <w:top w:val="single" w:sz="2" w:space="0" w:color="C0C0C0"/>
              <w:bottom w:val="single" w:sz="2" w:space="0" w:color="C0C0C0"/>
            </w:tcBorders>
            <w:shd w:val="clear" w:color="auto" w:fill="auto"/>
            <w:vAlign w:val="center"/>
          </w:tcPr>
          <w:p w14:paraId="4B2E8EB0" w14:textId="77777777" w:rsidR="00671243" w:rsidRDefault="00E42796" w:rsidP="006158F2">
            <w:pPr>
              <w:pStyle w:val="Tabletext"/>
              <w:jc w:val="center"/>
            </w:pPr>
            <w:r>
              <w:t xml:space="preserve">1,472 </w:t>
            </w:r>
            <w:proofErr w:type="spellStart"/>
            <w:r>
              <w:t>GWh</w:t>
            </w:r>
            <w:proofErr w:type="spellEnd"/>
          </w:p>
        </w:tc>
        <w:tc>
          <w:tcPr>
            <w:tcW w:w="2401" w:type="dxa"/>
            <w:tcBorders>
              <w:top w:val="single" w:sz="2" w:space="0" w:color="C0C0C0"/>
              <w:bottom w:val="single" w:sz="2" w:space="0" w:color="C0C0C0"/>
            </w:tcBorders>
            <w:vAlign w:val="center"/>
          </w:tcPr>
          <w:p w14:paraId="5424C1D7" w14:textId="77777777" w:rsidR="00671243" w:rsidRDefault="00E42796" w:rsidP="006158F2">
            <w:pPr>
              <w:pStyle w:val="Tabletext"/>
              <w:jc w:val="center"/>
            </w:pPr>
            <w:r>
              <w:t xml:space="preserve">679 </w:t>
            </w:r>
            <w:proofErr w:type="spellStart"/>
            <w:r>
              <w:t>GWh</w:t>
            </w:r>
            <w:proofErr w:type="spellEnd"/>
          </w:p>
        </w:tc>
      </w:tr>
      <w:tr w:rsidR="00237E62" w14:paraId="71FBD7B6" w14:textId="77777777">
        <w:trPr>
          <w:cantSplit/>
        </w:trPr>
        <w:tc>
          <w:tcPr>
            <w:tcW w:w="2400" w:type="dxa"/>
            <w:tcBorders>
              <w:top w:val="single" w:sz="2" w:space="0" w:color="C0C0C0"/>
              <w:bottom w:val="single" w:sz="2" w:space="0" w:color="C0C0C0"/>
            </w:tcBorders>
            <w:shd w:val="clear" w:color="auto" w:fill="auto"/>
            <w:vAlign w:val="center"/>
          </w:tcPr>
          <w:p w14:paraId="5D71AB75" w14:textId="77777777" w:rsidR="00237E62" w:rsidRPr="00836ACA" w:rsidRDefault="00237E62" w:rsidP="00280410">
            <w:pPr>
              <w:pStyle w:val="Tabletext"/>
            </w:pPr>
            <w:r w:rsidRPr="00836ACA">
              <w:t>Avoided GHG emissions</w:t>
            </w:r>
          </w:p>
        </w:tc>
        <w:tc>
          <w:tcPr>
            <w:tcW w:w="2401" w:type="dxa"/>
            <w:tcBorders>
              <w:top w:val="single" w:sz="2" w:space="0" w:color="C0C0C0"/>
              <w:bottom w:val="single" w:sz="2" w:space="0" w:color="C0C0C0"/>
            </w:tcBorders>
            <w:shd w:val="clear" w:color="auto" w:fill="auto"/>
            <w:vAlign w:val="center"/>
          </w:tcPr>
          <w:p w14:paraId="6CCB7CC5" w14:textId="77777777" w:rsidR="00237E62" w:rsidRPr="0012349F" w:rsidRDefault="00E42796" w:rsidP="006158F2">
            <w:pPr>
              <w:pStyle w:val="Tabletext"/>
              <w:jc w:val="center"/>
            </w:pPr>
            <w:r>
              <w:t xml:space="preserve">1,327 </w:t>
            </w:r>
            <w:r w:rsidR="00237E62" w:rsidRPr="00836ACA">
              <w:t>ktCO</w:t>
            </w:r>
            <w:r w:rsidR="00237E62" w:rsidRPr="0024777E">
              <w:rPr>
                <w:vertAlign w:val="subscript"/>
              </w:rPr>
              <w:t>2</w:t>
            </w:r>
            <w:r w:rsidR="0012349F">
              <w:t>-e</w:t>
            </w:r>
          </w:p>
        </w:tc>
        <w:tc>
          <w:tcPr>
            <w:tcW w:w="2401" w:type="dxa"/>
            <w:tcBorders>
              <w:top w:val="single" w:sz="2" w:space="0" w:color="C0C0C0"/>
              <w:bottom w:val="single" w:sz="2" w:space="0" w:color="C0C0C0"/>
            </w:tcBorders>
            <w:vAlign w:val="center"/>
          </w:tcPr>
          <w:p w14:paraId="557E8687" w14:textId="77777777" w:rsidR="00237E62" w:rsidRPr="0012349F" w:rsidRDefault="00E42796" w:rsidP="006158F2">
            <w:pPr>
              <w:pStyle w:val="Tabletext"/>
              <w:jc w:val="center"/>
            </w:pPr>
            <w:r>
              <w:t xml:space="preserve">612 </w:t>
            </w:r>
            <w:r w:rsidR="00237E62" w:rsidRPr="00836ACA">
              <w:t>ktCO</w:t>
            </w:r>
            <w:r w:rsidR="00237E62" w:rsidRPr="0024777E">
              <w:rPr>
                <w:vertAlign w:val="subscript"/>
              </w:rPr>
              <w:t>2</w:t>
            </w:r>
            <w:r w:rsidR="0012349F">
              <w:t>-e</w:t>
            </w:r>
          </w:p>
        </w:tc>
      </w:tr>
      <w:tr w:rsidR="00237E62" w14:paraId="2A3137CA" w14:textId="77777777">
        <w:trPr>
          <w:cantSplit/>
        </w:trPr>
        <w:tc>
          <w:tcPr>
            <w:tcW w:w="2400" w:type="dxa"/>
            <w:tcBorders>
              <w:top w:val="single" w:sz="2" w:space="0" w:color="C0C0C0"/>
              <w:bottom w:val="single" w:sz="2" w:space="0" w:color="999999"/>
            </w:tcBorders>
            <w:shd w:val="clear" w:color="auto" w:fill="auto"/>
            <w:vAlign w:val="center"/>
          </w:tcPr>
          <w:p w14:paraId="658F45D2" w14:textId="77777777" w:rsidR="00237E62" w:rsidRPr="0012349F" w:rsidRDefault="00237E62" w:rsidP="006158F2">
            <w:pPr>
              <w:pStyle w:val="Tabletext"/>
            </w:pPr>
            <w:r>
              <w:rPr>
                <w:b/>
              </w:rPr>
              <w:t xml:space="preserve">NPV including  GHG benefits at </w:t>
            </w:r>
            <w:r w:rsidR="00757CC6">
              <w:rPr>
                <w:b/>
              </w:rPr>
              <w:t>$23/tCO</w:t>
            </w:r>
            <w:r w:rsidR="00757CC6" w:rsidRPr="0024777E">
              <w:rPr>
                <w:b/>
                <w:vertAlign w:val="subscript"/>
              </w:rPr>
              <w:t>2</w:t>
            </w:r>
            <w:r w:rsidR="0012349F">
              <w:rPr>
                <w:b/>
              </w:rPr>
              <w:t>-e</w:t>
            </w:r>
          </w:p>
        </w:tc>
        <w:tc>
          <w:tcPr>
            <w:tcW w:w="2401" w:type="dxa"/>
            <w:tcBorders>
              <w:top w:val="single" w:sz="2" w:space="0" w:color="C0C0C0"/>
              <w:bottom w:val="single" w:sz="2" w:space="0" w:color="999999"/>
            </w:tcBorders>
            <w:shd w:val="clear" w:color="auto" w:fill="auto"/>
            <w:vAlign w:val="center"/>
          </w:tcPr>
          <w:p w14:paraId="447667EC" w14:textId="77777777" w:rsidR="00237E62" w:rsidRPr="00836ACA" w:rsidRDefault="00237E62" w:rsidP="006158F2">
            <w:pPr>
              <w:pStyle w:val="Tabletext"/>
              <w:jc w:val="center"/>
            </w:pPr>
            <w:r w:rsidRPr="00836ACA">
              <w:rPr>
                <w:b/>
              </w:rPr>
              <w:t>$</w:t>
            </w:r>
            <w:r>
              <w:rPr>
                <w:b/>
              </w:rPr>
              <w:t>28</w:t>
            </w:r>
            <w:r w:rsidRPr="00836ACA">
              <w:rPr>
                <w:b/>
              </w:rPr>
              <w:t>.</w:t>
            </w:r>
            <w:r>
              <w:rPr>
                <w:b/>
              </w:rPr>
              <w:t>5</w:t>
            </w:r>
            <w:r w:rsidRPr="00836ACA">
              <w:rPr>
                <w:b/>
              </w:rPr>
              <w:t>m NPV</w:t>
            </w:r>
          </w:p>
        </w:tc>
        <w:tc>
          <w:tcPr>
            <w:tcW w:w="2401" w:type="dxa"/>
            <w:tcBorders>
              <w:top w:val="single" w:sz="2" w:space="0" w:color="C0C0C0"/>
              <w:bottom w:val="single" w:sz="2" w:space="0" w:color="999999"/>
            </w:tcBorders>
            <w:vAlign w:val="center"/>
          </w:tcPr>
          <w:p w14:paraId="0D7DB263" w14:textId="77777777" w:rsidR="00237E62" w:rsidRPr="00836ACA" w:rsidRDefault="00237E62" w:rsidP="006158F2">
            <w:pPr>
              <w:pStyle w:val="Tabletext"/>
              <w:jc w:val="center"/>
            </w:pPr>
            <w:r w:rsidRPr="00836ACA">
              <w:rPr>
                <w:b/>
              </w:rPr>
              <w:t>$</w:t>
            </w:r>
            <w:r>
              <w:rPr>
                <w:b/>
              </w:rPr>
              <w:t>6</w:t>
            </w:r>
            <w:r w:rsidRPr="00836ACA">
              <w:rPr>
                <w:b/>
              </w:rPr>
              <w:t>.9m NPV</w:t>
            </w:r>
          </w:p>
        </w:tc>
      </w:tr>
    </w:tbl>
    <w:p w14:paraId="3D360039" w14:textId="77777777" w:rsidR="00747449" w:rsidRDefault="00747449" w:rsidP="00747449">
      <w:pPr>
        <w:pStyle w:val="Note"/>
      </w:pPr>
      <w:r w:rsidRPr="00836ACA">
        <w:rPr>
          <w:i/>
        </w:rPr>
        <w:t>Note:</w:t>
      </w:r>
      <w:r w:rsidRPr="00A31DAB">
        <w:t xml:space="preserve"> </w:t>
      </w:r>
      <w:r>
        <w:t>Present value estimates are based on an assumed 5 year program duration and estimated between 2015 and 2028.</w:t>
      </w:r>
    </w:p>
    <w:p w14:paraId="5BB35B41" w14:textId="77777777" w:rsidR="00237E62" w:rsidRPr="00B347D7" w:rsidRDefault="00237E62" w:rsidP="006158F2">
      <w:pPr>
        <w:pStyle w:val="Source"/>
      </w:pPr>
      <w:r w:rsidRPr="00B347D7">
        <w:t xml:space="preserve">Source: </w:t>
      </w:r>
      <w:r>
        <w:t>ACIL Allen</w:t>
      </w:r>
    </w:p>
    <w:p w14:paraId="0AC0B092" w14:textId="77777777" w:rsidR="00A6364A" w:rsidRDefault="00A6364A" w:rsidP="00A6364A">
      <w:pPr>
        <w:pStyle w:val="BodyText"/>
      </w:pPr>
      <w:r>
        <w:t xml:space="preserve">In the absence of changes to the TLA </w:t>
      </w:r>
      <w:r w:rsidR="004F3CCF">
        <w:t>(</w:t>
      </w:r>
      <w:r w:rsidR="00A856E3">
        <w:t>that is,</w:t>
      </w:r>
      <w:r w:rsidR="00CB3EC7">
        <w:t xml:space="preserve"> </w:t>
      </w:r>
      <w:r w:rsidR="004F3CCF">
        <w:t xml:space="preserve">with a ‘gradual increase in awareness’) </w:t>
      </w:r>
      <w:r>
        <w:t xml:space="preserve">and excluding an assumed economic value for reduction in GHGs, the TLA component of the scheme is projected to incur a net cost of </w:t>
      </w:r>
      <w:r w:rsidRPr="008965D0">
        <w:t>$3.9</w:t>
      </w:r>
      <w:r w:rsidR="0024777E" w:rsidRPr="008965D0">
        <w:t xml:space="preserve"> </w:t>
      </w:r>
      <w:r w:rsidRPr="008965D0">
        <w:t>m</w:t>
      </w:r>
      <w:r w:rsidR="0024777E" w:rsidRPr="008965D0">
        <w:t>illion</w:t>
      </w:r>
      <w:r w:rsidR="00CB3EC7" w:rsidRPr="008965D0">
        <w:t xml:space="preserve">. </w:t>
      </w:r>
      <w:r w:rsidR="00453E7D" w:rsidRPr="008965D0">
        <w:t>This</w:t>
      </w:r>
      <w:r w:rsidR="00453E7D">
        <w:t xml:space="preserve"> is equivalent to a $9.25 / </w:t>
      </w:r>
      <w:r w:rsidR="0012349F" w:rsidRPr="00836ACA">
        <w:t>tCO</w:t>
      </w:r>
      <w:r w:rsidR="0012349F" w:rsidRPr="00860430">
        <w:rPr>
          <w:vertAlign w:val="subscript"/>
        </w:rPr>
        <w:t>2</w:t>
      </w:r>
      <w:r w:rsidR="0012349F">
        <w:t>-e</w:t>
      </w:r>
      <w:r w:rsidR="00453E7D">
        <w:t xml:space="preserve"> abatement cost</w:t>
      </w:r>
      <w:r w:rsidR="00CB3EC7">
        <w:t xml:space="preserve">. </w:t>
      </w:r>
      <w:r>
        <w:t>There is significant uncertainty surrounding the economic price signal on carbon going forward (which will depend on outcomes from the gove</w:t>
      </w:r>
      <w:r w:rsidR="00A1108A">
        <w:t>rnment’s Direct Action Policy)</w:t>
      </w:r>
      <w:r w:rsidR="00CB3EC7">
        <w:t xml:space="preserve">. </w:t>
      </w:r>
      <w:r w:rsidR="00A1108A">
        <w:t>H</w:t>
      </w:r>
      <w:r>
        <w:t>owever, assuming a value consistent with the backwards looking analysis of $23</w:t>
      </w:r>
      <w:r w:rsidR="0012349F">
        <w:t xml:space="preserve"> </w:t>
      </w:r>
      <w:r>
        <w:t>/</w:t>
      </w:r>
      <w:r w:rsidR="0012349F">
        <w:t xml:space="preserve"> </w:t>
      </w:r>
      <w:r w:rsidR="0012349F" w:rsidRPr="00836ACA">
        <w:t>tCO</w:t>
      </w:r>
      <w:r w:rsidR="0012349F" w:rsidRPr="00860430">
        <w:rPr>
          <w:vertAlign w:val="subscript"/>
        </w:rPr>
        <w:t>2</w:t>
      </w:r>
      <w:r w:rsidR="0012349F">
        <w:t>-e</w:t>
      </w:r>
      <w:r>
        <w:t xml:space="preserve">, the projected NPV of the TLA component of the scheme increases to </w:t>
      </w:r>
      <w:r w:rsidRPr="008965D0">
        <w:t>$6.9</w:t>
      </w:r>
      <w:r w:rsidR="0024777E" w:rsidRPr="008965D0">
        <w:t xml:space="preserve"> </w:t>
      </w:r>
      <w:r w:rsidRPr="008965D0">
        <w:t>m</w:t>
      </w:r>
      <w:r w:rsidR="0024777E" w:rsidRPr="008965D0">
        <w:t>illion</w:t>
      </w:r>
      <w:r w:rsidRPr="008965D0">
        <w:t>.</w:t>
      </w:r>
    </w:p>
    <w:p w14:paraId="1D42905B" w14:textId="77777777" w:rsidR="00A6364A" w:rsidRDefault="00A6364A" w:rsidP="00A6364A">
      <w:pPr>
        <w:pStyle w:val="BodyText"/>
      </w:pPr>
      <w:r>
        <w:t xml:space="preserve">Therefore, with no changes, </w:t>
      </w:r>
      <w:r w:rsidR="00A1108A">
        <w:t xml:space="preserve">whether </w:t>
      </w:r>
      <w:r>
        <w:t xml:space="preserve">the scheme’s </w:t>
      </w:r>
      <w:r w:rsidR="00A1108A">
        <w:t>NPV is positive</w:t>
      </w:r>
      <w:r>
        <w:t xml:space="preserve"> </w:t>
      </w:r>
      <w:r w:rsidR="00C52832">
        <w:t xml:space="preserve">is </w:t>
      </w:r>
      <w:r>
        <w:t>projected to depend on the assumed value of GHG reductions</w:t>
      </w:r>
      <w:r w:rsidR="00CB3EC7">
        <w:t xml:space="preserve">. </w:t>
      </w:r>
      <w:r>
        <w:t>However, changes to the TLA scheme to reduce costs and increase awareness are likely to improve its projected performance</w:t>
      </w:r>
      <w:r w:rsidR="00CB3EC7">
        <w:t xml:space="preserve">. </w:t>
      </w:r>
      <w:r>
        <w:t xml:space="preserve">These recommendations are discussed in </w:t>
      </w:r>
      <w:r w:rsidR="00E56186">
        <w:t>S</w:t>
      </w:r>
      <w:r w:rsidRPr="00E56186">
        <w:t>ection</w:t>
      </w:r>
      <w:r w:rsidR="004F3CCF">
        <w:t xml:space="preserve"> </w:t>
      </w:r>
      <w:r w:rsidR="00492194">
        <w:fldChar w:fldCharType="begin"/>
      </w:r>
      <w:r w:rsidR="004F3CCF">
        <w:instrText xml:space="preserve"> REF _Ref414010945 \r \h </w:instrText>
      </w:r>
      <w:r w:rsidR="00492194">
        <w:fldChar w:fldCharType="separate"/>
      </w:r>
      <w:r w:rsidR="006A273E">
        <w:t>6.4</w:t>
      </w:r>
      <w:r w:rsidR="00492194">
        <w:fldChar w:fldCharType="end"/>
      </w:r>
      <w:r w:rsidRPr="00E56186">
        <w:t>.</w:t>
      </w:r>
    </w:p>
    <w:p w14:paraId="1DA8B932" w14:textId="77777777" w:rsidR="00A6364A" w:rsidRDefault="00A6364A" w:rsidP="00A6364A">
      <w:pPr>
        <w:pStyle w:val="Heading3"/>
        <w:numPr>
          <w:ilvl w:val="2"/>
          <w:numId w:val="20"/>
        </w:numPr>
      </w:pPr>
      <w:bookmarkStart w:id="546" w:name="_Ref408828648"/>
      <w:bookmarkStart w:id="547" w:name="_Toc415660902"/>
      <w:r>
        <w:t>Sensitivity analysis for assessment of TLA benefits</w:t>
      </w:r>
      <w:bookmarkEnd w:id="546"/>
      <w:bookmarkEnd w:id="547"/>
    </w:p>
    <w:p w14:paraId="6CD5673D" w14:textId="77777777" w:rsidR="00A6364A" w:rsidRDefault="00A6364A" w:rsidP="00A6364A">
      <w:pPr>
        <w:pStyle w:val="BodyText"/>
      </w:pPr>
      <w:r>
        <w:t>Similar to the analysis of NABERS, the projected benefit of TLA depends primarily on assumed values for the economic benefit from upgrades and the potential volume of upgraders (in turn dependent on floor space yet to trigger disclosure)</w:t>
      </w:r>
      <w:r w:rsidR="00CB3EC7">
        <w:t xml:space="preserve">. </w:t>
      </w:r>
      <w:r>
        <w:t>These two assumptions are varied in the same way using a sensitivity/threshold analysis.</w:t>
      </w:r>
    </w:p>
    <w:p w14:paraId="51E67237" w14:textId="77777777" w:rsidR="00A6364A" w:rsidRDefault="00A6364A" w:rsidP="00A6364A">
      <w:pPr>
        <w:pStyle w:val="BodyText"/>
      </w:pPr>
      <w:r>
        <w:t xml:space="preserve">This sensitivity analysis is conducted </w:t>
      </w:r>
      <w:r w:rsidR="00403357">
        <w:t xml:space="preserve">by </w:t>
      </w:r>
      <w:r>
        <w:t>first simulating upgrades assuming all ‘model tenants’ and then assuming a more plausible, gradual increase in awareness.</w:t>
      </w:r>
    </w:p>
    <w:p w14:paraId="10B886EB" w14:textId="77777777" w:rsidR="00A6364A" w:rsidRDefault="00A6364A" w:rsidP="00A6364A">
      <w:pPr>
        <w:pStyle w:val="Heading4"/>
        <w:numPr>
          <w:ilvl w:val="3"/>
          <w:numId w:val="20"/>
        </w:numPr>
      </w:pPr>
      <w:r>
        <w:lastRenderedPageBreak/>
        <w:t>Sensitivity to rateable area and upgrade benefits assuming all model tenants</w:t>
      </w:r>
    </w:p>
    <w:p w14:paraId="121C9E2B" w14:textId="77777777" w:rsidR="00A6364A" w:rsidRDefault="00A6364A" w:rsidP="00A6364A">
      <w:pPr>
        <w:pStyle w:val="BodyText"/>
      </w:pPr>
      <w:r>
        <w:t xml:space="preserve">This </w:t>
      </w:r>
      <w:r w:rsidR="004F3CCF">
        <w:t xml:space="preserve">base settings for the </w:t>
      </w:r>
      <w:r>
        <w:t>threshold analysis:</w:t>
      </w:r>
    </w:p>
    <w:p w14:paraId="6EECA552" w14:textId="77777777" w:rsidR="00A6364A" w:rsidRDefault="004F3CCF" w:rsidP="00A6364A">
      <w:pPr>
        <w:pStyle w:val="ListDash"/>
      </w:pPr>
      <w:r>
        <w:t xml:space="preserve">Assume that </w:t>
      </w:r>
      <w:r w:rsidR="00403357">
        <w:t>t</w:t>
      </w:r>
      <w:r w:rsidR="00A6364A">
        <w:t xml:space="preserve">enants </w:t>
      </w:r>
      <w:r>
        <w:t xml:space="preserve">exploit </w:t>
      </w:r>
      <w:r w:rsidR="00A6364A">
        <w:t xml:space="preserve">the full potential of lighting upgrades </w:t>
      </w:r>
      <w:r w:rsidR="00B537F2">
        <w:t xml:space="preserve">when </w:t>
      </w:r>
      <w:r w:rsidR="00A6364A">
        <w:t>occupying a new space over a period of 10 years to 2024</w:t>
      </w:r>
      <w:r w:rsidR="00A27D8A">
        <w:t xml:space="preserve"> (</w:t>
      </w:r>
      <w:r w:rsidR="00930C53">
        <w:t>that is,</w:t>
      </w:r>
      <w:r w:rsidR="00CB3EC7">
        <w:t xml:space="preserve"> </w:t>
      </w:r>
      <w:r w:rsidR="00A27D8A">
        <w:t>assuming they are all model tenants)</w:t>
      </w:r>
    </w:p>
    <w:p w14:paraId="078F227E" w14:textId="77777777" w:rsidR="00A6364A" w:rsidRDefault="004F3CCF" w:rsidP="00A6364A">
      <w:pPr>
        <w:pStyle w:val="ListDash"/>
      </w:pPr>
      <w:r>
        <w:t xml:space="preserve">Assume </w:t>
      </w:r>
      <w:r w:rsidR="00403357">
        <w:t>a</w:t>
      </w:r>
      <w:r w:rsidR="00A6364A">
        <w:t xml:space="preserve"> counterfactual NLPD improvement at </w:t>
      </w:r>
      <w:r w:rsidR="00A6364A" w:rsidRPr="00687EF4">
        <w:t>2.6</w:t>
      </w:r>
      <w:r w:rsidR="00403357">
        <w:t xml:space="preserve"> per cent</w:t>
      </w:r>
      <w:r w:rsidR="00A6364A" w:rsidRPr="00687EF4">
        <w:t xml:space="preserve"> per year</w:t>
      </w:r>
    </w:p>
    <w:p w14:paraId="192AFE3D" w14:textId="77777777" w:rsidR="00A6364A" w:rsidRDefault="004F3CCF" w:rsidP="00A6364A">
      <w:pPr>
        <w:pStyle w:val="ListDash"/>
      </w:pPr>
      <w:r>
        <w:t xml:space="preserve">exclude </w:t>
      </w:r>
      <w:r w:rsidR="00A6364A">
        <w:t>any economic value for GHG reductions.</w:t>
      </w:r>
    </w:p>
    <w:p w14:paraId="2168220F" w14:textId="77777777" w:rsidR="00A6364A" w:rsidRDefault="00A6364A" w:rsidP="00A6364A">
      <w:pPr>
        <w:pStyle w:val="BodyText"/>
      </w:pPr>
      <w:r>
        <w:t xml:space="preserve">These base settings </w:t>
      </w:r>
      <w:r w:rsidR="00CD6952">
        <w:t xml:space="preserve">remain </w:t>
      </w:r>
      <w:r>
        <w:t xml:space="preserve">fixed </w:t>
      </w:r>
      <w:r w:rsidR="00A27D8A">
        <w:t xml:space="preserve">throughout this </w:t>
      </w:r>
      <w:r>
        <w:t>sensitivit</w:t>
      </w:r>
      <w:r w:rsidR="00CD6952">
        <w:t xml:space="preserve">y </w:t>
      </w:r>
      <w:r w:rsidR="00A27D8A">
        <w:t>test</w:t>
      </w:r>
      <w:r w:rsidR="00CB3EC7">
        <w:t xml:space="preserve">. </w:t>
      </w:r>
      <w:r w:rsidR="00CD6952">
        <w:t xml:space="preserve">The following assumptions are varied to </w:t>
      </w:r>
      <w:r w:rsidR="00E33B7D">
        <w:t>determine the sensitivity of the outcomes to that variable</w:t>
      </w:r>
      <w:r>
        <w:t>:</w:t>
      </w:r>
    </w:p>
    <w:p w14:paraId="32EF6042" w14:textId="77777777" w:rsidR="00A6364A" w:rsidRDefault="00A6364A" w:rsidP="00A6364A">
      <w:pPr>
        <w:pStyle w:val="ListDash"/>
      </w:pPr>
      <w:r>
        <w:t xml:space="preserve">The net benefit of lighting upgrades is varied between </w:t>
      </w:r>
      <w:r w:rsidR="00403357">
        <w:t>one per cent</w:t>
      </w:r>
      <w:r>
        <w:t xml:space="preserve"> and 100</w:t>
      </w:r>
      <w:r w:rsidR="00403357">
        <w:t xml:space="preserve"> per cent</w:t>
      </w:r>
      <w:r>
        <w:t xml:space="preserve"> of the base assumption (refer to </w:t>
      </w:r>
      <w:r w:rsidR="00640AF4" w:rsidRPr="00640AF4">
        <w:t>S</w:t>
      </w:r>
      <w:r w:rsidRPr="00640AF4">
        <w:t xml:space="preserve">ection </w:t>
      </w:r>
      <w:r w:rsidR="009278C6">
        <w:t>A.4),</w:t>
      </w:r>
      <w:r>
        <w:t xml:space="preserve"> for the approach used to estimate </w:t>
      </w:r>
      <w:r w:rsidR="00B379DF">
        <w:t>pay-off</w:t>
      </w:r>
      <w:r w:rsidR="00403357">
        <w:t xml:space="preserve"> from lighting upgrades).</w:t>
      </w:r>
    </w:p>
    <w:p w14:paraId="244C9068" w14:textId="77777777" w:rsidR="00A6364A" w:rsidRDefault="00A6364A" w:rsidP="00A6364A">
      <w:pPr>
        <w:pStyle w:val="ListDash"/>
      </w:pPr>
      <w:r>
        <w:t xml:space="preserve">The assumed proportion of total rateable mandatory floor space that is floor space yet to have triggered disclosure is varied from </w:t>
      </w:r>
      <w:r w:rsidR="00403357">
        <w:t>zero per cent</w:t>
      </w:r>
      <w:r>
        <w:t xml:space="preserve"> </w:t>
      </w:r>
      <w:r w:rsidR="00403357">
        <w:t>(that is,</w:t>
      </w:r>
      <w:r>
        <w:t xml:space="preserve"> assuming </w:t>
      </w:r>
      <w:r w:rsidR="00AF2803">
        <w:t xml:space="preserve">inclusion of </w:t>
      </w:r>
      <w:r>
        <w:t>only the mandatory segment already rated) to 90</w:t>
      </w:r>
      <w:r w:rsidR="00403357">
        <w:t xml:space="preserve"> per cent</w:t>
      </w:r>
      <w:r>
        <w:t xml:space="preserve"> (</w:t>
      </w:r>
      <w:r w:rsidR="00403357">
        <w:t>that is,</w:t>
      </w:r>
      <w:r>
        <w:t xml:space="preserve"> the total rateable mandatory floor space is 1 ÷ [1</w:t>
      </w:r>
      <w:r w:rsidR="00403357">
        <w:t>00%</w:t>
      </w:r>
      <w:r>
        <w:t xml:space="preserve"> – 90%] or 10 times the already rated mandatory segment).</w:t>
      </w:r>
    </w:p>
    <w:p w14:paraId="284CA3C0" w14:textId="77777777" w:rsidR="00A6364A" w:rsidRDefault="00A6364A" w:rsidP="00A6364A">
      <w:pPr>
        <w:pStyle w:val="BodyText"/>
      </w:pPr>
      <w:r>
        <w:t xml:space="preserve">The results of this threshold analysis are shown in </w:t>
      </w:r>
      <w:r w:rsidR="003346C7">
        <w:fldChar w:fldCharType="begin"/>
      </w:r>
      <w:r w:rsidR="003346C7">
        <w:instrText xml:space="preserve"> REF _Ref408479824 \h  \* MERGEFORMAT </w:instrText>
      </w:r>
      <w:r w:rsidR="003346C7">
        <w:fldChar w:fldCharType="separate"/>
      </w:r>
      <w:r w:rsidR="006A273E">
        <w:t xml:space="preserve">Figure </w:t>
      </w:r>
      <w:r w:rsidR="006A273E">
        <w:rPr>
          <w:noProof/>
        </w:rPr>
        <w:t>28</w:t>
      </w:r>
      <w:r w:rsidR="003346C7">
        <w:fldChar w:fldCharType="end"/>
      </w:r>
      <w:r w:rsidR="00CB3EC7">
        <w:t xml:space="preserve">. </w:t>
      </w:r>
      <w:r>
        <w:t>The results show that if awareness could be improve</w:t>
      </w:r>
      <w:r w:rsidR="00403357">
        <w:t>d</w:t>
      </w:r>
      <w:r>
        <w:t xml:space="preserve"> to the extent where all tenants are able to fully capitalise on and negotiate lighting upgrades, the TLA component would deliver projected net benefits even if: </w:t>
      </w:r>
    </w:p>
    <w:p w14:paraId="1F32B88C" w14:textId="77777777" w:rsidR="00A6364A" w:rsidRDefault="00403357" w:rsidP="00A6364A">
      <w:pPr>
        <w:pStyle w:val="ListDash"/>
      </w:pPr>
      <w:r>
        <w:t>e</w:t>
      </w:r>
      <w:r w:rsidR="00A6364A" w:rsidRPr="00022103">
        <w:t xml:space="preserve">conomic benefits from </w:t>
      </w:r>
      <w:r w:rsidR="00A6364A">
        <w:t xml:space="preserve">upgrades </w:t>
      </w:r>
      <w:r w:rsidR="00A6364A" w:rsidRPr="00022103">
        <w:t xml:space="preserve">are assumed to </w:t>
      </w:r>
      <w:r w:rsidR="00AC3D48">
        <w:t xml:space="preserve">be </w:t>
      </w:r>
      <w:r w:rsidR="00A6364A">
        <w:t>79</w:t>
      </w:r>
      <w:r>
        <w:t xml:space="preserve"> per cent</w:t>
      </w:r>
      <w:r w:rsidR="00A6364A" w:rsidRPr="00022103">
        <w:t xml:space="preserve"> of the base assumption </w:t>
      </w:r>
      <w:r w:rsidR="00A6364A">
        <w:t>and any outstanding floor sp</w:t>
      </w:r>
      <w:r>
        <w:t>ace yet to rate is excluded</w:t>
      </w:r>
    </w:p>
    <w:p w14:paraId="77DE8462" w14:textId="77777777" w:rsidR="00A6364A" w:rsidRDefault="00A6364A" w:rsidP="00A6364A">
      <w:pPr>
        <w:pStyle w:val="ListDash"/>
      </w:pPr>
      <w:r>
        <w:t>the assumed proportion of total rateable mandatory floor space that is floor space yet to have triggered disclosure is 50</w:t>
      </w:r>
      <w:r w:rsidR="00403357">
        <w:t xml:space="preserve"> per cent</w:t>
      </w:r>
      <w:r>
        <w:t xml:space="preserve"> and economi</w:t>
      </w:r>
      <w:r w:rsidR="00403357">
        <w:t>c benefits from upgrades are at least 55 per cent</w:t>
      </w:r>
      <w:r>
        <w:t xml:space="preserve"> of the base assumption.</w:t>
      </w:r>
    </w:p>
    <w:p w14:paraId="2E89A647" w14:textId="77777777" w:rsidR="00A6364A" w:rsidRDefault="00A6364A" w:rsidP="00A6364A">
      <w:pPr>
        <w:pStyle w:val="Caption"/>
      </w:pPr>
      <w:bookmarkStart w:id="548" w:name="_Ref408479824"/>
      <w:bookmarkStart w:id="549" w:name="_Toc415660973"/>
      <w:r>
        <w:lastRenderedPageBreak/>
        <w:t xml:space="preserve">Figure </w:t>
      </w:r>
      <w:r w:rsidR="00492194">
        <w:fldChar w:fldCharType="begin"/>
      </w:r>
      <w:r w:rsidR="0044208C">
        <w:instrText xml:space="preserve"> SEQ Figure \* ARABIC </w:instrText>
      </w:r>
      <w:r w:rsidR="00492194">
        <w:fldChar w:fldCharType="separate"/>
      </w:r>
      <w:r w:rsidR="006A273E">
        <w:rPr>
          <w:noProof/>
        </w:rPr>
        <w:t>28</w:t>
      </w:r>
      <w:r w:rsidR="00492194">
        <w:rPr>
          <w:noProof/>
        </w:rPr>
        <w:fldChar w:fldCharType="end"/>
      </w:r>
      <w:bookmarkEnd w:id="548"/>
      <w:r w:rsidRPr="004E0C91">
        <w:rPr>
          <w:b/>
          <w:color w:val="000080"/>
        </w:rPr>
        <w:tab/>
      </w:r>
      <w:r>
        <w:rPr>
          <w:rStyle w:val="CaptionLabel"/>
        </w:rPr>
        <w:t>Threshold analysis for benefit of continuing TLA component assuming all model tenants ($m NPV)</w:t>
      </w:r>
      <w:bookmarkEnd w:id="549"/>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A6364A" w14:paraId="719AE601" w14:textId="77777777">
        <w:trPr>
          <w:cantSplit/>
        </w:trPr>
        <w:tc>
          <w:tcPr>
            <w:tcW w:w="5000" w:type="pct"/>
          </w:tcPr>
          <w:p w14:paraId="71BCC33D" w14:textId="77777777" w:rsidR="00A6364A" w:rsidRDefault="00A6364A" w:rsidP="00594865">
            <w:pPr>
              <w:pStyle w:val="SmallDeltasRightAligned"/>
              <w:keepNext/>
            </w:pPr>
            <w:r>
              <w:rPr>
                <w:noProof/>
                <w:lang w:eastAsia="en-AU"/>
              </w:rPr>
              <w:drawing>
                <wp:inline distT="0" distB="0" distL="0" distR="0" wp14:anchorId="0B22FC9D" wp14:editId="052C1E79">
                  <wp:extent cx="481585" cy="234696"/>
                  <wp:effectExtent l="0" t="0" r="0" b="0"/>
                  <wp:docPr id="40" name="Picture 40"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A6364A" w14:paraId="0B1C6EE0" w14:textId="77777777">
        <w:trPr>
          <w:cantSplit/>
        </w:trPr>
        <w:tc>
          <w:tcPr>
            <w:tcW w:w="5000" w:type="pct"/>
          </w:tcPr>
          <w:p w14:paraId="5E76B577" w14:textId="422E7BAC" w:rsidR="00A6364A" w:rsidRDefault="00C22BA2" w:rsidP="00594865">
            <w:pPr>
              <w:pStyle w:val="Figure"/>
            </w:pPr>
            <w:r>
              <w:rPr>
                <w:noProof/>
                <w:lang w:eastAsia="en-AU"/>
              </w:rPr>
              <w:drawing>
                <wp:inline distT="0" distB="0" distL="0" distR="0" wp14:anchorId="12ACACF0" wp14:editId="74204B1E">
                  <wp:extent cx="4688515" cy="7919499"/>
                  <wp:effectExtent l="0" t="0" r="0" b="5715"/>
                  <wp:docPr id="145" name="Picture 145" descr="Figure 28 Threshold analysis for benefit of continuing TLA component assuming all model tenants ($m NPV)" title="Figure 28 Threshold analysis for benefit of continuing TLA component assuming all model tenants ($m N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ergy\Energy Efficiency\Buildings\Commercial Buildings Disclosure\T. CBD Review\WCAG'ed documents\Final WCAG'ed versions\Figure 28 (fixed red oval).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88385" cy="7919280"/>
                          </a:xfrm>
                          <a:prstGeom prst="rect">
                            <a:avLst/>
                          </a:prstGeom>
                          <a:noFill/>
                          <a:ln>
                            <a:noFill/>
                          </a:ln>
                        </pic:spPr>
                      </pic:pic>
                    </a:graphicData>
                  </a:graphic>
                </wp:inline>
              </w:drawing>
            </w:r>
          </w:p>
        </w:tc>
      </w:tr>
    </w:tbl>
    <w:p w14:paraId="5CD63647" w14:textId="77777777" w:rsidR="00A6364A" w:rsidRDefault="00A6364A" w:rsidP="003F5F13">
      <w:pPr>
        <w:pStyle w:val="Source"/>
        <w:pBdr>
          <w:bottom w:val="none" w:sz="0" w:space="0" w:color="auto"/>
        </w:pBdr>
        <w:rPr>
          <w:i/>
        </w:rPr>
      </w:pPr>
      <w:r>
        <w:rPr>
          <w:i/>
        </w:rPr>
        <w:t>Note:</w:t>
      </w:r>
      <w:r w:rsidRPr="00151D24">
        <w:rPr>
          <w:i/>
        </w:rPr>
        <w:t xml:space="preserve"> Red shading with grey text indicates a negative NPV, blue shading with black text indicates a positive NPV and brighter shading indicates relatively higher magnitude of NPV</w:t>
      </w:r>
      <w:r w:rsidR="00CB3EC7">
        <w:rPr>
          <w:i/>
        </w:rPr>
        <w:t xml:space="preserve">. </w:t>
      </w:r>
      <w:r w:rsidR="00BA3224">
        <w:rPr>
          <w:i/>
        </w:rPr>
        <w:t xml:space="preserve">Red circle ($8m) indicates </w:t>
      </w:r>
      <w:r w:rsidR="00A856E3">
        <w:rPr>
          <w:i/>
        </w:rPr>
        <w:t>the combination of parameter values used in the central analysis</w:t>
      </w:r>
      <w:r w:rsidR="00BA3224">
        <w:rPr>
          <w:i/>
        </w:rPr>
        <w:t>.</w:t>
      </w:r>
    </w:p>
    <w:p w14:paraId="20ED36C2" w14:textId="77777777" w:rsidR="00BA3224" w:rsidRPr="00B85543" w:rsidRDefault="00BA3224" w:rsidP="00BA3224">
      <w:pPr>
        <w:pStyle w:val="Source"/>
      </w:pPr>
      <w:r>
        <w:t>Source</w:t>
      </w:r>
      <w:r w:rsidRPr="00B85543">
        <w:t xml:space="preserve">: </w:t>
      </w:r>
      <w:r>
        <w:t>ACIL Allen</w:t>
      </w:r>
    </w:p>
    <w:p w14:paraId="475A78B5" w14:textId="77777777" w:rsidR="00BA3224" w:rsidRPr="003F5F13" w:rsidRDefault="00BA3224" w:rsidP="003F5F13">
      <w:pPr>
        <w:pStyle w:val="BodyText"/>
      </w:pPr>
    </w:p>
    <w:p w14:paraId="74D5957C" w14:textId="77777777" w:rsidR="00A6364A" w:rsidRDefault="00A6364A" w:rsidP="00886D03">
      <w:pPr>
        <w:pStyle w:val="Heading4"/>
      </w:pPr>
      <w:r>
        <w:t>Sensitivity to rateable area and upgrade benefits assuming gradual increase in awareness</w:t>
      </w:r>
    </w:p>
    <w:p w14:paraId="40D4BF2A" w14:textId="77777777" w:rsidR="00A6364A" w:rsidRDefault="00A6364A" w:rsidP="00A6364A">
      <w:pPr>
        <w:pStyle w:val="BodyText"/>
      </w:pPr>
      <w:r>
        <w:t>Repeating the threshold analysis based on:</w:t>
      </w:r>
    </w:p>
    <w:p w14:paraId="3CB697AF" w14:textId="77777777" w:rsidR="00A6364A" w:rsidRDefault="00886D03" w:rsidP="00A6364A">
      <w:pPr>
        <w:pStyle w:val="ListDash"/>
      </w:pPr>
      <w:r>
        <w:t>the awareness of TLA increasing</w:t>
      </w:r>
      <w:r w:rsidR="00A6364A">
        <w:t xml:space="preserve"> gradually</w:t>
      </w:r>
      <w:r>
        <w:t>,</w:t>
      </w:r>
      <w:r w:rsidR="00A6364A">
        <w:t xml:space="preserve"> with 10</w:t>
      </w:r>
      <w:r>
        <w:t xml:space="preserve"> per cent</w:t>
      </w:r>
      <w:r w:rsidR="00A6364A">
        <w:t xml:space="preserve"> of tenants acting as model t</w:t>
      </w:r>
      <w:r>
        <w:t xml:space="preserve">enants in 2015 and </w:t>
      </w:r>
      <w:r w:rsidR="00E33B7D">
        <w:t xml:space="preserve">that proportion increasing steadily to </w:t>
      </w:r>
      <w:r>
        <w:t>100 per cent by 2024</w:t>
      </w:r>
    </w:p>
    <w:p w14:paraId="43E5DDDB" w14:textId="77777777" w:rsidR="00A6364A" w:rsidRDefault="00886D03" w:rsidP="00A6364A">
      <w:pPr>
        <w:pStyle w:val="ListDash"/>
      </w:pPr>
      <w:r>
        <w:t>a</w:t>
      </w:r>
      <w:r w:rsidR="00A6364A">
        <w:t xml:space="preserve"> counterfactual NLPD improvement at </w:t>
      </w:r>
      <w:r>
        <w:t>2.6 per cent</w:t>
      </w:r>
      <w:r w:rsidR="00A6364A" w:rsidRPr="00687EF4">
        <w:t xml:space="preserve"> per year</w:t>
      </w:r>
    </w:p>
    <w:p w14:paraId="647CE6C2" w14:textId="77777777" w:rsidR="00A6364A" w:rsidRDefault="00886D03" w:rsidP="00A6364A">
      <w:pPr>
        <w:pStyle w:val="ListDash"/>
      </w:pPr>
      <w:r>
        <w:t>e</w:t>
      </w:r>
      <w:r w:rsidR="00A6364A">
        <w:t>xcluding any economic value for GHG reductions.</w:t>
      </w:r>
    </w:p>
    <w:p w14:paraId="26AD9644" w14:textId="77777777" w:rsidR="00682129" w:rsidRDefault="00682129" w:rsidP="00682129">
      <w:pPr>
        <w:pStyle w:val="BodyText"/>
      </w:pPr>
      <w:r>
        <w:t>These base settings remain fixed throughout this sensitivity test</w:t>
      </w:r>
      <w:r w:rsidR="00CB3EC7">
        <w:t xml:space="preserve">. </w:t>
      </w:r>
      <w:r>
        <w:t>The following assumptions are varied to determine the sensitivity of the outcomes to that variable:</w:t>
      </w:r>
    </w:p>
    <w:p w14:paraId="6C6A76DB" w14:textId="77777777" w:rsidR="00A6364A" w:rsidRDefault="00A6364A" w:rsidP="00A6364A">
      <w:pPr>
        <w:pStyle w:val="ListDash"/>
      </w:pPr>
      <w:r>
        <w:t xml:space="preserve">The net benefit of lighting upgrades is varied between </w:t>
      </w:r>
      <w:r w:rsidR="00886D03">
        <w:t>one per cent</w:t>
      </w:r>
      <w:r>
        <w:t xml:space="preserve"> and 100</w:t>
      </w:r>
      <w:r w:rsidR="00886D03">
        <w:t xml:space="preserve"> per cent</w:t>
      </w:r>
      <w:r>
        <w:t xml:space="preserve"> of the base assumption (refer to </w:t>
      </w:r>
      <w:r w:rsidR="00886D03" w:rsidRPr="00640AF4">
        <w:t>S</w:t>
      </w:r>
      <w:r w:rsidRPr="00640AF4">
        <w:t xml:space="preserve">ection </w:t>
      </w:r>
      <w:r w:rsidR="00492194">
        <w:fldChar w:fldCharType="begin"/>
      </w:r>
      <w:r w:rsidR="00570B84">
        <w:instrText xml:space="preserve"> REF _Ref409797431 \n \h </w:instrText>
      </w:r>
      <w:r w:rsidR="00492194">
        <w:fldChar w:fldCharType="separate"/>
      </w:r>
      <w:r w:rsidR="006A273E">
        <w:t>A.4</w:t>
      </w:r>
      <w:r w:rsidR="00492194">
        <w:fldChar w:fldCharType="end"/>
      </w:r>
      <w:r w:rsidR="00570B84">
        <w:t xml:space="preserve"> </w:t>
      </w:r>
      <w:r>
        <w:t xml:space="preserve">for the approach used to estimate </w:t>
      </w:r>
      <w:r w:rsidR="00B379DF">
        <w:t>pay-off</w:t>
      </w:r>
      <w:r w:rsidR="00886D03">
        <w:t xml:space="preserve"> from lighting upgrades).</w:t>
      </w:r>
    </w:p>
    <w:p w14:paraId="4B5EACB0" w14:textId="77777777" w:rsidR="00A6364A" w:rsidRDefault="00A6364A" w:rsidP="00A6364A">
      <w:pPr>
        <w:pStyle w:val="ListDash"/>
      </w:pPr>
      <w:r>
        <w:t xml:space="preserve">The assumed proportion of total rateable mandatory floor space that is floor space yet to have triggered disclosure is varied from </w:t>
      </w:r>
      <w:r w:rsidR="00886D03">
        <w:t>zero per cent</w:t>
      </w:r>
      <w:r>
        <w:t xml:space="preserve"> (</w:t>
      </w:r>
      <w:r w:rsidR="00886D03">
        <w:t>that is,</w:t>
      </w:r>
      <w:r>
        <w:t xml:space="preserve"> assuming including only the mandatory segment already rated) to 90</w:t>
      </w:r>
      <w:r w:rsidR="00886D03">
        <w:t xml:space="preserve"> per cent</w:t>
      </w:r>
      <w:r>
        <w:t xml:space="preserve"> (</w:t>
      </w:r>
      <w:r w:rsidR="00886D03">
        <w:t>that is,</w:t>
      </w:r>
      <w:r>
        <w:t xml:space="preserve"> the total rateable mandatory floor space is 1 ÷ [1</w:t>
      </w:r>
      <w:r w:rsidR="00886D03">
        <w:t>00%</w:t>
      </w:r>
      <w:r>
        <w:t xml:space="preserve"> – 90%] or 10 times the already rated mandatory segment).</w:t>
      </w:r>
    </w:p>
    <w:p w14:paraId="0A13C2F8" w14:textId="77777777" w:rsidR="00A6364A" w:rsidRDefault="00A6364A" w:rsidP="00A6364A">
      <w:pPr>
        <w:pStyle w:val="BodyText"/>
      </w:pPr>
      <w:r>
        <w:t xml:space="preserve">The results of this threshold analysis are shown in </w:t>
      </w:r>
      <w:r w:rsidR="003346C7">
        <w:fldChar w:fldCharType="begin"/>
      </w:r>
      <w:r w:rsidR="003346C7">
        <w:instrText xml:space="preserve"> REF _Ref408480372 \h  \* MERGEFORMAT </w:instrText>
      </w:r>
      <w:r w:rsidR="003346C7">
        <w:fldChar w:fldCharType="separate"/>
      </w:r>
      <w:r w:rsidR="006A273E">
        <w:t xml:space="preserve">Figure </w:t>
      </w:r>
      <w:r w:rsidR="006A273E">
        <w:rPr>
          <w:noProof/>
        </w:rPr>
        <w:t>29</w:t>
      </w:r>
      <w:r w:rsidR="003346C7">
        <w:fldChar w:fldCharType="end"/>
      </w:r>
      <w:r w:rsidR="00CB3EC7">
        <w:t xml:space="preserve">. </w:t>
      </w:r>
      <w:r>
        <w:t xml:space="preserve">The results show that: </w:t>
      </w:r>
    </w:p>
    <w:p w14:paraId="332B4E34" w14:textId="77777777" w:rsidR="00A6364A" w:rsidRDefault="00A6364A" w:rsidP="00A6364A">
      <w:pPr>
        <w:pStyle w:val="ListDash"/>
      </w:pPr>
      <w:r>
        <w:t>Under the base assumption for e</w:t>
      </w:r>
      <w:r w:rsidRPr="00022103">
        <w:t xml:space="preserve">conomic benefits from </w:t>
      </w:r>
      <w:r>
        <w:t>upgrades</w:t>
      </w:r>
      <w:r w:rsidR="00886D03">
        <w:t>,</w:t>
      </w:r>
      <w:r>
        <w:t xml:space="preserve"> the volume of total floor space would need to be such that an assumed 90</w:t>
      </w:r>
      <w:r w:rsidR="00886D03">
        <w:t xml:space="preserve"> per cent</w:t>
      </w:r>
      <w:r>
        <w:t xml:space="preserve"> of total rateable mandatory floor space is floor space yet to have triggered disclosure</w:t>
      </w:r>
      <w:r w:rsidR="00886D03">
        <w:t>.</w:t>
      </w:r>
    </w:p>
    <w:p w14:paraId="1F63FDE1" w14:textId="77777777" w:rsidR="00A6364A" w:rsidRDefault="00A6364A" w:rsidP="00A6364A">
      <w:pPr>
        <w:pStyle w:val="ListDash"/>
      </w:pPr>
      <w:r>
        <w:t>If the assumed proportion of total rateable mandatory floor space that is floor space yet to have triggered disclosure is 50</w:t>
      </w:r>
      <w:r w:rsidR="00886D03">
        <w:t xml:space="preserve"> per cent</w:t>
      </w:r>
      <w:r>
        <w:t>, then the TLA component does not deliver economic benefits</w:t>
      </w:r>
      <w:r w:rsidR="003D0DD9">
        <w:t>,</w:t>
      </w:r>
      <w:r>
        <w:t xml:space="preserve"> despite scaling assumed benefits to 156</w:t>
      </w:r>
      <w:r w:rsidR="00886D03">
        <w:t xml:space="preserve"> per cent</w:t>
      </w:r>
      <w:r>
        <w:t xml:space="preserve"> of the base assumption.</w:t>
      </w:r>
    </w:p>
    <w:p w14:paraId="5A0F642C" w14:textId="77777777" w:rsidR="00A6364A" w:rsidRDefault="00A6364A" w:rsidP="00A6364A">
      <w:pPr>
        <w:pStyle w:val="BodyText"/>
      </w:pPr>
      <w:r>
        <w:t>While the amount of total rateable building stock is unknown, evidence reviews suggest that the outstanding rateable floor space is likely to be around 50</w:t>
      </w:r>
      <w:r w:rsidR="00886D03">
        <w:t xml:space="preserve"> per cent</w:t>
      </w:r>
      <w:r>
        <w:t xml:space="preserve"> of the total mandatory rateable floor space and highly unlikely to be as high as 90</w:t>
      </w:r>
      <w:r w:rsidR="00886D03">
        <w:t xml:space="preserve"> per cent</w:t>
      </w:r>
      <w:r w:rsidR="00CB3EC7">
        <w:t xml:space="preserve">. </w:t>
      </w:r>
      <w:r>
        <w:t xml:space="preserve">Based on the estimates of costs and </w:t>
      </w:r>
      <w:r w:rsidR="00B379DF">
        <w:t>pay-off</w:t>
      </w:r>
      <w:r>
        <w:t>s from lighting upgrades, the net benefit of upgrades i</w:t>
      </w:r>
      <w:r w:rsidR="00886D03">
        <w:t>s unlikely to be higher than 50 per cent</w:t>
      </w:r>
      <w:r>
        <w:t xml:space="preserve"> of what is assumed.</w:t>
      </w:r>
    </w:p>
    <w:p w14:paraId="1B82D81C" w14:textId="77777777" w:rsidR="00A6364A" w:rsidRDefault="00A6364A" w:rsidP="00A6364A">
      <w:pPr>
        <w:pStyle w:val="BodyText"/>
      </w:pPr>
      <w:r>
        <w:t>This reinforces the conclusion that in the absence of improvements to scheme awareness, scheme cost or an assumed economic value for GHG reductions, the TLA component of the scheme is not expected to deliver net benefits.</w:t>
      </w:r>
    </w:p>
    <w:p w14:paraId="05A961C6" w14:textId="77777777" w:rsidR="00A6364A" w:rsidRDefault="00A6364A" w:rsidP="00A6364A">
      <w:pPr>
        <w:pStyle w:val="Caption"/>
      </w:pPr>
      <w:bookmarkStart w:id="550" w:name="_Ref408480372"/>
      <w:bookmarkStart w:id="551" w:name="_Toc415660974"/>
      <w:r>
        <w:lastRenderedPageBreak/>
        <w:t xml:space="preserve">Figure </w:t>
      </w:r>
      <w:r w:rsidR="00492194">
        <w:fldChar w:fldCharType="begin"/>
      </w:r>
      <w:r w:rsidR="0044208C">
        <w:instrText xml:space="preserve"> SEQ Figure \* ARABIC </w:instrText>
      </w:r>
      <w:r w:rsidR="00492194">
        <w:fldChar w:fldCharType="separate"/>
      </w:r>
      <w:r w:rsidR="006A273E">
        <w:rPr>
          <w:noProof/>
        </w:rPr>
        <w:t>29</w:t>
      </w:r>
      <w:r w:rsidR="00492194">
        <w:rPr>
          <w:noProof/>
        </w:rPr>
        <w:fldChar w:fldCharType="end"/>
      </w:r>
      <w:bookmarkEnd w:id="550"/>
      <w:r w:rsidRPr="004E0C91">
        <w:rPr>
          <w:b/>
          <w:color w:val="000080"/>
        </w:rPr>
        <w:tab/>
      </w:r>
      <w:r>
        <w:rPr>
          <w:rStyle w:val="CaptionLabel"/>
        </w:rPr>
        <w:t>Threshold analysis for benefit of continuing TLA component assuming gradual increase in awareness ($m NPV)</w:t>
      </w:r>
      <w:bookmarkEnd w:id="551"/>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A6364A" w14:paraId="1FED6233" w14:textId="77777777">
        <w:trPr>
          <w:cantSplit/>
        </w:trPr>
        <w:tc>
          <w:tcPr>
            <w:tcW w:w="5000" w:type="pct"/>
          </w:tcPr>
          <w:p w14:paraId="4E1893DD" w14:textId="77777777" w:rsidR="00A6364A" w:rsidRDefault="00A6364A" w:rsidP="00594865">
            <w:pPr>
              <w:pStyle w:val="SmallDeltasRightAligned"/>
              <w:keepNext/>
            </w:pPr>
            <w:r>
              <w:rPr>
                <w:noProof/>
                <w:lang w:eastAsia="en-AU"/>
              </w:rPr>
              <w:drawing>
                <wp:inline distT="0" distB="0" distL="0" distR="0" wp14:anchorId="2C713652" wp14:editId="0A541E8C">
                  <wp:extent cx="481585" cy="234696"/>
                  <wp:effectExtent l="0" t="0" r="0" b="0"/>
                  <wp:docPr id="43" name="Picture 43"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A6364A" w14:paraId="6895D284" w14:textId="77777777">
        <w:trPr>
          <w:cantSplit/>
        </w:trPr>
        <w:tc>
          <w:tcPr>
            <w:tcW w:w="5000" w:type="pct"/>
          </w:tcPr>
          <w:p w14:paraId="70DCFAFE" w14:textId="2B79DB3C" w:rsidR="00A6364A" w:rsidRDefault="00C650C9" w:rsidP="00594865">
            <w:pPr>
              <w:pStyle w:val="Figure"/>
            </w:pPr>
            <w:r>
              <w:rPr>
                <w:noProof/>
                <w:lang w:eastAsia="en-AU"/>
              </w:rPr>
              <w:drawing>
                <wp:inline distT="0" distB="0" distL="0" distR="0" wp14:anchorId="46C0091D" wp14:editId="3017318D">
                  <wp:extent cx="4655563" cy="7863840"/>
                  <wp:effectExtent l="0" t="0" r="0" b="3810"/>
                  <wp:docPr id="146" name="Picture 146" descr="Figure 29 Threshold analysis for benefit of continuing TLA component assuming gradual increase in awareness ($m NPV)" title="Figure 29 Threshold analysis for benefit of continuing TLA component assuming gradual increase in awareness ($m N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gy\Energy Efficiency\Buildings\Commercial Buildings Disclosure\T. CBD Review\WCAG'ed documents\Final WCAG'ed versions\Figure 29 (fixed red oval).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55434" cy="7863623"/>
                          </a:xfrm>
                          <a:prstGeom prst="rect">
                            <a:avLst/>
                          </a:prstGeom>
                          <a:noFill/>
                          <a:ln>
                            <a:noFill/>
                          </a:ln>
                        </pic:spPr>
                      </pic:pic>
                    </a:graphicData>
                  </a:graphic>
                </wp:inline>
              </w:drawing>
            </w:r>
          </w:p>
        </w:tc>
      </w:tr>
    </w:tbl>
    <w:p w14:paraId="56B9EFB0" w14:textId="77777777" w:rsidR="00A6364A" w:rsidRDefault="00A6364A" w:rsidP="00A6364A">
      <w:pPr>
        <w:pStyle w:val="Source"/>
        <w:rPr>
          <w:i/>
        </w:rPr>
      </w:pPr>
      <w:r>
        <w:rPr>
          <w:i/>
        </w:rPr>
        <w:t>Note:</w:t>
      </w:r>
      <w:r w:rsidRPr="00151D24">
        <w:rPr>
          <w:i/>
        </w:rPr>
        <w:t xml:space="preserve"> Red shading with grey text indicates a negative NPV, blue shading with black text indicates a positive NPV and brighter shading indicates relatively higher magnitude of NPV</w:t>
      </w:r>
      <w:r w:rsidR="00CB3EC7">
        <w:rPr>
          <w:i/>
        </w:rPr>
        <w:t xml:space="preserve">. </w:t>
      </w:r>
      <w:r w:rsidR="00BA3224">
        <w:rPr>
          <w:i/>
        </w:rPr>
        <w:t xml:space="preserve">Red circle (-$4m) </w:t>
      </w:r>
      <w:r w:rsidR="00746840">
        <w:rPr>
          <w:i/>
        </w:rPr>
        <w:t>indicates the combination of parameter values used in the central analysis</w:t>
      </w:r>
      <w:r w:rsidR="00BA3224">
        <w:rPr>
          <w:i/>
        </w:rPr>
        <w:t>.</w:t>
      </w:r>
    </w:p>
    <w:p w14:paraId="362D15B2" w14:textId="77777777" w:rsidR="00640AF4" w:rsidRPr="00B85543" w:rsidRDefault="00640AF4" w:rsidP="00F71862">
      <w:pPr>
        <w:pStyle w:val="Source"/>
      </w:pPr>
      <w:r>
        <w:t>Source</w:t>
      </w:r>
      <w:r w:rsidRPr="00B85543">
        <w:t xml:space="preserve">: </w:t>
      </w:r>
      <w:r>
        <w:t>ACIL Allen</w:t>
      </w:r>
    </w:p>
    <w:p w14:paraId="7AA61092" w14:textId="77777777" w:rsidR="00AF2803" w:rsidRDefault="00AF2803" w:rsidP="00AF2803">
      <w:pPr>
        <w:pStyle w:val="Heading2"/>
      </w:pPr>
      <w:bookmarkStart w:id="552" w:name="_Toc415660903"/>
      <w:r>
        <w:lastRenderedPageBreak/>
        <w:t>Combined assessment</w:t>
      </w:r>
      <w:r w:rsidR="00D53A6E">
        <w:t xml:space="preserve"> of NABERS and TLA</w:t>
      </w:r>
      <w:bookmarkEnd w:id="552"/>
    </w:p>
    <w:p w14:paraId="4FD6B91C" w14:textId="77777777" w:rsidR="00AF2803" w:rsidRDefault="00581195" w:rsidP="00AF2803">
      <w:pPr>
        <w:pStyle w:val="BodyText"/>
      </w:pPr>
      <w:r>
        <w:t>The above analysis of benefits from continuing the program assumed that the program continues for a further five years and projects the costs and benefits over this time horizon.</w:t>
      </w:r>
    </w:p>
    <w:p w14:paraId="7B883B9D" w14:textId="77777777" w:rsidR="00AF2803" w:rsidRDefault="00492194" w:rsidP="00AF2803">
      <w:pPr>
        <w:pStyle w:val="BodyText"/>
      </w:pPr>
      <w:r>
        <w:rPr>
          <w:b/>
        </w:rPr>
        <w:fldChar w:fldCharType="begin"/>
      </w:r>
      <w:r w:rsidR="00745818">
        <w:instrText xml:space="preserve"> REF _Ref409630938 \h </w:instrText>
      </w:r>
      <w:r>
        <w:rPr>
          <w:b/>
        </w:rPr>
      </w:r>
      <w:r>
        <w:rPr>
          <w:b/>
        </w:rPr>
        <w:fldChar w:fldCharType="separate"/>
      </w:r>
      <w:r w:rsidR="006A273E">
        <w:t xml:space="preserve">Table </w:t>
      </w:r>
      <w:r w:rsidR="006A273E">
        <w:rPr>
          <w:noProof/>
        </w:rPr>
        <w:t>21</w:t>
      </w:r>
      <w:r>
        <w:rPr>
          <w:b/>
        </w:rPr>
        <w:fldChar w:fldCharType="end"/>
      </w:r>
      <w:r w:rsidR="00594865">
        <w:t xml:space="preserve"> b</w:t>
      </w:r>
      <w:r w:rsidR="00AF2803">
        <w:t xml:space="preserve">elow </w:t>
      </w:r>
      <w:r w:rsidR="00581195">
        <w:t>provides the combined projected benefits of both the NABERS and TLA components</w:t>
      </w:r>
      <w:r w:rsidR="00CB3EC7">
        <w:t xml:space="preserve">. </w:t>
      </w:r>
      <w:r w:rsidR="00581195">
        <w:t>The results assuming a 10 year extension of the CD program are also shown.</w:t>
      </w:r>
    </w:p>
    <w:p w14:paraId="3463EB13" w14:textId="77777777" w:rsidR="00B41A53" w:rsidRDefault="00B41A53">
      <w:pPr>
        <w:pStyle w:val="Caption"/>
        <w:rPr>
          <w:rStyle w:val="CaptionLabel"/>
          <w:rFonts w:asciiTheme="minorHAnsi" w:hAnsiTheme="minorHAnsi" w:cs="Times New Roman"/>
          <w:sz w:val="22"/>
          <w:szCs w:val="22"/>
          <w:lang w:eastAsia="en-AU"/>
        </w:rPr>
      </w:pPr>
      <w:bookmarkStart w:id="553" w:name="_Ref409630938"/>
      <w:bookmarkStart w:id="554" w:name="_Toc415661028"/>
      <w:r>
        <w:t xml:space="preserve">Table </w:t>
      </w:r>
      <w:r w:rsidR="00492194">
        <w:fldChar w:fldCharType="begin"/>
      </w:r>
      <w:r w:rsidR="0044208C">
        <w:instrText xml:space="preserve"> SEQ Table \* ARABIC </w:instrText>
      </w:r>
      <w:r w:rsidR="00492194">
        <w:fldChar w:fldCharType="separate"/>
      </w:r>
      <w:r w:rsidR="006A273E">
        <w:rPr>
          <w:noProof/>
        </w:rPr>
        <w:t>21</w:t>
      </w:r>
      <w:r w:rsidR="00492194">
        <w:rPr>
          <w:noProof/>
        </w:rPr>
        <w:fldChar w:fldCharType="end"/>
      </w:r>
      <w:bookmarkEnd w:id="553"/>
      <w:r w:rsidRPr="008357FB">
        <w:rPr>
          <w:rStyle w:val="CaptionLabel"/>
        </w:rPr>
        <w:tab/>
      </w:r>
      <w:r>
        <w:rPr>
          <w:b/>
          <w:color w:val="000000"/>
        </w:rPr>
        <w:t>Costs and benefits of continuing the CBD program over 5 and 10 years (2014 $m)</w:t>
      </w:r>
      <w:bookmarkEnd w:id="554"/>
    </w:p>
    <w:tbl>
      <w:tblPr>
        <w:tblW w:w="7202" w:type="dxa"/>
        <w:tblInd w:w="28"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2666"/>
        <w:gridCol w:w="2268"/>
        <w:gridCol w:w="2268"/>
      </w:tblGrid>
      <w:tr w:rsidR="00B41A53" w14:paraId="6723E7BD" w14:textId="77777777">
        <w:trPr>
          <w:cantSplit/>
        </w:trPr>
        <w:tc>
          <w:tcPr>
            <w:tcW w:w="2666" w:type="dxa"/>
            <w:tcBorders>
              <w:top w:val="nil"/>
            </w:tcBorders>
            <w:shd w:val="solid" w:color="9757A6" w:fill="auto"/>
            <w:vAlign w:val="center"/>
          </w:tcPr>
          <w:p w14:paraId="783E0740" w14:textId="77777777" w:rsidR="00B41A53" w:rsidRDefault="00B41A53" w:rsidP="006158F2">
            <w:pPr>
              <w:pStyle w:val="Tablecolumnheadings"/>
            </w:pPr>
            <w:r>
              <w:t>Item</w:t>
            </w:r>
          </w:p>
        </w:tc>
        <w:tc>
          <w:tcPr>
            <w:tcW w:w="2268" w:type="dxa"/>
            <w:tcBorders>
              <w:top w:val="nil"/>
            </w:tcBorders>
            <w:shd w:val="solid" w:color="9757A6" w:fill="auto"/>
            <w:vAlign w:val="center"/>
          </w:tcPr>
          <w:p w14:paraId="7EA909CC" w14:textId="77777777" w:rsidR="00B41A53" w:rsidRDefault="00B41A53" w:rsidP="006158F2">
            <w:pPr>
              <w:pStyle w:val="Tablecolumnheadings"/>
              <w:jc w:val="center"/>
            </w:pPr>
            <w:r>
              <w:t>5 years ($m PV)</w:t>
            </w:r>
          </w:p>
        </w:tc>
        <w:tc>
          <w:tcPr>
            <w:tcW w:w="2268" w:type="dxa"/>
            <w:tcBorders>
              <w:top w:val="nil"/>
            </w:tcBorders>
            <w:shd w:val="solid" w:color="9757A6" w:fill="auto"/>
          </w:tcPr>
          <w:p w14:paraId="35E9D883" w14:textId="77777777" w:rsidR="00B41A53" w:rsidRDefault="00B41A53" w:rsidP="006158F2">
            <w:pPr>
              <w:pStyle w:val="Tablecolumnheadings"/>
              <w:jc w:val="center"/>
            </w:pPr>
            <w:r>
              <w:t>10 years</w:t>
            </w:r>
          </w:p>
        </w:tc>
      </w:tr>
      <w:tr w:rsidR="00B41A53" w14:paraId="365C0FF1" w14:textId="77777777">
        <w:trPr>
          <w:cantSplit/>
        </w:trPr>
        <w:tc>
          <w:tcPr>
            <w:tcW w:w="2666" w:type="dxa"/>
            <w:shd w:val="clear" w:color="auto" w:fill="auto"/>
            <w:vAlign w:val="center"/>
          </w:tcPr>
          <w:p w14:paraId="677E28CE" w14:textId="77777777" w:rsidR="00B41A53" w:rsidRDefault="00B41A53" w:rsidP="006158F2">
            <w:pPr>
              <w:pStyle w:val="Tabletext"/>
            </w:pPr>
            <w:r>
              <w:t>NABERS industry burden</w:t>
            </w:r>
          </w:p>
        </w:tc>
        <w:tc>
          <w:tcPr>
            <w:tcW w:w="2268" w:type="dxa"/>
            <w:shd w:val="clear" w:color="auto" w:fill="auto"/>
            <w:vAlign w:val="center"/>
          </w:tcPr>
          <w:p w14:paraId="6DF05D4C" w14:textId="77777777" w:rsidR="00B41A53" w:rsidRDefault="00B41A53" w:rsidP="00AF44DD">
            <w:pPr>
              <w:pStyle w:val="Tabletext"/>
              <w:jc w:val="center"/>
            </w:pPr>
            <w:r w:rsidRPr="00487E6D">
              <w:t>-$</w:t>
            </w:r>
            <w:r w:rsidR="00AF44DD">
              <w:t>12</w:t>
            </w:r>
            <w:r w:rsidRPr="00487E6D">
              <w:t>.</w:t>
            </w:r>
            <w:r w:rsidR="00AF44DD">
              <w:t>9</w:t>
            </w:r>
          </w:p>
        </w:tc>
        <w:tc>
          <w:tcPr>
            <w:tcW w:w="2268" w:type="dxa"/>
            <w:vAlign w:val="center"/>
          </w:tcPr>
          <w:p w14:paraId="39380D1E" w14:textId="77777777" w:rsidR="00B41A53" w:rsidRDefault="00B41A53" w:rsidP="00AF44DD">
            <w:pPr>
              <w:pStyle w:val="Tabletext"/>
              <w:jc w:val="center"/>
            </w:pPr>
            <w:r w:rsidRPr="00487E6D">
              <w:t>-$2</w:t>
            </w:r>
            <w:r w:rsidR="00AF44DD">
              <w:t>3</w:t>
            </w:r>
            <w:r w:rsidRPr="00487E6D">
              <w:t>.</w:t>
            </w:r>
            <w:r w:rsidR="00AF44DD">
              <w:t>1</w:t>
            </w:r>
          </w:p>
        </w:tc>
      </w:tr>
      <w:tr w:rsidR="00B41A53" w14:paraId="3BADA425" w14:textId="77777777">
        <w:trPr>
          <w:cantSplit/>
        </w:trPr>
        <w:tc>
          <w:tcPr>
            <w:tcW w:w="2666" w:type="dxa"/>
            <w:shd w:val="clear" w:color="auto" w:fill="auto"/>
            <w:vAlign w:val="center"/>
          </w:tcPr>
          <w:p w14:paraId="04DC5471" w14:textId="77777777" w:rsidR="00B41A53" w:rsidRDefault="00B41A53" w:rsidP="006158F2">
            <w:pPr>
              <w:pStyle w:val="Tabletext"/>
            </w:pPr>
            <w:r>
              <w:t>Net benefits of energy reduction</w:t>
            </w:r>
          </w:p>
        </w:tc>
        <w:tc>
          <w:tcPr>
            <w:tcW w:w="2268" w:type="dxa"/>
            <w:shd w:val="clear" w:color="auto" w:fill="auto"/>
            <w:vAlign w:val="center"/>
          </w:tcPr>
          <w:p w14:paraId="13A015E5" w14:textId="77777777" w:rsidR="00B41A53" w:rsidRDefault="00B41A53" w:rsidP="006158F2">
            <w:pPr>
              <w:pStyle w:val="Tabletext"/>
              <w:jc w:val="center"/>
            </w:pPr>
            <w:r w:rsidRPr="00487E6D">
              <w:t>$66.2</w:t>
            </w:r>
          </w:p>
        </w:tc>
        <w:tc>
          <w:tcPr>
            <w:tcW w:w="2268" w:type="dxa"/>
            <w:vAlign w:val="center"/>
          </w:tcPr>
          <w:p w14:paraId="7F74B76C" w14:textId="77777777" w:rsidR="00B41A53" w:rsidRDefault="00B41A53" w:rsidP="006158F2">
            <w:pPr>
              <w:pStyle w:val="Tabletext"/>
              <w:jc w:val="center"/>
            </w:pPr>
            <w:r w:rsidRPr="00487E6D">
              <w:t>$143.3</w:t>
            </w:r>
          </w:p>
        </w:tc>
      </w:tr>
      <w:tr w:rsidR="00B41A53" w14:paraId="15352958" w14:textId="77777777">
        <w:trPr>
          <w:cantSplit/>
        </w:trPr>
        <w:tc>
          <w:tcPr>
            <w:tcW w:w="2666" w:type="dxa"/>
            <w:shd w:val="clear" w:color="auto" w:fill="DBDBDB" w:themeFill="accent3" w:themeFillTint="66"/>
            <w:vAlign w:val="center"/>
          </w:tcPr>
          <w:p w14:paraId="0F7EE74D" w14:textId="77777777" w:rsidR="00B41A53" w:rsidRPr="00487E6D" w:rsidRDefault="00B41A53" w:rsidP="0008364A">
            <w:pPr>
              <w:pStyle w:val="Tabletext"/>
              <w:rPr>
                <w:b/>
              </w:rPr>
            </w:pPr>
            <w:r w:rsidRPr="00487E6D">
              <w:rPr>
                <w:b/>
              </w:rPr>
              <w:t>NABERS NPV</w:t>
            </w:r>
          </w:p>
        </w:tc>
        <w:tc>
          <w:tcPr>
            <w:tcW w:w="2268" w:type="dxa"/>
            <w:shd w:val="clear" w:color="auto" w:fill="DBDBDB" w:themeFill="accent3" w:themeFillTint="66"/>
            <w:vAlign w:val="center"/>
          </w:tcPr>
          <w:p w14:paraId="127C2FDF" w14:textId="77777777" w:rsidR="00B41A53" w:rsidRPr="00487E6D" w:rsidRDefault="00B41A53" w:rsidP="00AF44DD">
            <w:pPr>
              <w:pStyle w:val="Tabletext"/>
              <w:jc w:val="center"/>
              <w:rPr>
                <w:b/>
              </w:rPr>
            </w:pPr>
            <w:r w:rsidRPr="00487E6D">
              <w:rPr>
                <w:b/>
              </w:rPr>
              <w:t>$5</w:t>
            </w:r>
            <w:r w:rsidR="00AF44DD">
              <w:rPr>
                <w:b/>
              </w:rPr>
              <w:t>3</w:t>
            </w:r>
            <w:r w:rsidRPr="00487E6D">
              <w:rPr>
                <w:b/>
              </w:rPr>
              <w:t>.3</w:t>
            </w:r>
          </w:p>
        </w:tc>
        <w:tc>
          <w:tcPr>
            <w:tcW w:w="2268" w:type="dxa"/>
            <w:shd w:val="clear" w:color="auto" w:fill="DBDBDB" w:themeFill="accent3" w:themeFillTint="66"/>
            <w:vAlign w:val="center"/>
          </w:tcPr>
          <w:p w14:paraId="414528A5" w14:textId="77777777" w:rsidR="00B41A53" w:rsidRPr="00487E6D" w:rsidRDefault="00B41A53" w:rsidP="00AF44DD">
            <w:pPr>
              <w:pStyle w:val="Tabletext"/>
              <w:jc w:val="center"/>
              <w:rPr>
                <w:b/>
              </w:rPr>
            </w:pPr>
            <w:r w:rsidRPr="00487E6D">
              <w:rPr>
                <w:b/>
              </w:rPr>
              <w:t>$12</w:t>
            </w:r>
            <w:r w:rsidR="00AF44DD">
              <w:rPr>
                <w:b/>
              </w:rPr>
              <w:t>0</w:t>
            </w:r>
            <w:r w:rsidRPr="00487E6D">
              <w:rPr>
                <w:b/>
              </w:rPr>
              <w:t>.</w:t>
            </w:r>
            <w:r w:rsidR="00AF44DD">
              <w:rPr>
                <w:b/>
              </w:rPr>
              <w:t>1</w:t>
            </w:r>
          </w:p>
        </w:tc>
      </w:tr>
      <w:tr w:rsidR="00B41A53" w14:paraId="1B95BAC5" w14:textId="77777777">
        <w:trPr>
          <w:cantSplit/>
        </w:trPr>
        <w:tc>
          <w:tcPr>
            <w:tcW w:w="2666" w:type="dxa"/>
            <w:shd w:val="clear" w:color="auto" w:fill="auto"/>
            <w:vAlign w:val="center"/>
          </w:tcPr>
          <w:p w14:paraId="337FE1EC" w14:textId="77777777" w:rsidR="00B41A53" w:rsidRDefault="00B41A53" w:rsidP="006158F2">
            <w:pPr>
              <w:pStyle w:val="Tabletext"/>
            </w:pPr>
            <w:r>
              <w:t>TLA i</w:t>
            </w:r>
            <w:r w:rsidRPr="009C4872">
              <w:t>ndustry burden</w:t>
            </w:r>
          </w:p>
        </w:tc>
        <w:tc>
          <w:tcPr>
            <w:tcW w:w="2268" w:type="dxa"/>
            <w:shd w:val="clear" w:color="auto" w:fill="auto"/>
            <w:vAlign w:val="center"/>
          </w:tcPr>
          <w:p w14:paraId="4C0AE31D" w14:textId="77777777" w:rsidR="00B41A53" w:rsidRDefault="00B41A53" w:rsidP="006158F2">
            <w:pPr>
              <w:pStyle w:val="Tabletext"/>
              <w:jc w:val="center"/>
            </w:pPr>
            <w:r w:rsidRPr="00487E6D">
              <w:t>-$8.4</w:t>
            </w:r>
          </w:p>
        </w:tc>
        <w:tc>
          <w:tcPr>
            <w:tcW w:w="2268" w:type="dxa"/>
            <w:vAlign w:val="center"/>
          </w:tcPr>
          <w:p w14:paraId="58B7BB35" w14:textId="77777777" w:rsidR="00B41A53" w:rsidRPr="0027527B" w:rsidRDefault="00B41A53" w:rsidP="006158F2">
            <w:pPr>
              <w:pStyle w:val="Tabletext"/>
              <w:jc w:val="center"/>
            </w:pPr>
            <w:r w:rsidRPr="00487E6D">
              <w:t>-$15.1</w:t>
            </w:r>
          </w:p>
        </w:tc>
      </w:tr>
      <w:tr w:rsidR="00B41A53" w14:paraId="2E18769D" w14:textId="77777777">
        <w:trPr>
          <w:cantSplit/>
        </w:trPr>
        <w:tc>
          <w:tcPr>
            <w:tcW w:w="2666" w:type="dxa"/>
            <w:tcBorders>
              <w:bottom w:val="single" w:sz="2" w:space="0" w:color="C0C0C0"/>
            </w:tcBorders>
            <w:shd w:val="clear" w:color="auto" w:fill="auto"/>
            <w:vAlign w:val="center"/>
          </w:tcPr>
          <w:p w14:paraId="5A2ADB3A" w14:textId="77777777" w:rsidR="00B41A53" w:rsidRDefault="00B41A53" w:rsidP="006158F2">
            <w:pPr>
              <w:pStyle w:val="Tabletext"/>
            </w:pPr>
            <w:r>
              <w:t xml:space="preserve">TLA </w:t>
            </w:r>
            <w:r w:rsidRPr="0027527B">
              <w:t>benefit</w:t>
            </w:r>
            <w:r>
              <w:t>s from upgrades</w:t>
            </w:r>
          </w:p>
        </w:tc>
        <w:tc>
          <w:tcPr>
            <w:tcW w:w="2268" w:type="dxa"/>
            <w:tcBorders>
              <w:bottom w:val="single" w:sz="2" w:space="0" w:color="C0C0C0"/>
            </w:tcBorders>
            <w:shd w:val="clear" w:color="auto" w:fill="auto"/>
            <w:vAlign w:val="center"/>
          </w:tcPr>
          <w:p w14:paraId="39291ABC" w14:textId="77777777" w:rsidR="00B41A53" w:rsidRDefault="00B41A53" w:rsidP="006158F2">
            <w:pPr>
              <w:pStyle w:val="Tabletext"/>
              <w:jc w:val="center"/>
            </w:pPr>
            <w:r w:rsidRPr="00487E6D">
              <w:t>$4.5</w:t>
            </w:r>
          </w:p>
        </w:tc>
        <w:tc>
          <w:tcPr>
            <w:tcW w:w="2268" w:type="dxa"/>
            <w:tcBorders>
              <w:bottom w:val="single" w:sz="2" w:space="0" w:color="C0C0C0"/>
            </w:tcBorders>
            <w:vAlign w:val="center"/>
          </w:tcPr>
          <w:p w14:paraId="78F36FE4" w14:textId="77777777" w:rsidR="00B41A53" w:rsidRPr="0027527B" w:rsidRDefault="00B41A53" w:rsidP="006158F2">
            <w:pPr>
              <w:pStyle w:val="Tabletext"/>
              <w:jc w:val="center"/>
            </w:pPr>
            <w:r w:rsidRPr="00487E6D">
              <w:t>$47.9</w:t>
            </w:r>
          </w:p>
        </w:tc>
      </w:tr>
      <w:tr w:rsidR="00B41A53" w14:paraId="11DAE171" w14:textId="77777777">
        <w:trPr>
          <w:cantSplit/>
        </w:trPr>
        <w:tc>
          <w:tcPr>
            <w:tcW w:w="2666" w:type="dxa"/>
            <w:tcBorders>
              <w:top w:val="single" w:sz="2" w:space="0" w:color="C0C0C0"/>
              <w:bottom w:val="single" w:sz="2" w:space="0" w:color="C0C0C0"/>
            </w:tcBorders>
            <w:shd w:val="clear" w:color="auto" w:fill="DBDBDB" w:themeFill="accent3" w:themeFillTint="66"/>
            <w:vAlign w:val="center"/>
          </w:tcPr>
          <w:p w14:paraId="7B8B3761" w14:textId="77777777" w:rsidR="00B41A53" w:rsidRDefault="00B41A53" w:rsidP="0008364A">
            <w:pPr>
              <w:pStyle w:val="Tabletext"/>
            </w:pPr>
            <w:r>
              <w:rPr>
                <w:b/>
              </w:rPr>
              <w:t xml:space="preserve">TLA </w:t>
            </w:r>
            <w:r w:rsidRPr="00151D24">
              <w:rPr>
                <w:b/>
              </w:rPr>
              <w:t>NPV</w:t>
            </w:r>
          </w:p>
        </w:tc>
        <w:tc>
          <w:tcPr>
            <w:tcW w:w="2268" w:type="dxa"/>
            <w:tcBorders>
              <w:top w:val="single" w:sz="2" w:space="0" w:color="C0C0C0"/>
              <w:bottom w:val="single" w:sz="2" w:space="0" w:color="C0C0C0"/>
            </w:tcBorders>
            <w:shd w:val="clear" w:color="auto" w:fill="DBDBDB" w:themeFill="accent3" w:themeFillTint="66"/>
            <w:vAlign w:val="center"/>
          </w:tcPr>
          <w:p w14:paraId="26D875FB" w14:textId="77777777" w:rsidR="00B41A53" w:rsidRPr="00512A19" w:rsidRDefault="00B41A53" w:rsidP="006158F2">
            <w:pPr>
              <w:pStyle w:val="Tabletext"/>
              <w:jc w:val="center"/>
              <w:rPr>
                <w:b/>
              </w:rPr>
            </w:pPr>
            <w:r w:rsidRPr="00487E6D">
              <w:rPr>
                <w:b/>
              </w:rPr>
              <w:t>-$3.9</w:t>
            </w:r>
          </w:p>
        </w:tc>
        <w:tc>
          <w:tcPr>
            <w:tcW w:w="2268" w:type="dxa"/>
            <w:tcBorders>
              <w:top w:val="single" w:sz="2" w:space="0" w:color="C0C0C0"/>
              <w:bottom w:val="single" w:sz="2" w:space="0" w:color="C0C0C0"/>
            </w:tcBorders>
            <w:shd w:val="clear" w:color="auto" w:fill="DBDBDB" w:themeFill="accent3" w:themeFillTint="66"/>
            <w:vAlign w:val="center"/>
          </w:tcPr>
          <w:p w14:paraId="5932EDD5" w14:textId="77777777" w:rsidR="00B41A53" w:rsidRPr="00EC75E1" w:rsidRDefault="00B41A53" w:rsidP="006158F2">
            <w:pPr>
              <w:pStyle w:val="Tabletext"/>
              <w:jc w:val="center"/>
              <w:rPr>
                <w:b/>
              </w:rPr>
            </w:pPr>
            <w:r w:rsidRPr="00487E6D">
              <w:rPr>
                <w:b/>
              </w:rPr>
              <w:t>$32.8</w:t>
            </w:r>
          </w:p>
        </w:tc>
      </w:tr>
      <w:tr w:rsidR="00B41A53" w14:paraId="03706F4A" w14:textId="77777777">
        <w:trPr>
          <w:cantSplit/>
        </w:trPr>
        <w:tc>
          <w:tcPr>
            <w:tcW w:w="2666" w:type="dxa"/>
            <w:tcBorders>
              <w:top w:val="single" w:sz="2" w:space="0" w:color="C0C0C0"/>
              <w:bottom w:val="single" w:sz="2" w:space="0" w:color="C0C0C0"/>
            </w:tcBorders>
            <w:shd w:val="clear" w:color="auto" w:fill="auto"/>
            <w:vAlign w:val="center"/>
          </w:tcPr>
          <w:p w14:paraId="15077675" w14:textId="77777777" w:rsidR="00B41A53" w:rsidRPr="00836ACA" w:rsidRDefault="00B41A53" w:rsidP="006158F2">
            <w:pPr>
              <w:pStyle w:val="Tabletext"/>
            </w:pPr>
            <w:r>
              <w:t>Program costs</w:t>
            </w:r>
          </w:p>
        </w:tc>
        <w:tc>
          <w:tcPr>
            <w:tcW w:w="2268" w:type="dxa"/>
            <w:tcBorders>
              <w:top w:val="single" w:sz="2" w:space="0" w:color="C0C0C0"/>
              <w:bottom w:val="single" w:sz="2" w:space="0" w:color="C0C0C0"/>
            </w:tcBorders>
            <w:shd w:val="clear" w:color="auto" w:fill="auto"/>
            <w:vAlign w:val="center"/>
          </w:tcPr>
          <w:p w14:paraId="5A582824" w14:textId="77777777" w:rsidR="00B41A53" w:rsidRPr="00836ACA" w:rsidRDefault="00B41A53" w:rsidP="00AF44DD">
            <w:pPr>
              <w:pStyle w:val="Tabletext"/>
              <w:jc w:val="center"/>
            </w:pPr>
            <w:r w:rsidRPr="00487E6D">
              <w:t>-$</w:t>
            </w:r>
            <w:r w:rsidR="00AF44DD">
              <w:t>6</w:t>
            </w:r>
            <w:r w:rsidRPr="00487E6D">
              <w:t>.</w:t>
            </w:r>
            <w:r w:rsidR="00AF44DD">
              <w:t>2</w:t>
            </w:r>
          </w:p>
        </w:tc>
        <w:tc>
          <w:tcPr>
            <w:tcW w:w="2268" w:type="dxa"/>
            <w:tcBorders>
              <w:top w:val="single" w:sz="2" w:space="0" w:color="C0C0C0"/>
              <w:bottom w:val="single" w:sz="2" w:space="0" w:color="C0C0C0"/>
            </w:tcBorders>
            <w:vAlign w:val="center"/>
          </w:tcPr>
          <w:p w14:paraId="0308CB6B" w14:textId="77777777" w:rsidR="00B41A53" w:rsidRPr="00836ACA" w:rsidRDefault="00B41A53" w:rsidP="00AF44DD">
            <w:pPr>
              <w:pStyle w:val="Tabletext"/>
              <w:jc w:val="center"/>
            </w:pPr>
            <w:r w:rsidRPr="00487E6D">
              <w:t>-$1</w:t>
            </w:r>
            <w:r w:rsidR="00AF44DD">
              <w:t>0</w:t>
            </w:r>
            <w:r w:rsidRPr="00487E6D">
              <w:t>.</w:t>
            </w:r>
            <w:r w:rsidR="00AF44DD">
              <w:t>5</w:t>
            </w:r>
          </w:p>
        </w:tc>
      </w:tr>
      <w:tr w:rsidR="00B41A53" w14:paraId="25EA8E3C" w14:textId="77777777">
        <w:trPr>
          <w:cantSplit/>
        </w:trPr>
        <w:tc>
          <w:tcPr>
            <w:tcW w:w="2666" w:type="dxa"/>
            <w:tcBorders>
              <w:top w:val="single" w:sz="2" w:space="0" w:color="C0C0C0"/>
              <w:bottom w:val="single" w:sz="2" w:space="0" w:color="999999"/>
            </w:tcBorders>
            <w:shd w:val="clear" w:color="auto" w:fill="DBDBDB" w:themeFill="accent3" w:themeFillTint="66"/>
            <w:vAlign w:val="center"/>
          </w:tcPr>
          <w:p w14:paraId="0B6A0BD5" w14:textId="77777777" w:rsidR="00B41A53" w:rsidRPr="00836ACA" w:rsidRDefault="00B41A53" w:rsidP="0008364A">
            <w:pPr>
              <w:pStyle w:val="Tabletext"/>
            </w:pPr>
            <w:r>
              <w:rPr>
                <w:b/>
              </w:rPr>
              <w:t xml:space="preserve">Combined </w:t>
            </w:r>
            <w:r w:rsidRPr="00151D24">
              <w:rPr>
                <w:b/>
              </w:rPr>
              <w:t>NPV</w:t>
            </w:r>
          </w:p>
        </w:tc>
        <w:tc>
          <w:tcPr>
            <w:tcW w:w="2268" w:type="dxa"/>
            <w:tcBorders>
              <w:top w:val="single" w:sz="2" w:space="0" w:color="C0C0C0"/>
              <w:bottom w:val="single" w:sz="2" w:space="0" w:color="999999"/>
            </w:tcBorders>
            <w:shd w:val="clear" w:color="auto" w:fill="DBDBDB" w:themeFill="accent3" w:themeFillTint="66"/>
            <w:vAlign w:val="center"/>
          </w:tcPr>
          <w:p w14:paraId="7E549959" w14:textId="77777777" w:rsidR="00B41A53" w:rsidRPr="00487E6D" w:rsidRDefault="00B41A53" w:rsidP="00AF44DD">
            <w:pPr>
              <w:pStyle w:val="Tabletext"/>
              <w:jc w:val="center"/>
              <w:rPr>
                <w:b/>
              </w:rPr>
            </w:pPr>
            <w:r w:rsidRPr="00487E6D">
              <w:rPr>
                <w:b/>
              </w:rPr>
              <w:t>$4</w:t>
            </w:r>
            <w:r w:rsidR="00AF44DD">
              <w:rPr>
                <w:b/>
              </w:rPr>
              <w:t>3</w:t>
            </w:r>
            <w:r w:rsidRPr="00487E6D">
              <w:rPr>
                <w:b/>
              </w:rPr>
              <w:t>.</w:t>
            </w:r>
            <w:r w:rsidR="00AF44DD">
              <w:rPr>
                <w:b/>
              </w:rPr>
              <w:t>3</w:t>
            </w:r>
          </w:p>
        </w:tc>
        <w:tc>
          <w:tcPr>
            <w:tcW w:w="2268" w:type="dxa"/>
            <w:tcBorders>
              <w:top w:val="single" w:sz="2" w:space="0" w:color="C0C0C0"/>
              <w:bottom w:val="single" w:sz="2" w:space="0" w:color="999999"/>
            </w:tcBorders>
            <w:shd w:val="clear" w:color="auto" w:fill="DBDBDB" w:themeFill="accent3" w:themeFillTint="66"/>
            <w:vAlign w:val="center"/>
          </w:tcPr>
          <w:p w14:paraId="0E8BD802" w14:textId="77777777" w:rsidR="00B41A53" w:rsidRPr="00487E6D" w:rsidRDefault="00B41A53" w:rsidP="00AF44DD">
            <w:pPr>
              <w:pStyle w:val="Tabletext"/>
              <w:jc w:val="center"/>
              <w:rPr>
                <w:b/>
              </w:rPr>
            </w:pPr>
            <w:r w:rsidRPr="00487E6D">
              <w:rPr>
                <w:b/>
              </w:rPr>
              <w:t>$14</w:t>
            </w:r>
            <w:r w:rsidR="00AF44DD">
              <w:rPr>
                <w:b/>
              </w:rPr>
              <w:t>2</w:t>
            </w:r>
            <w:r w:rsidRPr="00487E6D">
              <w:rPr>
                <w:b/>
              </w:rPr>
              <w:t>.</w:t>
            </w:r>
            <w:r w:rsidR="00AF44DD">
              <w:rPr>
                <w:b/>
              </w:rPr>
              <w:t>3</w:t>
            </w:r>
          </w:p>
        </w:tc>
      </w:tr>
    </w:tbl>
    <w:p w14:paraId="325F4E8B" w14:textId="5D9F072D" w:rsidR="00B41A53" w:rsidRDefault="00B41A53" w:rsidP="00B41A53">
      <w:pPr>
        <w:pStyle w:val="Note"/>
      </w:pPr>
      <w:r w:rsidRPr="00B85543">
        <w:rPr>
          <w:i/>
        </w:rPr>
        <w:t>Note:</w:t>
      </w:r>
      <w:r w:rsidRPr="00B85543">
        <w:t xml:space="preserve"> </w:t>
      </w:r>
      <w:r>
        <w:t>NPVs exclude productivity benefits and GHG benefits</w:t>
      </w:r>
      <w:r w:rsidR="00CB3EC7">
        <w:t xml:space="preserve">. </w:t>
      </w:r>
      <w:r w:rsidR="00747449">
        <w:t>Present value estimates based on a 5</w:t>
      </w:r>
      <w:r w:rsidR="00005858">
        <w:t>-</w:t>
      </w:r>
      <w:r w:rsidR="00747449">
        <w:t>year program duration are estimated between 2015 and 2024 and p</w:t>
      </w:r>
      <w:r w:rsidR="00747449" w:rsidRPr="00747449">
        <w:t xml:space="preserve">resent value estimates based on a </w:t>
      </w:r>
      <w:r w:rsidR="00747449">
        <w:t>10</w:t>
      </w:r>
      <w:r w:rsidR="00005858">
        <w:t>-</w:t>
      </w:r>
      <w:r w:rsidR="00747449" w:rsidRPr="00747449">
        <w:t>year program duration are estimated between 2015 and 2028</w:t>
      </w:r>
      <w:r w:rsidR="00747449">
        <w:t>.</w:t>
      </w:r>
    </w:p>
    <w:p w14:paraId="0D54ED8F" w14:textId="77777777" w:rsidR="00B41A53" w:rsidRPr="00B347D7" w:rsidRDefault="00B41A53" w:rsidP="006158F2">
      <w:pPr>
        <w:pStyle w:val="Source"/>
      </w:pPr>
      <w:r w:rsidRPr="00B347D7">
        <w:t xml:space="preserve">Source: </w:t>
      </w:r>
      <w:r>
        <w:t>ACIL Allen</w:t>
      </w:r>
    </w:p>
    <w:p w14:paraId="0E2A503C" w14:textId="17E24997" w:rsidR="0010707E" w:rsidRDefault="0010707E" w:rsidP="0010707E">
      <w:pPr>
        <w:pStyle w:val="BodyText"/>
      </w:pPr>
      <w:r>
        <w:t>The uncertainty in estimates of costs and benefits increases significantly for years further into the future</w:t>
      </w:r>
      <w:r w:rsidR="00005858">
        <w:t>;</w:t>
      </w:r>
      <w:r>
        <w:t xml:space="preserve"> th</w:t>
      </w:r>
      <w:r w:rsidR="00005858">
        <w:t>us,</w:t>
      </w:r>
      <w:r>
        <w:t xml:space="preserve"> there is a lower level of confidence for estimates of benefits over </w:t>
      </w:r>
      <w:r w:rsidR="00005858">
        <w:t xml:space="preserve">a </w:t>
      </w:r>
      <w:r>
        <w:t>10</w:t>
      </w:r>
      <w:r w:rsidR="00005858">
        <w:t>-</w:t>
      </w:r>
      <w:r>
        <w:t>year program duration.</w:t>
      </w:r>
    </w:p>
    <w:p w14:paraId="0854B3A4" w14:textId="77777777" w:rsidR="00B07566" w:rsidRDefault="0010707E" w:rsidP="004572F4">
      <w:pPr>
        <w:pStyle w:val="BodyText"/>
      </w:pPr>
      <w:r>
        <w:t xml:space="preserve">The distributional impacts of continuing the CBD are expected to be similar to the estimated distributional impacts of the program to date (refer to </w:t>
      </w:r>
      <w:r w:rsidRPr="00076BB2">
        <w:t xml:space="preserve">Section </w:t>
      </w:r>
      <w:r w:rsidR="003346C7">
        <w:fldChar w:fldCharType="begin"/>
      </w:r>
      <w:r w:rsidR="003346C7">
        <w:instrText xml:space="preserve"> REF _Ref409627480 \r \h  \* MERGEFORMAT </w:instrText>
      </w:r>
      <w:r w:rsidR="003346C7">
        <w:fldChar w:fldCharType="separate"/>
      </w:r>
      <w:r w:rsidR="006A273E">
        <w:t>4.7</w:t>
      </w:r>
      <w:r w:rsidR="003346C7">
        <w:fldChar w:fldCharType="end"/>
      </w:r>
      <w:r>
        <w:t>).</w:t>
      </w:r>
    </w:p>
    <w:p w14:paraId="347C43A4" w14:textId="77777777" w:rsidR="00DD317B" w:rsidRDefault="00DD317B" w:rsidP="00DD317B">
      <w:pPr>
        <w:pStyle w:val="Heading2"/>
        <w:numPr>
          <w:ilvl w:val="1"/>
          <w:numId w:val="20"/>
        </w:numPr>
      </w:pPr>
      <w:bookmarkStart w:id="555" w:name="_Ref409091325"/>
      <w:bookmarkStart w:id="556" w:name="_Toc415660904"/>
      <w:r>
        <w:t>Assessment of potential interactions with Emissions Reduction Fund</w:t>
      </w:r>
      <w:bookmarkEnd w:id="555"/>
      <w:bookmarkEnd w:id="556"/>
    </w:p>
    <w:p w14:paraId="1E3BB2BD" w14:textId="77777777" w:rsidR="00362EA3" w:rsidRDefault="005A28C3" w:rsidP="00DB0E3E">
      <w:pPr>
        <w:pStyle w:val="BodyText"/>
      </w:pPr>
      <w:r>
        <w:t>The ERF will purchase emissions reduction credits through a $2.5 billion fund and a pay-as-bid ‘reverse auction’ process, with some design elements yet to be confirmed</w:t>
      </w:r>
      <w:r w:rsidR="00CB3EC7">
        <w:t xml:space="preserve">. </w:t>
      </w:r>
      <w:r>
        <w:t>The reverse auction will function under a ‘benchmark price’ (the maximum price that will be paid to auction bidders to undertake abatement)</w:t>
      </w:r>
      <w:r w:rsidR="00CB3EC7">
        <w:t xml:space="preserve">. </w:t>
      </w:r>
      <w:r w:rsidRPr="005A28C3">
        <w:t xml:space="preserve">The </w:t>
      </w:r>
      <w:r>
        <w:t>Clean Energy Regulator (</w:t>
      </w:r>
      <w:r w:rsidRPr="005A28C3">
        <w:t>CER</w:t>
      </w:r>
      <w:r>
        <w:t>)</w:t>
      </w:r>
      <w:r w:rsidRPr="005A28C3">
        <w:t xml:space="preserve"> will not publish the benchmark price</w:t>
      </w:r>
      <w:r w:rsidR="00005858">
        <w:t>,</w:t>
      </w:r>
      <w:r>
        <w:t xml:space="preserve"> except for</w:t>
      </w:r>
      <w:r w:rsidRPr="005A28C3">
        <w:t xml:space="preserve"> the first auction, where the CER may at its discretion publish the benchmark price to increase participation in the absence of any other price information</w:t>
      </w:r>
      <w:r w:rsidR="00CB3EC7" w:rsidRPr="005A28C3">
        <w:t>.</w:t>
      </w:r>
      <w:r w:rsidR="00CB3EC7">
        <w:t xml:space="preserve"> </w:t>
      </w:r>
      <w:r w:rsidR="00DB284A" w:rsidRPr="00DB284A">
        <w:t>The CER will publish the weighted average price paid across successful bids following each auction</w:t>
      </w:r>
      <w:r w:rsidR="00CB3EC7" w:rsidRPr="00DB284A">
        <w:t>.</w:t>
      </w:r>
      <w:r w:rsidR="00CB3EC7">
        <w:t xml:space="preserve"> </w:t>
      </w:r>
      <w:r w:rsidR="00DB284A" w:rsidRPr="00DB284A">
        <w:t>The CER will also publish annual reports on the total amount of abatement in successful bids, total funding allocated, the number of units purchased and expenditure on those units.</w:t>
      </w:r>
    </w:p>
    <w:p w14:paraId="7344AD10" w14:textId="77777777" w:rsidR="005A28C3" w:rsidRPr="00DB0E3E" w:rsidRDefault="005A28C3" w:rsidP="00DB0E3E">
      <w:pPr>
        <w:pStyle w:val="BodyText"/>
      </w:pPr>
      <w:r>
        <w:t>A ‘safeguard mechanism’ to penalise emissions increasing from business as usual is being considered</w:t>
      </w:r>
      <w:r w:rsidR="00CB3EC7">
        <w:t xml:space="preserve">. </w:t>
      </w:r>
      <w:r w:rsidR="00362EA3" w:rsidRPr="00362EA3">
        <w:t>The safeguard mechanism will commence on 1 July 2016 following consultation with business</w:t>
      </w:r>
      <w:r w:rsidR="00CB3EC7" w:rsidRPr="00362EA3">
        <w:t>.</w:t>
      </w:r>
      <w:r w:rsidR="00CB3EC7">
        <w:t xml:space="preserve"> </w:t>
      </w:r>
      <w:r w:rsidR="00362EA3" w:rsidRPr="00362EA3">
        <w:t>Consultation will focus on the treatment of new investments and flexible compliance arrangements.</w:t>
      </w:r>
    </w:p>
    <w:p w14:paraId="2CB025B1" w14:textId="77777777" w:rsidR="005A28C3" w:rsidRDefault="005A28C3" w:rsidP="00DB0E3E">
      <w:pPr>
        <w:pStyle w:val="BodyText"/>
      </w:pPr>
      <w:r w:rsidRPr="00362EA3">
        <w:t xml:space="preserve">The commercial buildings sector will be able to participate in the ERF using a number of different methods, including a commercial buildings method that employs </w:t>
      </w:r>
      <w:r w:rsidRPr="00362EA3">
        <w:lastRenderedPageBreak/>
        <w:t>NABERS tools to calculate abatement</w:t>
      </w:r>
      <w:r w:rsidR="00CB3EC7" w:rsidRPr="00362EA3">
        <w:t>.</w:t>
      </w:r>
      <w:r w:rsidR="00CB3EC7">
        <w:t xml:space="preserve"> </w:t>
      </w:r>
      <w:r w:rsidRPr="00362EA3">
        <w:t xml:space="preserve">The likely level of </w:t>
      </w:r>
      <w:r>
        <w:t>participation by the sector is uncertain, with auction prices and the feasibility of aggregating smaller project</w:t>
      </w:r>
      <w:r w:rsidR="00005858">
        <w:t>s</w:t>
      </w:r>
      <w:r>
        <w:t xml:space="preserve"> into single bids identified by stakeholders as key factors that could influence uptake</w:t>
      </w:r>
      <w:r w:rsidR="00CB3EC7">
        <w:t xml:space="preserve">. </w:t>
      </w:r>
    </w:p>
    <w:p w14:paraId="7CA2B9E9" w14:textId="2EDCF7BB" w:rsidR="005A28C3" w:rsidRDefault="005A28C3" w:rsidP="00DB0E3E">
      <w:pPr>
        <w:pStyle w:val="BodyText"/>
        <w:rPr>
          <w:rFonts w:ascii="Times New Roman" w:hAnsi="Times New Roman"/>
        </w:rPr>
      </w:pPr>
      <w:r>
        <w:t xml:space="preserve">The Commercial Building methodology requires a minimum abatement per building equivalent to a </w:t>
      </w:r>
      <w:r w:rsidR="00A17B3F">
        <w:t>one</w:t>
      </w:r>
      <w:r>
        <w:t xml:space="preserve"> star NABERS rating improvement</w:t>
      </w:r>
      <w:r w:rsidR="00CB3EC7">
        <w:t xml:space="preserve">. </w:t>
      </w:r>
      <w:r>
        <w:t xml:space="preserve">Other methodologies are being developed (such as the </w:t>
      </w:r>
      <w:r w:rsidR="00FF152F" w:rsidRPr="00FF152F">
        <w:t>Commercial and public lighting</w:t>
      </w:r>
      <w:r>
        <w:t xml:space="preserve"> methodology) that could also apply to specific types of commercial build</w:t>
      </w:r>
      <w:r w:rsidR="006500E5">
        <w:t>ing energy efficiency projects</w:t>
      </w:r>
      <w:r w:rsidR="00CB3EC7">
        <w:t xml:space="preserve">. </w:t>
      </w:r>
      <w:r w:rsidR="006500E5">
        <w:t>A minimum bid size for participation in the auction is 2,000 tCO</w:t>
      </w:r>
      <w:r w:rsidR="006500E5">
        <w:rPr>
          <w:vertAlign w:val="subscript"/>
        </w:rPr>
        <w:t>2</w:t>
      </w:r>
      <w:r w:rsidR="006500E5">
        <w:t>-e</w:t>
      </w:r>
      <w:r w:rsidR="006500E5">
        <w:rPr>
          <w:rStyle w:val="FootnoteReference"/>
        </w:rPr>
        <w:footnoteReference w:id="38"/>
      </w:r>
      <w:r w:rsidR="006500E5">
        <w:t xml:space="preserve"> and this may only be achievable through projects aggregated over 4 – 5 larger buildings.</w:t>
      </w:r>
    </w:p>
    <w:p w14:paraId="09C30BD8" w14:textId="77777777" w:rsidR="005A28C3" w:rsidRDefault="00F6518D" w:rsidP="00DB0E3E">
      <w:pPr>
        <w:pStyle w:val="BodyText"/>
      </w:pPr>
      <w:r>
        <w:t xml:space="preserve">Projects </w:t>
      </w:r>
      <w:r w:rsidR="005A28C3">
        <w:t>are only eligible to receive ERF funding so long as they are not utilising other sources of government funding</w:t>
      </w:r>
      <w:r w:rsidR="00827C60">
        <w:t xml:space="preserve"> </w:t>
      </w:r>
      <w:r w:rsidR="00827C60" w:rsidRPr="00827C60">
        <w:t>judged to provide sufficient incentive for emissions reduction activities in the absence of the ERF</w:t>
      </w:r>
      <w:r w:rsidR="00CB3EC7">
        <w:t xml:space="preserve">. </w:t>
      </w:r>
      <w:r w:rsidR="005A28C3">
        <w:t xml:space="preserve">This would disqualify projects </w:t>
      </w:r>
      <w:r w:rsidR="005C2472">
        <w:t>already benefitting</w:t>
      </w:r>
      <w:r w:rsidR="005A28C3">
        <w:t xml:space="preserve"> from </w:t>
      </w:r>
      <w:r w:rsidR="005C2472">
        <w:t xml:space="preserve">the </w:t>
      </w:r>
      <w:r w:rsidR="005A28C3">
        <w:t>NSW and Victorian white certificate schemes</w:t>
      </w:r>
      <w:r w:rsidR="00CB3EC7">
        <w:t xml:space="preserve">. </w:t>
      </w:r>
    </w:p>
    <w:p w14:paraId="1AAA1C09" w14:textId="77777777" w:rsidR="005A28C3" w:rsidRDefault="005A28C3" w:rsidP="00DB0E3E">
      <w:pPr>
        <w:pStyle w:val="BodyText"/>
      </w:pPr>
      <w:r>
        <w:t>Regardless of the level of participation in the ERF, the CBD program is expected to be complementary to the ERF</w:t>
      </w:r>
      <w:r w:rsidR="005243E0">
        <w:t>,</w:t>
      </w:r>
      <w:r>
        <w:t xml:space="preserve"> rather than duplicative</w:t>
      </w:r>
      <w:r w:rsidR="00CB3EC7">
        <w:t xml:space="preserve">. </w:t>
      </w:r>
      <w:r>
        <w:t>This is mainly because the purpose of ERF is to provide funding for emissions reduction projects, whereas the focus of the CBD is to provide information to potential tenants and buyers</w:t>
      </w:r>
      <w:r w:rsidR="00CB3EC7">
        <w:t xml:space="preserve">. </w:t>
      </w:r>
    </w:p>
    <w:p w14:paraId="425243F5" w14:textId="6905D5B5" w:rsidR="0069009F" w:rsidRDefault="0069009F">
      <w:pPr>
        <w:spacing w:before="180" w:after="0" w:line="300" w:lineRule="exact"/>
        <w:rPr>
          <w:sz w:val="22"/>
          <w:szCs w:val="22"/>
          <w:lang w:eastAsia="en-AU"/>
        </w:rPr>
      </w:pPr>
      <w:r>
        <w:br w:type="page"/>
      </w:r>
    </w:p>
    <w:p w14:paraId="7050FE55" w14:textId="77777777" w:rsidR="00452870" w:rsidRDefault="00EA4312" w:rsidP="00452870">
      <w:pPr>
        <w:pStyle w:val="Heading1"/>
      </w:pPr>
      <w:bookmarkStart w:id="557" w:name="_Toc404698589"/>
      <w:bookmarkStart w:id="558" w:name="_Toc404698728"/>
      <w:bookmarkStart w:id="559" w:name="_Toc404698867"/>
      <w:bookmarkStart w:id="560" w:name="_Toc404698590"/>
      <w:bookmarkStart w:id="561" w:name="_Toc404698729"/>
      <w:bookmarkStart w:id="562" w:name="_Toc404698868"/>
      <w:bookmarkStart w:id="563" w:name="_Toc404698591"/>
      <w:bookmarkStart w:id="564" w:name="_Toc404698730"/>
      <w:bookmarkStart w:id="565" w:name="_Toc404698869"/>
      <w:bookmarkStart w:id="566" w:name="_Toc404698592"/>
      <w:bookmarkStart w:id="567" w:name="_Toc404698731"/>
      <w:bookmarkStart w:id="568" w:name="_Toc404698870"/>
      <w:bookmarkStart w:id="569" w:name="_Toc404698593"/>
      <w:bookmarkStart w:id="570" w:name="_Toc404698732"/>
      <w:bookmarkStart w:id="571" w:name="_Toc404698871"/>
      <w:bookmarkStart w:id="572" w:name="_Toc404698594"/>
      <w:bookmarkStart w:id="573" w:name="_Toc404698733"/>
      <w:bookmarkStart w:id="574" w:name="_Toc404698872"/>
      <w:bookmarkStart w:id="575" w:name="_Toc404698595"/>
      <w:bookmarkStart w:id="576" w:name="_Toc404698734"/>
      <w:bookmarkStart w:id="577" w:name="_Toc404698873"/>
      <w:bookmarkStart w:id="578" w:name="_Toc404698596"/>
      <w:bookmarkStart w:id="579" w:name="_Toc404698735"/>
      <w:bookmarkStart w:id="580" w:name="_Toc404698874"/>
      <w:bookmarkStart w:id="581" w:name="_Toc404698597"/>
      <w:bookmarkStart w:id="582" w:name="_Toc404698736"/>
      <w:bookmarkStart w:id="583" w:name="_Toc404698875"/>
      <w:bookmarkStart w:id="584" w:name="_Toc404698598"/>
      <w:bookmarkStart w:id="585" w:name="_Toc404698737"/>
      <w:bookmarkStart w:id="586" w:name="_Toc404698876"/>
      <w:bookmarkStart w:id="587" w:name="_Toc404698599"/>
      <w:bookmarkStart w:id="588" w:name="_Toc404698738"/>
      <w:bookmarkStart w:id="589" w:name="_Toc404698877"/>
      <w:bookmarkStart w:id="590" w:name="_Toc404698600"/>
      <w:bookmarkStart w:id="591" w:name="_Toc404698739"/>
      <w:bookmarkStart w:id="592" w:name="_Toc404698878"/>
      <w:bookmarkStart w:id="593" w:name="_Toc404698601"/>
      <w:bookmarkStart w:id="594" w:name="_Toc404698740"/>
      <w:bookmarkStart w:id="595" w:name="_Toc404698879"/>
      <w:bookmarkStart w:id="596" w:name="_Toc404698602"/>
      <w:bookmarkStart w:id="597" w:name="_Toc404698741"/>
      <w:bookmarkStart w:id="598" w:name="_Toc404698880"/>
      <w:bookmarkStart w:id="599" w:name="_Toc404698603"/>
      <w:bookmarkStart w:id="600" w:name="_Toc404698742"/>
      <w:bookmarkStart w:id="601" w:name="_Toc404698881"/>
      <w:bookmarkStart w:id="602" w:name="_Toc404698604"/>
      <w:bookmarkStart w:id="603" w:name="_Toc404698743"/>
      <w:bookmarkStart w:id="604" w:name="_Toc404698882"/>
      <w:bookmarkStart w:id="605" w:name="_Toc404698605"/>
      <w:bookmarkStart w:id="606" w:name="_Toc404698744"/>
      <w:bookmarkStart w:id="607" w:name="_Toc404698883"/>
      <w:bookmarkStart w:id="608" w:name="_Toc404698643"/>
      <w:bookmarkStart w:id="609" w:name="_Toc404698782"/>
      <w:bookmarkStart w:id="610" w:name="_Toc404698921"/>
      <w:bookmarkStart w:id="611" w:name="_Toc404698644"/>
      <w:bookmarkStart w:id="612" w:name="_Toc404698783"/>
      <w:bookmarkStart w:id="613" w:name="_Toc404698922"/>
      <w:bookmarkStart w:id="614" w:name="_Toc404698645"/>
      <w:bookmarkStart w:id="615" w:name="_Toc404698784"/>
      <w:bookmarkStart w:id="616" w:name="_Toc404698923"/>
      <w:bookmarkStart w:id="617" w:name="_Toc404698646"/>
      <w:bookmarkStart w:id="618" w:name="_Toc404698785"/>
      <w:bookmarkStart w:id="619" w:name="_Toc404698924"/>
      <w:bookmarkStart w:id="620" w:name="_Toc404698647"/>
      <w:bookmarkStart w:id="621" w:name="_Toc404698786"/>
      <w:bookmarkStart w:id="622" w:name="_Toc404698925"/>
      <w:bookmarkStart w:id="623" w:name="_Toc404698648"/>
      <w:bookmarkStart w:id="624" w:name="_Toc404698787"/>
      <w:bookmarkStart w:id="625" w:name="_Toc404698926"/>
      <w:bookmarkStart w:id="626" w:name="_Toc404698649"/>
      <w:bookmarkStart w:id="627" w:name="_Toc404698788"/>
      <w:bookmarkStart w:id="628" w:name="_Toc404698927"/>
      <w:bookmarkStart w:id="629" w:name="_Toc404698650"/>
      <w:bookmarkStart w:id="630" w:name="_Toc404698789"/>
      <w:bookmarkStart w:id="631" w:name="_Toc404698928"/>
      <w:bookmarkStart w:id="632" w:name="_Toc404698651"/>
      <w:bookmarkStart w:id="633" w:name="_Toc404698790"/>
      <w:bookmarkStart w:id="634" w:name="_Toc404698929"/>
      <w:bookmarkStart w:id="635" w:name="_Toc404698652"/>
      <w:bookmarkStart w:id="636" w:name="_Toc404698791"/>
      <w:bookmarkStart w:id="637" w:name="_Toc404698930"/>
      <w:bookmarkStart w:id="638" w:name="_Toc404698653"/>
      <w:bookmarkStart w:id="639" w:name="_Toc404698792"/>
      <w:bookmarkStart w:id="640" w:name="_Toc404698931"/>
      <w:bookmarkStart w:id="641" w:name="_Toc404698654"/>
      <w:bookmarkStart w:id="642" w:name="_Toc404698793"/>
      <w:bookmarkStart w:id="643" w:name="_Toc404698932"/>
      <w:bookmarkStart w:id="644" w:name="_Toc404698655"/>
      <w:bookmarkStart w:id="645" w:name="_Toc404698794"/>
      <w:bookmarkStart w:id="646" w:name="_Toc404698933"/>
      <w:bookmarkStart w:id="647" w:name="_Ref409622713"/>
      <w:bookmarkStart w:id="648" w:name="_Toc415660905"/>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lastRenderedPageBreak/>
        <w:t>Assessment of p</w:t>
      </w:r>
      <w:r w:rsidR="00452870">
        <w:t xml:space="preserve">otential changes to </w:t>
      </w:r>
      <w:r>
        <w:t xml:space="preserve">the CBD </w:t>
      </w:r>
      <w:r w:rsidR="00452870">
        <w:t>program</w:t>
      </w:r>
      <w:bookmarkEnd w:id="647"/>
      <w:bookmarkEnd w:id="648"/>
    </w:p>
    <w:p w14:paraId="6E3A04E1" w14:textId="77777777" w:rsidR="006A4330" w:rsidRPr="004354C6" w:rsidRDefault="006A4330" w:rsidP="006A4330">
      <w:pPr>
        <w:pStyle w:val="Heading2"/>
        <w:numPr>
          <w:ilvl w:val="1"/>
          <w:numId w:val="20"/>
        </w:numPr>
      </w:pPr>
      <w:bookmarkStart w:id="649" w:name="_Toc415660906"/>
      <w:r w:rsidRPr="004354C6">
        <w:t xml:space="preserve">Extension of the program to smaller </w:t>
      </w:r>
      <w:r w:rsidR="00FD41DC">
        <w:t>office spaces</w:t>
      </w:r>
      <w:bookmarkEnd w:id="649"/>
    </w:p>
    <w:p w14:paraId="42DA0B46" w14:textId="77777777" w:rsidR="00344F17" w:rsidRDefault="00344F17" w:rsidP="00344F17">
      <w:pPr>
        <w:pStyle w:val="Heading3"/>
        <w:numPr>
          <w:ilvl w:val="2"/>
          <w:numId w:val="20"/>
        </w:numPr>
      </w:pPr>
      <w:bookmarkStart w:id="650" w:name="_Toc415660907"/>
      <w:bookmarkStart w:id="651" w:name="_Ref408835459"/>
      <w:r>
        <w:t xml:space="preserve">Rationale for extending program to smaller </w:t>
      </w:r>
      <w:r w:rsidR="00FD41DC">
        <w:t>office spaces</w:t>
      </w:r>
      <w:bookmarkEnd w:id="650"/>
    </w:p>
    <w:p w14:paraId="41EF46AF" w14:textId="77777777" w:rsidR="00344F17" w:rsidRDefault="00344F17" w:rsidP="00344F17">
      <w:pPr>
        <w:pStyle w:val="BodyText"/>
      </w:pPr>
      <w:r>
        <w:t>Analysis conducted by the City of Sydney shows that there is likely to be significant potential for energy efficiency improvement in small buildings</w:t>
      </w:r>
      <w:r w:rsidR="00CB3EC7">
        <w:t xml:space="preserve">. </w:t>
      </w:r>
      <w:r>
        <w:t>Relative to larger buildings, small buildings have a greater percentage of private ownership</w:t>
      </w:r>
      <w:r w:rsidR="00CB3EC7">
        <w:t xml:space="preserve">. </w:t>
      </w:r>
      <w:r>
        <w:t>Anecdotal evidence suggests that private owners are less active managers of property and have less sophistication and knowledge with regard to energy efficiency</w:t>
      </w:r>
      <w:r w:rsidR="00CB3EC7">
        <w:t xml:space="preserve">. </w:t>
      </w:r>
      <w:r>
        <w:t>Therefore, the market failures of information adequacy and split incentives are more acute in this sector.</w:t>
      </w:r>
    </w:p>
    <w:p w14:paraId="137781A4" w14:textId="77777777" w:rsidR="00344F17" w:rsidRDefault="00344F17" w:rsidP="00344F17">
      <w:pPr>
        <w:pStyle w:val="BodyText"/>
      </w:pPr>
      <w:r>
        <w:t xml:space="preserve">Mandatory disclosure could be extended to </w:t>
      </w:r>
      <w:r w:rsidR="00FD41DC">
        <w:t xml:space="preserve">cover </w:t>
      </w:r>
      <w:r>
        <w:t>small buildings by reducing the NLA threshold for disclosure from 2,000 m</w:t>
      </w:r>
      <w:r w:rsidRPr="00D104F7">
        <w:rPr>
          <w:vertAlign w:val="superscript"/>
        </w:rPr>
        <w:t>2</w:t>
      </w:r>
      <w:r>
        <w:t xml:space="preserve"> to 1,000 m</w:t>
      </w:r>
      <w:r w:rsidRPr="00D104F7">
        <w:rPr>
          <w:vertAlign w:val="superscript"/>
        </w:rPr>
        <w:t>2</w:t>
      </w:r>
      <w:r w:rsidR="00CB3EC7">
        <w:t xml:space="preserve">. </w:t>
      </w:r>
      <w:r>
        <w:t>Such a change would result in both benefits and costs</w:t>
      </w:r>
      <w:r w:rsidR="00CB3EC7">
        <w:t xml:space="preserve">. </w:t>
      </w:r>
      <w:r>
        <w:t>The requirement to disclose is likely to increase information and awareness of energy efficiency opportunities for both building owners and tenants</w:t>
      </w:r>
      <w:r w:rsidR="00CB3EC7">
        <w:t xml:space="preserve">. </w:t>
      </w:r>
      <w:r>
        <w:t>However, the costs associated with disclosure may be relatively higher (e.g</w:t>
      </w:r>
      <w:r w:rsidR="00CB3EC7">
        <w:t xml:space="preserve">. </w:t>
      </w:r>
      <w:r>
        <w:t>on a per m</w:t>
      </w:r>
      <w:r w:rsidRPr="00D104F7">
        <w:rPr>
          <w:vertAlign w:val="superscript"/>
        </w:rPr>
        <w:t>2</w:t>
      </w:r>
      <w:r>
        <w:t xml:space="preserve"> basis) for smaller buildings.</w:t>
      </w:r>
    </w:p>
    <w:p w14:paraId="6AB530CA" w14:textId="77777777" w:rsidR="00344F17" w:rsidRPr="004354C6" w:rsidRDefault="00344F17" w:rsidP="00344F17">
      <w:pPr>
        <w:pStyle w:val="BodyText"/>
      </w:pPr>
      <w:r>
        <w:t>The following sub-sections discuss the likely effects of lowering the threshold for disclosure and provide an indicative assessment of the costs and benefits.</w:t>
      </w:r>
    </w:p>
    <w:p w14:paraId="441DA8C6" w14:textId="77777777" w:rsidR="00344F17" w:rsidRPr="00D104F7" w:rsidRDefault="00344F17" w:rsidP="00344F17">
      <w:pPr>
        <w:pStyle w:val="Heading3"/>
        <w:numPr>
          <w:ilvl w:val="2"/>
          <w:numId w:val="20"/>
        </w:numPr>
      </w:pPr>
      <w:bookmarkStart w:id="652" w:name="_Toc415660908"/>
      <w:r>
        <w:t>Effect of lowering disclosure threshold</w:t>
      </w:r>
      <w:bookmarkEnd w:id="652"/>
    </w:p>
    <w:p w14:paraId="40E08347" w14:textId="77777777" w:rsidR="00344F17" w:rsidRDefault="00344F17" w:rsidP="00344F17">
      <w:pPr>
        <w:pStyle w:val="BodyText"/>
      </w:pPr>
      <w:r w:rsidRPr="004354C6">
        <w:t>Lowering the threshold for disclosure (currently 2,000 m</w:t>
      </w:r>
      <w:r w:rsidRPr="00D104F7">
        <w:rPr>
          <w:vertAlign w:val="superscript"/>
        </w:rPr>
        <w:t>2</w:t>
      </w:r>
      <w:r w:rsidRPr="004354C6">
        <w:t xml:space="preserve">) would result in a greater number of buildings </w:t>
      </w:r>
      <w:r>
        <w:t xml:space="preserve">covered by CBD </w:t>
      </w:r>
      <w:r w:rsidRPr="004354C6">
        <w:t>and also bring forward disclosure for other buildings</w:t>
      </w:r>
      <w:r w:rsidR="00CB3EC7" w:rsidRPr="004354C6">
        <w:t>.</w:t>
      </w:r>
      <w:r w:rsidR="00CB3EC7">
        <w:t xml:space="preserve"> </w:t>
      </w:r>
      <w:r w:rsidRPr="004354C6">
        <w:t>The reason</w:t>
      </w:r>
      <w:r>
        <w:t xml:space="preserve"> for these two effects is explained below.</w:t>
      </w:r>
    </w:p>
    <w:p w14:paraId="00192259" w14:textId="77777777" w:rsidR="00344F17" w:rsidRDefault="00344F17" w:rsidP="00344F17">
      <w:pPr>
        <w:pStyle w:val="Heading4"/>
        <w:numPr>
          <w:ilvl w:val="3"/>
          <w:numId w:val="20"/>
        </w:numPr>
      </w:pPr>
      <w:r>
        <w:t xml:space="preserve">Increase in number of buildings and total floor space covered by the scheme </w:t>
      </w:r>
    </w:p>
    <w:p w14:paraId="5F4764DB" w14:textId="5F2DD62F" w:rsidR="00344F17" w:rsidRDefault="00344F17" w:rsidP="00344F17">
      <w:pPr>
        <w:pStyle w:val="BodyText"/>
        <w:rPr>
          <w:vertAlign w:val="subscript"/>
        </w:rPr>
      </w:pPr>
      <w:r>
        <w:t>Buildings with an NLA between 1,000 m</w:t>
      </w:r>
      <w:r w:rsidRPr="00D104F7">
        <w:rPr>
          <w:vertAlign w:val="superscript"/>
        </w:rPr>
        <w:t>2</w:t>
      </w:r>
      <w:r>
        <w:t xml:space="preserve"> and 2,000 m</w:t>
      </w:r>
      <w:r w:rsidRPr="00D104F7">
        <w:rPr>
          <w:vertAlign w:val="superscript"/>
        </w:rPr>
        <w:t>2</w:t>
      </w:r>
      <w:r>
        <w:t xml:space="preserve"> are not currently required to disclose energy performance upon a sale or lease event</w:t>
      </w:r>
      <w:r w:rsidR="00CB3EC7">
        <w:t xml:space="preserve">. </w:t>
      </w:r>
      <w:r>
        <w:t>Lowering the threshold for disclosure to 1,000 m</w:t>
      </w:r>
      <w:r w:rsidRPr="00D104F7">
        <w:rPr>
          <w:vertAlign w:val="superscript"/>
        </w:rPr>
        <w:t>2</w:t>
      </w:r>
      <w:r>
        <w:t xml:space="preserve"> will mean that these buildings will trigger disclosure obligations in the event that the building is sold or floor space in the building of more than 1,000 m</w:t>
      </w:r>
      <w:r w:rsidRPr="00D104F7">
        <w:rPr>
          <w:vertAlign w:val="superscript"/>
        </w:rPr>
        <w:t>2</w:t>
      </w:r>
      <w:r>
        <w:rPr>
          <w:vertAlign w:val="subscript"/>
        </w:rPr>
        <w:t xml:space="preserve"> </w:t>
      </w:r>
      <w:r w:rsidRPr="00D104F7">
        <w:t>is leased</w:t>
      </w:r>
      <w:r>
        <w:rPr>
          <w:vertAlign w:val="subscript"/>
        </w:rPr>
        <w:t>.</w:t>
      </w:r>
    </w:p>
    <w:p w14:paraId="50F50C10" w14:textId="77777777" w:rsidR="00344F17" w:rsidRDefault="00344F17" w:rsidP="00344F17">
      <w:pPr>
        <w:pStyle w:val="Heading4"/>
        <w:numPr>
          <w:ilvl w:val="3"/>
          <w:numId w:val="20"/>
        </w:numPr>
      </w:pPr>
      <w:r>
        <w:t>Bringing forward of disclosure for some buildings</w:t>
      </w:r>
    </w:p>
    <w:p w14:paraId="63DC9581" w14:textId="77777777" w:rsidR="00344F17" w:rsidRDefault="00344F17" w:rsidP="00344F17">
      <w:pPr>
        <w:pStyle w:val="BodyText"/>
      </w:pPr>
      <w:r>
        <w:t>Under the current disclosure threshold, buildings greater than 2,000 m</w:t>
      </w:r>
      <w:r w:rsidRPr="00D104F7">
        <w:rPr>
          <w:vertAlign w:val="superscript"/>
        </w:rPr>
        <w:t>2</w:t>
      </w:r>
      <w:r>
        <w:t xml:space="preserve"> will only need to disclose once the building is sold or once floor space in the building of more than 2,000 m</w:t>
      </w:r>
      <w:r w:rsidRPr="00501A7B">
        <w:rPr>
          <w:vertAlign w:val="superscript"/>
        </w:rPr>
        <w:t>2</w:t>
      </w:r>
      <w:r>
        <w:rPr>
          <w:vertAlign w:val="subscript"/>
        </w:rPr>
        <w:t xml:space="preserve"> </w:t>
      </w:r>
      <w:r w:rsidRPr="00501A7B">
        <w:t>is leased</w:t>
      </w:r>
      <w:r>
        <w:t xml:space="preserve"> (and not before)</w:t>
      </w:r>
      <w:r w:rsidR="00CB3EC7">
        <w:rPr>
          <w:vertAlign w:val="subscript"/>
        </w:rPr>
        <w:t xml:space="preserve">. </w:t>
      </w:r>
      <w:r>
        <w:t>If a floor space of less than 2,000 m</w:t>
      </w:r>
      <w:r w:rsidRPr="00D104F7">
        <w:rPr>
          <w:vertAlign w:val="superscript"/>
        </w:rPr>
        <w:t>2</w:t>
      </w:r>
      <w:r>
        <w:t xml:space="preserve"> is leased, disclosure is not yet required.</w:t>
      </w:r>
    </w:p>
    <w:p w14:paraId="206071F2" w14:textId="77777777" w:rsidR="00344F17" w:rsidRDefault="00344F17" w:rsidP="00344F17">
      <w:pPr>
        <w:pStyle w:val="BodyText"/>
      </w:pPr>
      <w:r>
        <w:t>If the threshold for disclosure is lowered to 1,000 m</w:t>
      </w:r>
      <w:r w:rsidRPr="00D104F7">
        <w:rPr>
          <w:vertAlign w:val="superscript"/>
        </w:rPr>
        <w:t>2</w:t>
      </w:r>
      <w:r>
        <w:t xml:space="preserve"> then it is more likely that a lease event will trigger mandatory disclosure</w:t>
      </w:r>
      <w:r w:rsidR="00CB3EC7">
        <w:t xml:space="preserve">. </w:t>
      </w:r>
      <w:r>
        <w:t xml:space="preserve">Therefore, all else equal, if the </w:t>
      </w:r>
      <w:r>
        <w:lastRenderedPageBreak/>
        <w:t>threshold is lowered</w:t>
      </w:r>
      <w:r w:rsidR="004D6DFE">
        <w:t>,</w:t>
      </w:r>
      <w:r>
        <w:t xml:space="preserve"> some buildings are likely to disclose earlier than they would otherwise.</w:t>
      </w:r>
    </w:p>
    <w:p w14:paraId="2F0022F6" w14:textId="77777777" w:rsidR="00344F17" w:rsidRDefault="00344F17" w:rsidP="00344F17">
      <w:pPr>
        <w:pStyle w:val="Heading3"/>
        <w:numPr>
          <w:ilvl w:val="2"/>
          <w:numId w:val="20"/>
        </w:numPr>
      </w:pPr>
      <w:bookmarkStart w:id="653" w:name="_Toc415660909"/>
      <w:r>
        <w:t>Estimate of costs and benefits of lowering disclosure threshold</w:t>
      </w:r>
      <w:bookmarkEnd w:id="653"/>
    </w:p>
    <w:p w14:paraId="334A0D3C" w14:textId="77777777" w:rsidR="00344F17" w:rsidRDefault="00344F17" w:rsidP="00344F17">
      <w:pPr>
        <w:pStyle w:val="BodyText"/>
      </w:pPr>
      <w:r>
        <w:t>An indicative estimate of the net benefit of lowering the disclosure threshold was calculated by first estimating the unit benefits ($ per m</w:t>
      </w:r>
      <w:r w:rsidRPr="00D104F7">
        <w:rPr>
          <w:vertAlign w:val="superscript"/>
        </w:rPr>
        <w:t>2</w:t>
      </w:r>
      <w:r>
        <w:t xml:space="preserve"> of additional floor space covered by mandatory disclosure) and unit costs (also $ per m</w:t>
      </w:r>
      <w:r w:rsidRPr="00D104F7">
        <w:rPr>
          <w:vertAlign w:val="superscript"/>
        </w:rPr>
        <w:t>2</w:t>
      </w:r>
      <w:r>
        <w:t>), and then applying the unit net benefits to the additional volume (m</w:t>
      </w:r>
      <w:r w:rsidRPr="00D104F7">
        <w:rPr>
          <w:vertAlign w:val="superscript"/>
        </w:rPr>
        <w:t>2</w:t>
      </w:r>
      <w:r>
        <w:t>) of floor space covered by lowering the threshold.</w:t>
      </w:r>
    </w:p>
    <w:p w14:paraId="3AEA96C8" w14:textId="77777777" w:rsidR="00344F17" w:rsidRPr="00D41AFC" w:rsidRDefault="00344F17" w:rsidP="00344F17">
      <w:pPr>
        <w:pStyle w:val="BodyText"/>
      </w:pPr>
      <w:r>
        <w:t>Estimated unit benefits were derived from estimated net energy efficiency benefits for the mandatory 4</w:t>
      </w:r>
      <w:r w:rsidRPr="00D104F7">
        <w:rPr>
          <w:vertAlign w:val="superscript"/>
        </w:rPr>
        <w:t>th</w:t>
      </w:r>
      <w:r>
        <w:t xml:space="preserve"> quartile</w:t>
      </w:r>
      <w:r w:rsidR="00CB3EC7">
        <w:t xml:space="preserve">. </w:t>
      </w:r>
      <w:r>
        <w:t>This segment was used as a proxy for small buildings given the reportedly large potential for improving energy efficiency of small buildings</w:t>
      </w:r>
      <w:r w:rsidR="00CB3EC7">
        <w:t xml:space="preserve">. </w:t>
      </w:r>
      <w:r>
        <w:t xml:space="preserve">The unit benefits (calculated as the total Present Value of benefits divided by total floor space) was estimated to </w:t>
      </w:r>
      <w:r w:rsidRPr="00D41AFC">
        <w:t xml:space="preserve">be </w:t>
      </w:r>
      <w:r w:rsidRPr="003F5F13">
        <w:t>$24.01 per m</w:t>
      </w:r>
      <w:r w:rsidRPr="003F5F13">
        <w:rPr>
          <w:vertAlign w:val="superscript"/>
        </w:rPr>
        <w:t>2</w:t>
      </w:r>
      <w:r w:rsidRPr="00D41AFC">
        <w:t xml:space="preserve"> (excluding productivity benefits or an economic value for GHG benefits).</w:t>
      </w:r>
    </w:p>
    <w:p w14:paraId="54A74448" w14:textId="77777777" w:rsidR="00344F17" w:rsidRPr="00205A01" w:rsidRDefault="00344F17" w:rsidP="00344F17">
      <w:pPr>
        <w:pStyle w:val="BodyText"/>
      </w:pPr>
      <w:r w:rsidRPr="00205A01">
        <w:t>Unit costs were calculated</w:t>
      </w:r>
      <w:r w:rsidR="00410D47">
        <w:t>,</w:t>
      </w:r>
      <w:r w:rsidRPr="00205A01">
        <w:t xml:space="preserve"> based on estimated assessment costs and assessment frequency (refer to Section </w:t>
      </w:r>
      <w:r w:rsidR="003346C7">
        <w:fldChar w:fldCharType="begin"/>
      </w:r>
      <w:r w:rsidR="003346C7">
        <w:instrText xml:space="preserve"> REF _Ref411588844 \n \h  \* MERGEFORMAT </w:instrText>
      </w:r>
      <w:r w:rsidR="003346C7">
        <w:fldChar w:fldCharType="separate"/>
      </w:r>
      <w:r w:rsidR="006A273E">
        <w:t>A.2.2</w:t>
      </w:r>
      <w:r w:rsidR="003346C7">
        <w:fldChar w:fldCharType="end"/>
      </w:r>
      <w:r w:rsidRPr="00D41AFC">
        <w:t>)</w:t>
      </w:r>
      <w:r w:rsidR="00410D47">
        <w:t>,</w:t>
      </w:r>
      <w:r w:rsidRPr="00D41AFC">
        <w:t xml:space="preserve"> to be </w:t>
      </w:r>
      <w:r w:rsidRPr="003F5F13">
        <w:t>$5.14 per m</w:t>
      </w:r>
      <w:r w:rsidRPr="003F5F13">
        <w:rPr>
          <w:vertAlign w:val="superscript"/>
        </w:rPr>
        <w:t>2</w:t>
      </w:r>
      <w:r w:rsidRPr="003F5F13">
        <w:t xml:space="preserve"> </w:t>
      </w:r>
      <w:r w:rsidRPr="00D41AFC">
        <w:t>in present value terms</w:t>
      </w:r>
      <w:r w:rsidRPr="00205A01">
        <w:t>.</w:t>
      </w:r>
    </w:p>
    <w:p w14:paraId="2FF35EE4" w14:textId="7C7EA8FB" w:rsidR="00344F17" w:rsidRPr="00D41AFC" w:rsidRDefault="00F41DC6" w:rsidP="00344F17">
      <w:pPr>
        <w:pStyle w:val="BodyText"/>
      </w:pPr>
      <w:r w:rsidRPr="00D41AFC">
        <w:t xml:space="preserve">Conservative </w:t>
      </w:r>
      <w:r w:rsidR="00344F17" w:rsidRPr="00D41AFC">
        <w:t xml:space="preserve">estimates </w:t>
      </w:r>
      <w:r w:rsidRPr="00D41AFC">
        <w:t>of small building floor space</w:t>
      </w:r>
      <w:r w:rsidR="00DB013D" w:rsidRPr="00D41AFC">
        <w:rPr>
          <w:rStyle w:val="FootnoteReference"/>
        </w:rPr>
        <w:footnoteReference w:id="39"/>
      </w:r>
      <w:r w:rsidRPr="00D41AFC">
        <w:t xml:space="preserve"> </w:t>
      </w:r>
      <w:r w:rsidR="00DB013D" w:rsidRPr="00205A01">
        <w:t xml:space="preserve">suggest </w:t>
      </w:r>
      <w:r w:rsidR="00344F17" w:rsidRPr="00205A01">
        <w:t xml:space="preserve">that approximately </w:t>
      </w:r>
      <w:r w:rsidRPr="00D41AFC">
        <w:t>1.5</w:t>
      </w:r>
      <w:r w:rsidR="00344F17" w:rsidRPr="00D41AFC">
        <w:t xml:space="preserve"> million m</w:t>
      </w:r>
      <w:r w:rsidR="00344F17" w:rsidRPr="00D41AFC">
        <w:rPr>
          <w:vertAlign w:val="superscript"/>
        </w:rPr>
        <w:t>2</w:t>
      </w:r>
      <w:r w:rsidR="00344F17" w:rsidRPr="00D41AFC">
        <w:t xml:space="preserve"> of additional floor space would be captured by the CBD program if the threshold was lowered to 1,000 m</w:t>
      </w:r>
      <w:r w:rsidR="00344F17" w:rsidRPr="00D41AFC">
        <w:rPr>
          <w:vertAlign w:val="superscript"/>
        </w:rPr>
        <w:t>2</w:t>
      </w:r>
      <w:r w:rsidR="00CB3EC7" w:rsidRPr="00D41AFC">
        <w:t xml:space="preserve">. </w:t>
      </w:r>
      <w:r w:rsidR="00344F17" w:rsidRPr="00D41AFC">
        <w:t>The volume of floor space between 1,000 and 2,000 m</w:t>
      </w:r>
      <w:r w:rsidR="00344F17" w:rsidRPr="00D41AFC">
        <w:rPr>
          <w:vertAlign w:val="superscript"/>
        </w:rPr>
        <w:t xml:space="preserve">2 </w:t>
      </w:r>
      <w:r w:rsidR="00344F17" w:rsidRPr="00D41AFC">
        <w:t>that was found to be voluntarily rating as at 25 October 2014 was 0.23 million m</w:t>
      </w:r>
      <w:r w:rsidR="00344F17" w:rsidRPr="00D41AFC">
        <w:rPr>
          <w:vertAlign w:val="superscript"/>
        </w:rPr>
        <w:t>2</w:t>
      </w:r>
      <w:r w:rsidR="00344F17" w:rsidRPr="00D41AFC">
        <w:t xml:space="preserve"> (estimated based on analysis of NABERS data)</w:t>
      </w:r>
      <w:r w:rsidR="00CB3EC7" w:rsidRPr="00D41AFC">
        <w:t xml:space="preserve">. </w:t>
      </w:r>
      <w:r w:rsidR="00344F17" w:rsidRPr="00D41AFC">
        <w:t xml:space="preserve">This was subtracted to arrive at an estimate of the additional ‘mandatory’ floor space that would be covered by the CBD scheme of </w:t>
      </w:r>
      <w:r w:rsidR="008E7FE3" w:rsidRPr="003F5F13">
        <w:t>1.27</w:t>
      </w:r>
      <w:r w:rsidR="00344F17" w:rsidRPr="003F5F13">
        <w:t xml:space="preserve"> million m</w:t>
      </w:r>
      <w:r w:rsidR="00344F17" w:rsidRPr="003F5F13">
        <w:rPr>
          <w:vertAlign w:val="superscript"/>
        </w:rPr>
        <w:t>2</w:t>
      </w:r>
      <w:r w:rsidR="00344F17" w:rsidRPr="00D41AFC">
        <w:t>.</w:t>
      </w:r>
    </w:p>
    <w:p w14:paraId="268C176A" w14:textId="656D0F9F" w:rsidR="00344F17" w:rsidRPr="00D41AFC" w:rsidRDefault="00993467" w:rsidP="00344F17">
      <w:pPr>
        <w:pStyle w:val="BodyText"/>
      </w:pPr>
      <w:r>
        <w:t>Lowering the disclosure threshold is projected to reduce energy consumption by a cumulative 3,684 TJ and GHG emissions by 707 ktCO</w:t>
      </w:r>
      <w:r w:rsidRPr="00B00613">
        <w:rPr>
          <w:vertAlign w:val="subscript"/>
        </w:rPr>
        <w:t>2</w:t>
      </w:r>
      <w:r>
        <w:t xml:space="preserve">-e. </w:t>
      </w:r>
      <w:r w:rsidR="00344F17" w:rsidRPr="00205A01">
        <w:t xml:space="preserve">The indicative projected net benefits of lowering the disclosure threshold is therefore estimated at </w:t>
      </w:r>
      <w:r w:rsidR="00344F17" w:rsidRPr="003F5F13">
        <w:t>$</w:t>
      </w:r>
      <w:r w:rsidR="00F41DC6" w:rsidRPr="003F5F13">
        <w:t xml:space="preserve">24 </w:t>
      </w:r>
      <w:r w:rsidR="00344F17" w:rsidRPr="003F5F13">
        <w:t xml:space="preserve">million </w:t>
      </w:r>
      <w:r w:rsidR="00344F17" w:rsidRPr="00D41AFC">
        <w:t>in present value terms under a seven per cent real discount rate</w:t>
      </w:r>
      <w:r w:rsidR="00344F17" w:rsidRPr="003F5F13">
        <w:rPr>
          <w:rStyle w:val="FootnoteReference"/>
        </w:rPr>
        <w:footnoteReference w:id="40"/>
      </w:r>
      <w:r>
        <w:t>,</w:t>
      </w:r>
      <w:r w:rsidR="00CB3EC7" w:rsidRPr="00205A01">
        <w:t xml:space="preserve"> </w:t>
      </w:r>
      <w:r>
        <w:t>excluding the value of GHG emissions reduction</w:t>
      </w:r>
      <w:r w:rsidR="00092787">
        <w:t>,</w:t>
      </w:r>
      <w:r>
        <w:t xml:space="preserve"> or $35 million </w:t>
      </w:r>
      <w:r w:rsidR="005D08A0">
        <w:t xml:space="preserve">in present value terms under a seven per cent real discount rate </w:t>
      </w:r>
      <w:r w:rsidR="00FB6E02">
        <w:t xml:space="preserve">if </w:t>
      </w:r>
      <w:r>
        <w:t>GHG emissions reduction</w:t>
      </w:r>
      <w:r w:rsidR="00FB6E02">
        <w:t>s are valued</w:t>
      </w:r>
      <w:r>
        <w:t xml:space="preserve"> at $23 per tCO</w:t>
      </w:r>
      <w:r w:rsidRPr="00B00613">
        <w:rPr>
          <w:vertAlign w:val="subscript"/>
        </w:rPr>
        <w:t>2</w:t>
      </w:r>
      <w:r>
        <w:t xml:space="preserve">-e. </w:t>
      </w:r>
      <w:r w:rsidR="00344F17" w:rsidRPr="00D41AFC">
        <w:t>Lowering the threshold is therefore expected to deliver substantial net economic benefits.</w:t>
      </w:r>
    </w:p>
    <w:p w14:paraId="676AF507" w14:textId="77777777" w:rsidR="0087717A" w:rsidRDefault="0087717A" w:rsidP="00DB0E3E">
      <w:pPr>
        <w:pStyle w:val="Heading3"/>
      </w:pPr>
      <w:bookmarkStart w:id="654" w:name="_Toc415660910"/>
      <w:r>
        <w:t>Stakeholder support for lowering the disclosure threshold</w:t>
      </w:r>
      <w:bookmarkEnd w:id="654"/>
    </w:p>
    <w:p w14:paraId="0D46FE3D" w14:textId="77777777" w:rsidR="0087717A" w:rsidRDefault="0087717A" w:rsidP="00344F17">
      <w:pPr>
        <w:pStyle w:val="BodyText"/>
      </w:pPr>
      <w:r>
        <w:t xml:space="preserve">In submissions to the CBD Review, the City of Sydney and the </w:t>
      </w:r>
      <w:r w:rsidRPr="0087717A">
        <w:t xml:space="preserve">Facility Management Association of Australia (FMA Australia) </w:t>
      </w:r>
      <w:r>
        <w:t>expressed support for lowering the threshold for mandatory disclosure from 2,000 m</w:t>
      </w:r>
      <w:r w:rsidRPr="00D104F7">
        <w:rPr>
          <w:vertAlign w:val="superscript"/>
        </w:rPr>
        <w:t>2</w:t>
      </w:r>
      <w:r>
        <w:t xml:space="preserve"> to 1,000 m</w:t>
      </w:r>
      <w:r w:rsidRPr="00D104F7">
        <w:rPr>
          <w:vertAlign w:val="superscript"/>
        </w:rPr>
        <w:t>2</w:t>
      </w:r>
      <w:r w:rsidR="00772820">
        <w:rPr>
          <w:vertAlign w:val="superscript"/>
        </w:rPr>
        <w:t xml:space="preserve"> </w:t>
      </w:r>
      <w:r w:rsidR="00772820">
        <w:t xml:space="preserve">as they believe that </w:t>
      </w:r>
      <w:r w:rsidR="00D278B1">
        <w:t>there is</w:t>
      </w:r>
      <w:r w:rsidR="00772820">
        <w:t xml:space="preserve"> significant scope for </w:t>
      </w:r>
      <w:r w:rsidR="00D278B1">
        <w:t xml:space="preserve">energy efficiency </w:t>
      </w:r>
      <w:r w:rsidR="00772820">
        <w:t>improvement</w:t>
      </w:r>
      <w:r w:rsidR="00D278B1">
        <w:t>s in buildings of this size</w:t>
      </w:r>
      <w:r w:rsidR="00772820">
        <w:t>.</w:t>
      </w:r>
    </w:p>
    <w:p w14:paraId="779424D3" w14:textId="77777777" w:rsidR="0087717A" w:rsidRDefault="0087717A" w:rsidP="00344F17">
      <w:pPr>
        <w:pStyle w:val="BodyText"/>
      </w:pPr>
      <w:r>
        <w:t xml:space="preserve">(FMA Australia </w:t>
      </w:r>
      <w:r w:rsidRPr="0087717A">
        <w:t>represents professionals involved in the strategic and operational management of facilities for both public and private sector organisations throughout Australia, as well as professionals who support the industry through the provision of products and services.</w:t>
      </w:r>
      <w:r>
        <w:t>)</w:t>
      </w:r>
    </w:p>
    <w:p w14:paraId="0955BB7A" w14:textId="77777777" w:rsidR="00344F17" w:rsidRDefault="00344F17" w:rsidP="00344F17">
      <w:pPr>
        <w:pStyle w:val="Heading2"/>
        <w:numPr>
          <w:ilvl w:val="1"/>
          <w:numId w:val="20"/>
        </w:numPr>
      </w:pPr>
      <w:bookmarkStart w:id="655" w:name="_Toc415660911"/>
      <w:r>
        <w:lastRenderedPageBreak/>
        <w:t>Extension of the program to other building types</w:t>
      </w:r>
      <w:bookmarkEnd w:id="655"/>
    </w:p>
    <w:p w14:paraId="3905DE82" w14:textId="77777777" w:rsidR="00344F17" w:rsidRDefault="00344F17" w:rsidP="00344F17">
      <w:pPr>
        <w:pStyle w:val="Heading3"/>
        <w:numPr>
          <w:ilvl w:val="2"/>
          <w:numId w:val="20"/>
        </w:numPr>
      </w:pPr>
      <w:bookmarkStart w:id="656" w:name="_Toc415660912"/>
      <w:r>
        <w:t>Extension to data centres</w:t>
      </w:r>
      <w:bookmarkEnd w:id="656"/>
    </w:p>
    <w:p w14:paraId="3135FAFE" w14:textId="77777777" w:rsidR="00344F17" w:rsidRDefault="00344F17" w:rsidP="00344F17">
      <w:pPr>
        <w:pStyle w:val="BodyText"/>
      </w:pPr>
      <w:r>
        <w:t>NABERS has developed three metrics or tools for NABERS Data Centres</w:t>
      </w:r>
      <w:r w:rsidR="00E86B1D">
        <w:t>,</w:t>
      </w:r>
      <w:r>
        <w:t xml:space="preserve"> which cover centre infrastructure, the IT equipment and the whole data centre (and are termed ‘infrastructure rating’, ‘IT equipment rating’ and ‘whole facility rating’</w:t>
      </w:r>
      <w:r w:rsidR="00E86B1D">
        <w:t>,</w:t>
      </w:r>
      <w:r>
        <w:t xml:space="preserve"> respectively).</w:t>
      </w:r>
    </w:p>
    <w:p w14:paraId="7EEAACF9" w14:textId="77777777" w:rsidR="00344F17" w:rsidRDefault="00344F17" w:rsidP="00344F17">
      <w:pPr>
        <w:pStyle w:val="BodyText"/>
      </w:pPr>
      <w:r>
        <w:t>Mandatory disclosure, if extended to data centres, would apply only to the NABERS infrastructure rating (over a threshold in size) because it involves equipment with similar functions to other buildings</w:t>
      </w:r>
      <w:r w:rsidR="00C17F55">
        <w:t>,</w:t>
      </w:r>
      <w:r>
        <w:t xml:space="preserve"> such as cooling systems.</w:t>
      </w:r>
    </w:p>
    <w:p w14:paraId="0BFAD056" w14:textId="77777777" w:rsidR="00344F17" w:rsidRDefault="00344F17" w:rsidP="00344F17">
      <w:pPr>
        <w:pStyle w:val="BodyText"/>
      </w:pPr>
      <w:r>
        <w:t>The NABERS infrastructure rating for data centres is an operational metric that takes into account how well a data centre is run in comparison with benchmarks</w:t>
      </w:r>
      <w:r w:rsidR="00CB3EC7">
        <w:t xml:space="preserve">. </w:t>
      </w:r>
      <w:r>
        <w:t xml:space="preserve">It has an established process for developing rules and alternative measurement methods, which is important because every data centre tends to be unique and </w:t>
      </w:r>
      <w:r w:rsidR="00C17F55">
        <w:t xml:space="preserve">they </w:t>
      </w:r>
      <w:r>
        <w:t>often have unexpected measurement issues</w:t>
      </w:r>
      <w:r w:rsidR="00CB3EC7">
        <w:t xml:space="preserve">. </w:t>
      </w:r>
      <w:r>
        <w:t>The rating uses the mature and well-established Power Usage Effectiveness (PUE) metric</w:t>
      </w:r>
      <w:r>
        <w:rPr>
          <w:rStyle w:val="FootnoteReference"/>
        </w:rPr>
        <w:footnoteReference w:id="41"/>
      </w:r>
      <w:r>
        <w:t xml:space="preserve"> with detailed guidance on measurement.</w:t>
      </w:r>
    </w:p>
    <w:p w14:paraId="30171ABB" w14:textId="00AE0485" w:rsidR="00344F17" w:rsidRDefault="00344F17" w:rsidP="00344F17">
      <w:pPr>
        <w:pStyle w:val="BodyText"/>
      </w:pPr>
      <w:r>
        <w:t xml:space="preserve">A </w:t>
      </w:r>
      <w:r w:rsidR="0024440C">
        <w:t>consideration</w:t>
      </w:r>
      <w:r>
        <w:t xml:space="preserve"> is that the PUE is most relevant for co-locat</w:t>
      </w:r>
      <w:r w:rsidR="008811CD">
        <w:t>ed</w:t>
      </w:r>
      <w:r>
        <w:t xml:space="preserve"> data centres and clients, which represent only 21 per cent of the data centre market</w:t>
      </w:r>
      <w:r w:rsidR="00CB3EC7">
        <w:t xml:space="preserve">. </w:t>
      </w:r>
      <w:r>
        <w:t xml:space="preserve">Another </w:t>
      </w:r>
      <w:r w:rsidR="0024440C">
        <w:t xml:space="preserve">issue </w:t>
      </w:r>
      <w:r>
        <w:t xml:space="preserve">identified in the 2014 report </w:t>
      </w:r>
      <w:r w:rsidRPr="005F0932">
        <w:rPr>
          <w:i/>
        </w:rPr>
        <w:t>Energy Efficiency Policy Options for Australian and New Zealand Data Centres</w:t>
      </w:r>
      <w:r>
        <w:t xml:space="preserve"> prepared by Consumer Research Associates for the Department</w:t>
      </w:r>
      <w:r w:rsidR="00C17F55">
        <w:t>,</w:t>
      </w:r>
      <w:r>
        <w:t xml:space="preserve"> is the </w:t>
      </w:r>
      <w:r w:rsidR="00746830">
        <w:t xml:space="preserve">potential </w:t>
      </w:r>
      <w:r>
        <w:t>preference in some areas for more in-depth advisory audits</w:t>
      </w:r>
      <w:r w:rsidR="00C17F55">
        <w:t>,</w:t>
      </w:r>
      <w:r>
        <w:t xml:space="preserve"> such as CEEDA</w:t>
      </w:r>
      <w:r w:rsidR="0024440C">
        <w:rPr>
          <w:rStyle w:val="FootnoteReference"/>
        </w:rPr>
        <w:footnoteReference w:id="42"/>
      </w:r>
      <w:r w:rsidR="00CB3EC7">
        <w:t xml:space="preserve">. </w:t>
      </w:r>
      <w:r>
        <w:t>In addition, LEED</w:t>
      </w:r>
      <w:r w:rsidR="00C17F55">
        <w:t>,</w:t>
      </w:r>
      <w:r w:rsidR="0024440C">
        <w:rPr>
          <w:rStyle w:val="FootnoteReference"/>
        </w:rPr>
        <w:footnoteReference w:id="43"/>
      </w:r>
      <w:r>
        <w:t xml:space="preserve"> and to a lesser extent BREEAM</w:t>
      </w:r>
      <w:r w:rsidR="00C17F55">
        <w:t>,</w:t>
      </w:r>
      <w:r w:rsidR="0024440C">
        <w:rPr>
          <w:rStyle w:val="FootnoteReference"/>
        </w:rPr>
        <w:footnoteReference w:id="44"/>
      </w:r>
      <w:r>
        <w:t xml:space="preserve"> are international certification schemes</w:t>
      </w:r>
      <w:r w:rsidR="0024440C">
        <w:t xml:space="preserve"> that might appeal to </w:t>
      </w:r>
      <w:r>
        <w:t xml:space="preserve">global organisations </w:t>
      </w:r>
      <w:r w:rsidR="0024440C">
        <w:t>due to their</w:t>
      </w:r>
      <w:r>
        <w:t xml:space="preserve"> international marketing and reputational value.</w:t>
      </w:r>
    </w:p>
    <w:p w14:paraId="01694736" w14:textId="77777777" w:rsidR="00344F17" w:rsidRDefault="00344F17" w:rsidP="00344F17">
      <w:pPr>
        <w:pStyle w:val="BodyText"/>
      </w:pPr>
      <w:r>
        <w:t>According to the Consumer Research Associates report, experience with the EU Code of Conduct shows electricity consumption can be very commercially sensitive, particularly for cloud providers, since it provides in-depth information about business profitability and competitiveness</w:t>
      </w:r>
      <w:r w:rsidR="00CB3EC7">
        <w:t xml:space="preserve">. </w:t>
      </w:r>
      <w:r>
        <w:t>Total processing and storage capacity is likely to be even more commercially sensitive</w:t>
      </w:r>
      <w:r w:rsidR="00CB3EC7">
        <w:t xml:space="preserve">. </w:t>
      </w:r>
      <w:r>
        <w:t>Some data centre</w:t>
      </w:r>
      <w:r w:rsidR="00484EA1">
        <w:t>s</w:t>
      </w:r>
      <w:r>
        <w:t xml:space="preserve"> might thus be unwilling to allow third parties to access energy consumption data and could result in resistance to any mandatory measures.</w:t>
      </w:r>
    </w:p>
    <w:p w14:paraId="3EDD9CD6" w14:textId="77777777" w:rsidR="00344F17" w:rsidRDefault="00344F17" w:rsidP="00344F17">
      <w:pPr>
        <w:pStyle w:val="BodyText"/>
      </w:pPr>
      <w:r>
        <w:t xml:space="preserve">Because of the </w:t>
      </w:r>
      <w:r w:rsidR="00746830">
        <w:t>relative newness of the NABERS data centre rating tool (which means that it has not yet been widely embraced by industry) and the issues raised above</w:t>
      </w:r>
      <w:r>
        <w:t>, ACIL Allen advises caution against the immediate extension of the CBD program to data centres in Australia</w:t>
      </w:r>
      <w:r w:rsidR="00CB3EC7">
        <w:t xml:space="preserve">. </w:t>
      </w:r>
      <w:r>
        <w:t xml:space="preserve">Instead, a more detailed study should be </w:t>
      </w:r>
      <w:r>
        <w:lastRenderedPageBreak/>
        <w:t>undertaken to better understand how the concerns highlighted above can be successfully addressed and to determine the optimal timing of extending mandatory disclosure to the data centre sector</w:t>
      </w:r>
      <w:r w:rsidR="00CB3EC7">
        <w:t xml:space="preserve">. </w:t>
      </w:r>
    </w:p>
    <w:p w14:paraId="56D69CC0" w14:textId="77777777" w:rsidR="00344F17" w:rsidRDefault="00344F17" w:rsidP="00344F17">
      <w:pPr>
        <w:pStyle w:val="Heading3"/>
        <w:numPr>
          <w:ilvl w:val="2"/>
          <w:numId w:val="20"/>
        </w:numPr>
      </w:pPr>
      <w:bookmarkStart w:id="657" w:name="_Toc415660913"/>
      <w:r>
        <w:t>Extension to retail buildings</w:t>
      </w:r>
      <w:bookmarkEnd w:id="657"/>
    </w:p>
    <w:p w14:paraId="02486358" w14:textId="77777777" w:rsidR="00344F17" w:rsidRDefault="00344F17" w:rsidP="00344F17">
      <w:pPr>
        <w:pStyle w:val="BodyText"/>
      </w:pPr>
      <w:r>
        <w:t>The retail sector in Australia is highly diverse in terms of its activities, energy intensity and scale of different facility types</w:t>
      </w:r>
      <w:r w:rsidR="00CB3EC7">
        <w:t xml:space="preserve">. </w:t>
      </w:r>
      <w:r>
        <w:t>Comparable types of retail facilities that lend themselves more easily to energy efficiency ratings tend to be large shopping centres, supermarkets, department stores and other “big box” retail sites</w:t>
      </w:r>
      <w:r w:rsidR="00CB3EC7">
        <w:t xml:space="preserve">. </w:t>
      </w:r>
      <w:r>
        <w:t xml:space="preserve">However, these facilities are likely to consume less than half of </w:t>
      </w:r>
      <w:r w:rsidR="00EC2F84">
        <w:t xml:space="preserve">the </w:t>
      </w:r>
      <w:r>
        <w:t>total retail sector energy, with some fraction of this capable of being rated using benchmarking tools such as NABERS Retail or other NABERS tools under development.</w:t>
      </w:r>
    </w:p>
    <w:p w14:paraId="2E17E888" w14:textId="77777777" w:rsidR="00344F17" w:rsidRDefault="00344F17" w:rsidP="00344F17">
      <w:pPr>
        <w:pStyle w:val="BodyText"/>
      </w:pPr>
      <w:r>
        <w:t>An internal analysis by the Department using Property Council of Australia (PCA) data indicated that there were just under 300 NABERS rateable shopping centres at the time of analysis, with a total of 10.9 million square metres of Gross Lettable Area Retail (GLAR)</w:t>
      </w:r>
      <w:r w:rsidR="00CB3EC7">
        <w:t xml:space="preserve">. </w:t>
      </w:r>
      <w:r>
        <w:t>This constituted 18.7 per cent of all shopping centres and 57.5 per cent of total shopping centre area (and 16.4 per cent of all retail area encompassing shopping centres, supermarkets and retail strips).</w:t>
      </w:r>
    </w:p>
    <w:p w14:paraId="664080C6" w14:textId="77777777" w:rsidR="00344F17" w:rsidRDefault="00344F17" w:rsidP="00344F17">
      <w:pPr>
        <w:pStyle w:val="BodyText"/>
      </w:pPr>
      <w:r>
        <w:t>The Department’s internal analysis indicated that just under 50 shopping centres had a current NABERS rating, constituting approximately 15 per cent of the total rateable market</w:t>
      </w:r>
      <w:r w:rsidR="00CB3EC7">
        <w:t xml:space="preserve">. </w:t>
      </w:r>
      <w:r>
        <w:t>It noted that some industry players (such as GPT) have moved strongly towards sustainability</w:t>
      </w:r>
      <w:r w:rsidR="0030174B">
        <w:t>,</w:t>
      </w:r>
      <w:r>
        <w:t xml:space="preserve"> while others had not.</w:t>
      </w:r>
    </w:p>
    <w:p w14:paraId="539914D4" w14:textId="77777777" w:rsidR="00344F17" w:rsidRDefault="00344F17" w:rsidP="00344F17">
      <w:pPr>
        <w:pStyle w:val="BodyText"/>
      </w:pPr>
      <w:r>
        <w:t>According to CBBS, shopping centre base building energy use was 7.9PJ per annum</w:t>
      </w:r>
      <w:r w:rsidR="0030174B">
        <w:t>,</w:t>
      </w:r>
      <w:r>
        <w:t xml:space="preserve"> while tenancy energy use was 23.6PJ per annum</w:t>
      </w:r>
      <w:r w:rsidR="00CB3EC7">
        <w:t xml:space="preserve">. </w:t>
      </w:r>
      <w:r>
        <w:t>The average energy intensity of shopping centres was 400MJ/m</w:t>
      </w:r>
      <w:r w:rsidRPr="005F0932">
        <w:rPr>
          <w:vertAlign w:val="superscript"/>
        </w:rPr>
        <w:t>2</w:t>
      </w:r>
      <w:r>
        <w:t xml:space="preserve"> and energy use was expected to grow by 26.5 per cent between 2012 and 2020.</w:t>
      </w:r>
    </w:p>
    <w:p w14:paraId="32C0EE3F" w14:textId="77777777" w:rsidR="00344F17" w:rsidRDefault="00344F17" w:rsidP="00344F17">
      <w:pPr>
        <w:pStyle w:val="BodyText"/>
      </w:pPr>
      <w:r>
        <w:t xml:space="preserve">Approximately 40 per cent of shopping centres were covered by the now defunct EEO program through their operators (AMP, Centro, </w:t>
      </w:r>
      <w:proofErr w:type="spellStart"/>
      <w:r>
        <w:t>Dexus</w:t>
      </w:r>
      <w:proofErr w:type="spellEnd"/>
      <w:r>
        <w:t>, GPT, Mirvac, Stockland and Westfield), while state site-based EEO programs covered a few of the largest shopping centres in each state.</w:t>
      </w:r>
    </w:p>
    <w:p w14:paraId="2E80A993" w14:textId="2EF01B57" w:rsidR="00344F17" w:rsidRDefault="00344F17" w:rsidP="00344F17">
      <w:pPr>
        <w:pStyle w:val="BodyText"/>
      </w:pPr>
      <w:r>
        <w:t xml:space="preserve">According to </w:t>
      </w:r>
      <w:proofErr w:type="spellStart"/>
      <w:r>
        <w:t>ClimateWorks</w:t>
      </w:r>
      <w:proofErr w:type="spellEnd"/>
      <w:r>
        <w:t>, there are substantial cost-effective abatement opportunities available in the retail sector</w:t>
      </w:r>
      <w:r w:rsidR="00CB3EC7">
        <w:t xml:space="preserve">. </w:t>
      </w:r>
      <w:r>
        <w:t xml:space="preserve">Data analysis undertaken for the </w:t>
      </w:r>
      <w:r w:rsidRPr="00292522">
        <w:rPr>
          <w:i/>
        </w:rPr>
        <w:t>Tax Breaks for Green Buildings</w:t>
      </w:r>
      <w:r>
        <w:t xml:space="preserve"> (TBGB) initiative indicated that a one</w:t>
      </w:r>
      <w:r w:rsidR="00035ECB">
        <w:t>-</w:t>
      </w:r>
      <w:r>
        <w:t>star jump above three stars is likely to cost $79/m</w:t>
      </w:r>
      <w:r w:rsidRPr="005F0932">
        <w:rPr>
          <w:vertAlign w:val="superscript"/>
        </w:rPr>
        <w:t>2</w:t>
      </w:r>
      <w:r>
        <w:t xml:space="preserve"> in centrally serviced areas.</w:t>
      </w:r>
    </w:p>
    <w:p w14:paraId="18F63935" w14:textId="77777777" w:rsidR="00344F17" w:rsidRDefault="00344F17" w:rsidP="00344F17">
      <w:pPr>
        <w:pStyle w:val="BodyText"/>
      </w:pPr>
      <w:r>
        <w:t>ACIL Allen does not recommend that mandatory disclosure be extended to shopping centres or other retail buildings for the following reasons:</w:t>
      </w:r>
    </w:p>
    <w:p w14:paraId="38FD60B3" w14:textId="4C5594D9" w:rsidR="00344F17" w:rsidRDefault="00344F17" w:rsidP="00344F17">
      <w:pPr>
        <w:pStyle w:val="ListDash"/>
      </w:pPr>
      <w:r>
        <w:t>The information asymmetry problem is not judged to be acute</w:t>
      </w:r>
      <w:r w:rsidR="00DE47D2">
        <w:t>,</w:t>
      </w:r>
      <w:r>
        <w:t xml:space="preserve"> as shopping centres are already currently required </w:t>
      </w:r>
      <w:r w:rsidR="00035ECB">
        <w:t xml:space="preserve">by state legislation </w:t>
      </w:r>
      <w:r>
        <w:t>to disclose (base building) energy costs to prospective tenants.</w:t>
      </w:r>
    </w:p>
    <w:p w14:paraId="6B738093" w14:textId="0A3C2FAD" w:rsidR="00344F17" w:rsidRDefault="00344F17" w:rsidP="00344F17">
      <w:pPr>
        <w:pStyle w:val="ListDash"/>
      </w:pPr>
      <w:r>
        <w:t>While the split incentive problem exists (with building owners controlling capital expenditure and tenants generally paying for base building energy, and the law prohibiting the recovery of capital costs from tenants), information on the energy efficiency performance of a shopping centre</w:t>
      </w:r>
      <w:r w:rsidR="00DE47D2">
        <w:t>,</w:t>
      </w:r>
      <w:r>
        <w:t xml:space="preserve"> made available through mandatory disclosure</w:t>
      </w:r>
      <w:r w:rsidR="00DE47D2">
        <w:t>,</w:t>
      </w:r>
      <w:r>
        <w:t xml:space="preserve"> is unlikely to exert much influence on the decision-making of prospective tenants.</w:t>
      </w:r>
    </w:p>
    <w:p w14:paraId="49188788" w14:textId="77777777" w:rsidR="00344F17" w:rsidRDefault="00344F17" w:rsidP="00344F17">
      <w:pPr>
        <w:pStyle w:val="ListDash"/>
      </w:pPr>
      <w:r>
        <w:t>In addition to the imbalance in the bargaining power of shopping centre owners/operators and prospective tenants, other factors</w:t>
      </w:r>
      <w:r w:rsidR="00D47E83">
        <w:t>,</w:t>
      </w:r>
      <w:r>
        <w:t xml:space="preserve"> such as site size and </w:t>
      </w:r>
      <w:r>
        <w:lastRenderedPageBreak/>
        <w:t>configuration, location (of the shopping centre and the site under consideration within the shopping centre) as well as rental price and conditions</w:t>
      </w:r>
      <w:r w:rsidR="00D47E83">
        <w:t>,</w:t>
      </w:r>
      <w:r>
        <w:t xml:space="preserve"> are likely to matter far more to them as these are the key determinants of a tenant’s profitability.</w:t>
      </w:r>
    </w:p>
    <w:p w14:paraId="4D143742" w14:textId="77777777" w:rsidR="00344F17" w:rsidRDefault="00344F17" w:rsidP="00344F17">
      <w:pPr>
        <w:pStyle w:val="ListDash"/>
      </w:pPr>
      <w:r>
        <w:t>The total amount of energy use covered by rating tools is unlikely to cover more than 50 per cent of the retail market</w:t>
      </w:r>
      <w:r w:rsidR="00CB3EC7">
        <w:t xml:space="preserve">. </w:t>
      </w:r>
      <w:r>
        <w:t>The remainder of the retail sector is characterised by a very high level of diversity between sites and low energy savings per site</w:t>
      </w:r>
      <w:r w:rsidR="00CB3EC7">
        <w:t xml:space="preserve">. </w:t>
      </w:r>
      <w:r>
        <w:t>Hence</w:t>
      </w:r>
      <w:r w:rsidR="00D47E83">
        <w:t>,</w:t>
      </w:r>
      <w:r>
        <w:t xml:space="preserve"> it is unlikely that a benchmarking tool such as NABERS will be useful at this level</w:t>
      </w:r>
      <w:r w:rsidR="00CB3EC7">
        <w:t xml:space="preserve">. </w:t>
      </w:r>
      <w:r>
        <w:t>Other measures</w:t>
      </w:r>
      <w:r w:rsidR="00D47E83">
        <w:t>,</w:t>
      </w:r>
      <w:r>
        <w:t xml:space="preserve"> such as green leases</w:t>
      </w:r>
      <w:r w:rsidR="00D47E83">
        <w:t>,</w:t>
      </w:r>
      <w:r>
        <w:t xml:space="preserve"> may be a better way of advancing energy efficiency at this level.</w:t>
      </w:r>
    </w:p>
    <w:p w14:paraId="1B98CA6D" w14:textId="77777777" w:rsidR="00344F17" w:rsidRDefault="00344F17" w:rsidP="00344F17">
      <w:pPr>
        <w:pStyle w:val="Heading3"/>
        <w:numPr>
          <w:ilvl w:val="2"/>
          <w:numId w:val="20"/>
        </w:numPr>
      </w:pPr>
      <w:bookmarkStart w:id="658" w:name="_Toc415660914"/>
      <w:r>
        <w:t>Extension to hotel buildings</w:t>
      </w:r>
      <w:bookmarkEnd w:id="658"/>
    </w:p>
    <w:p w14:paraId="4F9A7D35" w14:textId="77777777" w:rsidR="00344F17" w:rsidRDefault="00344F17" w:rsidP="00344F17">
      <w:pPr>
        <w:pStyle w:val="BodyText"/>
      </w:pPr>
      <w:r w:rsidRPr="007E26BA">
        <w:t xml:space="preserve">Hotels are a </w:t>
      </w:r>
      <w:r>
        <w:t xml:space="preserve">relatively </w:t>
      </w:r>
      <w:r w:rsidRPr="007E26BA">
        <w:t>small part, in energy use terms, of the accommodation/tourism sector</w:t>
      </w:r>
      <w:r w:rsidR="00CB3EC7" w:rsidRPr="007E26BA">
        <w:t>.</w:t>
      </w:r>
      <w:r w:rsidR="00CB3EC7">
        <w:t xml:space="preserve"> </w:t>
      </w:r>
      <w:r>
        <w:t>According to CBBS, the average energy intensity of hotels was 1,462MJ/m</w:t>
      </w:r>
      <w:r w:rsidRPr="005F0932">
        <w:rPr>
          <w:vertAlign w:val="superscript"/>
        </w:rPr>
        <w:t>2</w:t>
      </w:r>
      <w:r>
        <w:t xml:space="preserve"> in 2011</w:t>
      </w:r>
      <w:r w:rsidR="00CB3EC7">
        <w:t xml:space="preserve">. </w:t>
      </w:r>
      <w:r>
        <w:t>It was expected to increase by 26.7 per cent between 2012 and 2020.</w:t>
      </w:r>
    </w:p>
    <w:p w14:paraId="74C22A46" w14:textId="77777777" w:rsidR="00344F17" w:rsidRDefault="00344F17" w:rsidP="00344F17">
      <w:pPr>
        <w:pStyle w:val="BodyText"/>
      </w:pPr>
      <w:r>
        <w:t>Ownership and management of hotels tend to be separate and is increasingly so</w:t>
      </w:r>
      <w:r w:rsidR="00CB3EC7">
        <w:t xml:space="preserve">. </w:t>
      </w:r>
      <w:r>
        <w:t>It is estimated that 50 per cent of hotels in Australia are foreign-owned.</w:t>
      </w:r>
    </w:p>
    <w:p w14:paraId="57DCBF55" w14:textId="77777777" w:rsidR="00344F17" w:rsidRDefault="00344F17" w:rsidP="00344F17">
      <w:pPr>
        <w:pStyle w:val="BodyText"/>
      </w:pPr>
      <w:r w:rsidRPr="007E26BA">
        <w:t xml:space="preserve">A NABERS </w:t>
      </w:r>
      <w:r>
        <w:t>H</w:t>
      </w:r>
      <w:r w:rsidRPr="007E26BA">
        <w:t>otel</w:t>
      </w:r>
      <w:r>
        <w:t xml:space="preserve"> </w:t>
      </w:r>
      <w:r w:rsidRPr="007E26BA">
        <w:t xml:space="preserve">tool exists, but no similar tool exists </w:t>
      </w:r>
      <w:r>
        <w:t>for motels, serviced apartments, holiday parks, visitor hostels, bed and breakfasts (B&amp;Bs) or resorts</w:t>
      </w:r>
      <w:r w:rsidR="00CB3EC7" w:rsidRPr="007E26BA">
        <w:t>.</w:t>
      </w:r>
      <w:r w:rsidR="00CB3EC7">
        <w:t xml:space="preserve"> </w:t>
      </w:r>
      <w:r>
        <w:t xml:space="preserve">In its 2010 report for the then Department of Climate Change and Energy Efficiency </w:t>
      </w:r>
      <w:r w:rsidRPr="00A83614">
        <w:rPr>
          <w:i/>
        </w:rPr>
        <w:t>Commercial Buildings Disclosure Phase 2 – non-office buildings Scoping Study</w:t>
      </w:r>
      <w:r>
        <w:t xml:space="preserve">, Energetics </w:t>
      </w:r>
      <w:r w:rsidRPr="007E26BA">
        <w:t>estimate</w:t>
      </w:r>
      <w:r>
        <w:t>d</w:t>
      </w:r>
      <w:r w:rsidRPr="007E26BA">
        <w:t xml:space="preserve"> that</w:t>
      </w:r>
      <w:r>
        <w:t xml:space="preserve"> </w:t>
      </w:r>
      <w:r w:rsidRPr="007E26BA">
        <w:t>under 20</w:t>
      </w:r>
      <w:r>
        <w:t xml:space="preserve"> per cent</w:t>
      </w:r>
      <w:r w:rsidRPr="007E26BA">
        <w:t xml:space="preserve"> of energy in the accommodation/tourism sector may be suited to rating by NABERS Hotel</w:t>
      </w:r>
      <w:r w:rsidR="00CB3EC7" w:rsidRPr="007E26BA">
        <w:t>.</w:t>
      </w:r>
      <w:r w:rsidR="00CB3EC7">
        <w:t xml:space="preserve"> </w:t>
      </w:r>
    </w:p>
    <w:p w14:paraId="4AA4FC1E" w14:textId="77777777" w:rsidR="00344F17" w:rsidRDefault="00344F17" w:rsidP="00344F17">
      <w:pPr>
        <w:pStyle w:val="BodyText"/>
      </w:pPr>
      <w:r>
        <w:t>Davis Langdon estimated that there were approximately 530 NABERS rateable hotels in 2012, covering around 2.3 million square metres of Gross Internal Floor Area (GIFA)</w:t>
      </w:r>
      <w:r w:rsidR="00D97D51">
        <w:t>,</w:t>
      </w:r>
      <w:r>
        <w:t xml:space="preserve"> and representing 9.7 per cent of hotel sector establishments and 14.2 per cent of the ABS estimate of total hotel sector area (and 21 per cent of CBBS’ estimate of total hotel sector area).</w:t>
      </w:r>
    </w:p>
    <w:p w14:paraId="3668D561" w14:textId="41FDABC1" w:rsidR="00344F17" w:rsidRDefault="00344F17" w:rsidP="00344F17">
      <w:pPr>
        <w:pStyle w:val="BodyText"/>
      </w:pPr>
      <w:r>
        <w:t>Turnover in the hotel sector is low, with an estimated 20 to 30 rateable hotels sold per year</w:t>
      </w:r>
      <w:r w:rsidR="00CB3EC7">
        <w:t xml:space="preserve">. </w:t>
      </w:r>
      <w:r>
        <w:t xml:space="preserve">An internal analysis by the Department undertaken in late 2012 indicated a low take-up of NABERS by the hotel sector, with just 21 current ratings (corresponding to a 4 per cent </w:t>
      </w:r>
      <w:r w:rsidR="00DA1794">
        <w:t>uptake</w:t>
      </w:r>
      <w:r>
        <w:t xml:space="preserve"> rate) in September 2012</w:t>
      </w:r>
      <w:r w:rsidR="00CB3EC7">
        <w:t xml:space="preserve">. </w:t>
      </w:r>
    </w:p>
    <w:p w14:paraId="6ECEB2D7" w14:textId="3BB2F5E3" w:rsidR="00344F17" w:rsidRDefault="00344F17" w:rsidP="00344F17">
      <w:pPr>
        <w:pStyle w:val="BodyText"/>
      </w:pPr>
      <w:r>
        <w:t>Industry insiders suggest that utilities (including energy) make up less than five per cent of industry costs, compared with approximately 40 per cent for wages</w:t>
      </w:r>
      <w:r w:rsidR="00CB3EC7">
        <w:t xml:space="preserve">. </w:t>
      </w:r>
      <w:r>
        <w:t>Energy costs do not appear to be a key concern for hotel owners and managers</w:t>
      </w:r>
      <w:r w:rsidR="00CB3EC7">
        <w:t xml:space="preserve">. </w:t>
      </w:r>
      <w:r>
        <w:t>The main determinants of profits are vacancy rates and room rates, which in turn depend on location as well as customer and official ratings.</w:t>
      </w:r>
    </w:p>
    <w:p w14:paraId="0AAFE2B0" w14:textId="5B8FD915" w:rsidR="00344F17" w:rsidRDefault="00344F17" w:rsidP="00344F17">
      <w:pPr>
        <w:pStyle w:val="BodyText"/>
      </w:pPr>
      <w:r>
        <w:t>TBGB analysis of Green Building Fund (GBF) applications identified an average cost of $3,505/room for a project to achieve a one</w:t>
      </w:r>
      <w:r w:rsidR="00DA1794">
        <w:t>-</w:t>
      </w:r>
      <w:r>
        <w:t>star improvement that increased a hotel’s NABERS rating to three stars or higher.</w:t>
      </w:r>
    </w:p>
    <w:p w14:paraId="189821BA" w14:textId="77777777" w:rsidR="00344F17" w:rsidRDefault="00344F17" w:rsidP="00344F17">
      <w:pPr>
        <w:pStyle w:val="BodyText"/>
      </w:pPr>
      <w:r>
        <w:t>Coverage of the hotel sector by other energy efficiency programs is minimal</w:t>
      </w:r>
      <w:r w:rsidR="00CB3EC7">
        <w:t xml:space="preserve">. </w:t>
      </w:r>
      <w:r>
        <w:t>Holiday Inn and Mirvac were covered by the now defunct EEO program</w:t>
      </w:r>
      <w:r w:rsidR="009A014C">
        <w:t>,</w:t>
      </w:r>
      <w:r>
        <w:t xml:space="preserve"> while some large Sydney hotels (such as Shangri-La and Four Seasons) are covered by the NSW </w:t>
      </w:r>
      <w:r w:rsidRPr="00292522">
        <w:rPr>
          <w:i/>
        </w:rPr>
        <w:t>Energy Savings Action Plan</w:t>
      </w:r>
      <w:r>
        <w:t xml:space="preserve"> (ESAP).</w:t>
      </w:r>
    </w:p>
    <w:p w14:paraId="1F52A15B" w14:textId="77777777" w:rsidR="00344F17" w:rsidRDefault="00344F17" w:rsidP="00344F17">
      <w:pPr>
        <w:pStyle w:val="BodyText"/>
      </w:pPr>
      <w:r>
        <w:t>ACIL Allen does not recommend that mandatory disclosure be extended to hotel buildings for the following reasons:</w:t>
      </w:r>
    </w:p>
    <w:p w14:paraId="4004F028" w14:textId="3887EFBE" w:rsidR="00344F17" w:rsidRDefault="00344F17" w:rsidP="00344F17">
      <w:pPr>
        <w:pStyle w:val="ListDash"/>
      </w:pPr>
      <w:r>
        <w:lastRenderedPageBreak/>
        <w:t>There is no split incentive problem if hotel operators are also owners of the hotel buildings</w:t>
      </w:r>
      <w:r w:rsidR="00CB3EC7">
        <w:t xml:space="preserve">. </w:t>
      </w:r>
      <w:r>
        <w:t>Even if they do not own the buildings, the</w:t>
      </w:r>
      <w:r w:rsidR="009A014C">
        <w:t>y</w:t>
      </w:r>
      <w:r>
        <w:t xml:space="preserve"> have a natural incentive to seek out buildings that are more energy efficient and have lower energy costs, holding all other building characteristics constant.</w:t>
      </w:r>
    </w:p>
    <w:p w14:paraId="187E0F0B" w14:textId="77777777" w:rsidR="00344F17" w:rsidRDefault="00344F17" w:rsidP="00344F17">
      <w:pPr>
        <w:pStyle w:val="ListDash"/>
      </w:pPr>
      <w:r>
        <w:t>If energy efficiency is an important attribute in the selection of buildings by hotel operators, they could demand information on a prospective property’s energy efficiency performance (which would likely be acceded to by building owners because assessment costs are very small in comparison to the value of a typical transaction)</w:t>
      </w:r>
      <w:r w:rsidR="00CB3EC7">
        <w:t xml:space="preserve">. </w:t>
      </w:r>
      <w:r>
        <w:t>However, it is not clear that energy efficiency matters greatly to buyers or lessees of hotel buildings, in comparison with other factors</w:t>
      </w:r>
      <w:r w:rsidR="00555E2C">
        <w:t>,</w:t>
      </w:r>
      <w:r>
        <w:t xml:space="preserve"> such as geographic location</w:t>
      </w:r>
      <w:r w:rsidR="00CB3EC7">
        <w:t xml:space="preserve">. </w:t>
      </w:r>
      <w:r>
        <w:t>In either case, mandatory disclosure is superfluous for overcoming the information asymmetry problem</w:t>
      </w:r>
      <w:r w:rsidR="00CB3EC7">
        <w:t xml:space="preserve">. </w:t>
      </w:r>
    </w:p>
    <w:p w14:paraId="3713CAAD" w14:textId="77777777" w:rsidR="00344F17" w:rsidRDefault="00344F17" w:rsidP="00344F17">
      <w:pPr>
        <w:pStyle w:val="Heading2"/>
        <w:numPr>
          <w:ilvl w:val="1"/>
          <w:numId w:val="20"/>
        </w:numPr>
      </w:pPr>
      <w:bookmarkStart w:id="659" w:name="_Toc415660915"/>
      <w:r>
        <w:t>Cost recovery options</w:t>
      </w:r>
      <w:bookmarkEnd w:id="659"/>
    </w:p>
    <w:p w14:paraId="0D5312BC" w14:textId="77777777" w:rsidR="00344F17" w:rsidRDefault="00344F17" w:rsidP="00344F17">
      <w:pPr>
        <w:pStyle w:val="Heading3"/>
        <w:numPr>
          <w:ilvl w:val="2"/>
          <w:numId w:val="20"/>
        </w:numPr>
      </w:pPr>
      <w:bookmarkStart w:id="660" w:name="_Toc415660916"/>
      <w:r>
        <w:t>Background</w:t>
      </w:r>
      <w:bookmarkEnd w:id="660"/>
    </w:p>
    <w:p w14:paraId="47027F80" w14:textId="77777777" w:rsidR="00344F17" w:rsidRDefault="00344F17" w:rsidP="00344F17">
      <w:pPr>
        <w:pStyle w:val="BodyText"/>
      </w:pPr>
      <w:r>
        <w:t xml:space="preserve">The total costs associated with administering the CBD program (including issuing approximately 1,100 BEECs and 1,000 TLAs in 2012-13) are currently </w:t>
      </w:r>
      <w:r w:rsidRPr="007E4060">
        <w:t>approxima</w:t>
      </w:r>
      <w:r w:rsidRPr="00292522">
        <w:t>tely $2 million per year</w:t>
      </w:r>
      <w:r w:rsidR="00CB3EC7">
        <w:t xml:space="preserve">. </w:t>
      </w:r>
      <w:r>
        <w:t>This is funded by the Commonwealth Government from the general budget</w:t>
      </w:r>
      <w:r w:rsidR="00555E2C">
        <w:t>,</w:t>
      </w:r>
      <w:r>
        <w:t xml:space="preserve"> with no input from States and Territories.</w:t>
      </w:r>
    </w:p>
    <w:p w14:paraId="45E23D19" w14:textId="77777777" w:rsidR="00344F17" w:rsidRDefault="00344F17" w:rsidP="00344F17">
      <w:pPr>
        <w:pStyle w:val="BodyText"/>
      </w:pPr>
      <w:r>
        <w:t xml:space="preserve">The Department estimates that, in accordance with the </w:t>
      </w:r>
      <w:r w:rsidRPr="005F0932">
        <w:rPr>
          <w:i/>
        </w:rPr>
        <w:t>Government Cost Recovery Guidelines</w:t>
      </w:r>
      <w:r>
        <w:t xml:space="preserve"> administered by the Department of Finance, up to $1.5 million of the total annual cost could be recovered.</w:t>
      </w:r>
    </w:p>
    <w:p w14:paraId="134EBBA1" w14:textId="77777777" w:rsidR="00344F17" w:rsidRDefault="00344F17" w:rsidP="00344F17">
      <w:pPr>
        <w:pStyle w:val="BodyText"/>
      </w:pPr>
      <w:r>
        <w:t xml:space="preserve">The Department is exploring cost recovery options as the Explanatory Memorandum to the </w:t>
      </w:r>
      <w:r w:rsidR="00492194" w:rsidRPr="00104113">
        <w:rPr>
          <w:i/>
        </w:rPr>
        <w:t>Building Energy Disclosure Act 2010</w:t>
      </w:r>
      <w:r>
        <w:t xml:space="preserve"> states:</w:t>
      </w:r>
    </w:p>
    <w:p w14:paraId="4E80D745" w14:textId="77777777" w:rsidR="00344F17" w:rsidRDefault="00344F17" w:rsidP="00344F17">
      <w:pPr>
        <w:pStyle w:val="Quote"/>
      </w:pPr>
      <w:r>
        <w:t>Administration of the scheme will be undertaken with the objective of moving to full cost recovery at the cessation of this funding.</w:t>
      </w:r>
    </w:p>
    <w:p w14:paraId="3FCF4C5B" w14:textId="77777777" w:rsidR="00344F17" w:rsidRDefault="00344F17" w:rsidP="00344F17">
      <w:pPr>
        <w:pStyle w:val="BodyText"/>
      </w:pPr>
      <w:r w:rsidRPr="000E1D97">
        <w:t xml:space="preserve">The current cost of compliance (the cost to obtain a BEEC) for a building owner is comprised of the cost of engaging an accredited </w:t>
      </w:r>
      <w:r>
        <w:t>a</w:t>
      </w:r>
      <w:r w:rsidRPr="000E1D97">
        <w:t>ssessor to carry out the NABERS rating and the TLA, plus the lodgement fee charged by NABERS</w:t>
      </w:r>
      <w:r w:rsidR="00CB3EC7" w:rsidRPr="000E1D97">
        <w:t>.</w:t>
      </w:r>
      <w:r w:rsidR="00CB3EC7">
        <w:t xml:space="preserve"> </w:t>
      </w:r>
      <w:r w:rsidRPr="000E1D97">
        <w:t xml:space="preserve">The fees charged by </w:t>
      </w:r>
      <w:r>
        <w:t>a</w:t>
      </w:r>
      <w:r w:rsidRPr="000E1D97">
        <w:t>ssessors for a NABERS rating and TLA vary, with the typical cost ranging from $4,000 to $14,000</w:t>
      </w:r>
      <w:r w:rsidR="00CB3EC7" w:rsidRPr="000E1D97">
        <w:t>.</w:t>
      </w:r>
      <w:r w:rsidR="00CB3EC7">
        <w:t xml:space="preserve"> </w:t>
      </w:r>
      <w:r w:rsidRPr="000E1D97">
        <w:t>The variation is based on factors such as the size of the individual building in question and the individual accredited assessor chosen to undertake the work</w:t>
      </w:r>
      <w:r w:rsidR="00CB3EC7" w:rsidRPr="000E1D97">
        <w:t>.</w:t>
      </w:r>
      <w:r w:rsidR="00CB3EC7">
        <w:t xml:space="preserve"> </w:t>
      </w:r>
      <w:r w:rsidRPr="000E1D97">
        <w:t>The lodgement fee currently payable to the NABERS administrator is $</w:t>
      </w:r>
      <w:r>
        <w:t>980 for all buildings over 2,000m</w:t>
      </w:r>
      <w:r w:rsidRPr="005F0932">
        <w:rPr>
          <w:vertAlign w:val="superscript"/>
        </w:rPr>
        <w:t>2</w:t>
      </w:r>
      <w:r w:rsidR="00CB3EC7" w:rsidRPr="000E1D97">
        <w:t>.</w:t>
      </w:r>
      <w:r w:rsidR="00CB3EC7">
        <w:t xml:space="preserve"> </w:t>
      </w:r>
      <w:r>
        <w:t>The cost of obtaining a BEEC is thus a relatively small proportion of the total value of a building’s sale or lease transaction.</w:t>
      </w:r>
    </w:p>
    <w:p w14:paraId="0EB1142E" w14:textId="77777777" w:rsidR="00344F17" w:rsidRDefault="00344F17" w:rsidP="00344F17">
      <w:pPr>
        <w:pStyle w:val="Heading3"/>
        <w:numPr>
          <w:ilvl w:val="2"/>
          <w:numId w:val="20"/>
        </w:numPr>
      </w:pPr>
      <w:bookmarkStart w:id="661" w:name="_Toc415660917"/>
      <w:r>
        <w:t>Options considered</w:t>
      </w:r>
      <w:bookmarkEnd w:id="661"/>
    </w:p>
    <w:p w14:paraId="3A5FE960" w14:textId="77777777" w:rsidR="00344F17" w:rsidRDefault="00344F17" w:rsidP="00344F17">
      <w:pPr>
        <w:pStyle w:val="BodyText"/>
      </w:pPr>
      <w:r>
        <w:t>ACIL Allen considered the following cost recovery options for the Department in relation to the future operation of the CBD program:</w:t>
      </w:r>
    </w:p>
    <w:p w14:paraId="0C88D85A" w14:textId="77777777" w:rsidR="00344F17" w:rsidRDefault="00344F17" w:rsidP="00344F17">
      <w:pPr>
        <w:pStyle w:val="ListDash"/>
      </w:pPr>
      <w:r w:rsidRPr="005F0932">
        <w:rPr>
          <w:b/>
        </w:rPr>
        <w:t>Option 1</w:t>
      </w:r>
      <w:r>
        <w:t>: Single flat fee for BEEC</w:t>
      </w:r>
    </w:p>
    <w:p w14:paraId="78E0AB51" w14:textId="77777777" w:rsidR="00344F17" w:rsidRDefault="00344F17" w:rsidP="00344F17">
      <w:pPr>
        <w:pStyle w:val="ListDash"/>
      </w:pPr>
      <w:r w:rsidRPr="005F0932">
        <w:rPr>
          <w:b/>
        </w:rPr>
        <w:t>Option 2</w:t>
      </w:r>
      <w:r>
        <w:t>: Two-tier BEEC by building size</w:t>
      </w:r>
    </w:p>
    <w:p w14:paraId="5E192C39" w14:textId="77777777" w:rsidR="00344F17" w:rsidRDefault="00344F17" w:rsidP="00344F17">
      <w:pPr>
        <w:pStyle w:val="ListDash"/>
      </w:pPr>
      <w:r w:rsidRPr="005F0932">
        <w:rPr>
          <w:b/>
        </w:rPr>
        <w:t>Option 3</w:t>
      </w:r>
      <w:r>
        <w:t>: Status quo (no BEEC fee)</w:t>
      </w:r>
    </w:p>
    <w:p w14:paraId="06C272D5" w14:textId="77777777" w:rsidR="00344F17" w:rsidRPr="005E7DDA" w:rsidRDefault="00344F17" w:rsidP="00344F17">
      <w:pPr>
        <w:pStyle w:val="BodyText"/>
      </w:pPr>
      <w:r>
        <w:t xml:space="preserve">Under Option 1, with the maximum amount that could be recovered equal to $1.5 million distributed equally to all 1,100 BEECs, the application lodgement fee charged would be approximately </w:t>
      </w:r>
      <w:r w:rsidRPr="005E7DDA">
        <w:t>$1,400.</w:t>
      </w:r>
    </w:p>
    <w:p w14:paraId="6CBC0CF9" w14:textId="77777777" w:rsidR="00344F17" w:rsidRDefault="00344F17" w:rsidP="00344F17">
      <w:pPr>
        <w:pStyle w:val="BodyText"/>
      </w:pPr>
      <w:r>
        <w:lastRenderedPageBreak/>
        <w:t>Under Option 2, the cost of obtaining a BEEC is related to the size of the building, on the grounds that the capital value and rental returns of a building are also related to the size of the building</w:t>
      </w:r>
      <w:r w:rsidR="00CB3EC7">
        <w:t xml:space="preserve">. </w:t>
      </w:r>
      <w:r>
        <w:t>On this basis, it could be argued that the BEEC application fee should be tiered to more evenly align the cost of compliance with the overall transaction amount.</w:t>
      </w:r>
    </w:p>
    <w:p w14:paraId="054AA41F" w14:textId="77777777" w:rsidR="00344F17" w:rsidRDefault="00344F17" w:rsidP="00344F17">
      <w:pPr>
        <w:pStyle w:val="BodyText"/>
      </w:pPr>
      <w:r>
        <w:t>According to the Department’s internal analysis, the 1,100 buildings issued with a BEEC in the 2012-13 period ranged from 2,000</w:t>
      </w:r>
      <w:r w:rsidR="00BE7013">
        <w:t xml:space="preserve"> </w:t>
      </w:r>
      <w:r>
        <w:t>m</w:t>
      </w:r>
      <w:r w:rsidRPr="005F0932">
        <w:rPr>
          <w:vertAlign w:val="superscript"/>
        </w:rPr>
        <w:t>2</w:t>
      </w:r>
      <w:r>
        <w:t xml:space="preserve"> to 80,000</w:t>
      </w:r>
      <w:r w:rsidR="00BE7013">
        <w:t xml:space="preserve"> </w:t>
      </w:r>
      <w:r>
        <w:t>m</w:t>
      </w:r>
      <w:r w:rsidRPr="005F0932">
        <w:rPr>
          <w:vertAlign w:val="superscript"/>
        </w:rPr>
        <w:t>2</w:t>
      </w:r>
      <w:r w:rsidR="00492194" w:rsidRPr="00104113">
        <w:t>,</w:t>
      </w:r>
      <w:r>
        <w:t xml:space="preserve"> with the median being at 9,500</w:t>
      </w:r>
      <w:r w:rsidR="00BE7013">
        <w:t xml:space="preserve"> </w:t>
      </w:r>
      <w:r>
        <w:t>m</w:t>
      </w:r>
      <w:r w:rsidRPr="005F0932">
        <w:rPr>
          <w:vertAlign w:val="superscript"/>
        </w:rPr>
        <w:t>2</w:t>
      </w:r>
      <w:r w:rsidR="00CB3EC7">
        <w:t xml:space="preserve">. </w:t>
      </w:r>
      <w:r>
        <w:t>A two-tier BEEC fee based on the median building size of 9,500</w:t>
      </w:r>
      <w:r w:rsidR="00BE7013">
        <w:t xml:space="preserve"> </w:t>
      </w:r>
      <w:r>
        <w:t>m</w:t>
      </w:r>
      <w:r w:rsidRPr="005F0932">
        <w:rPr>
          <w:vertAlign w:val="superscript"/>
        </w:rPr>
        <w:t>2</w:t>
      </w:r>
      <w:r>
        <w:t xml:space="preserve"> would be as follows:</w:t>
      </w:r>
    </w:p>
    <w:p w14:paraId="1B86EFE3" w14:textId="77777777" w:rsidR="00344F17" w:rsidRPr="005E7DDA" w:rsidRDefault="00344F17" w:rsidP="00344F17">
      <w:pPr>
        <w:pStyle w:val="ListDash"/>
      </w:pPr>
      <w:r>
        <w:t>Small building (less than or equal to 9,500</w:t>
      </w:r>
      <w:r w:rsidR="00BE7013">
        <w:t xml:space="preserve"> </w:t>
      </w:r>
      <w:r>
        <w:t>m</w:t>
      </w:r>
      <w:r w:rsidRPr="005F0932">
        <w:rPr>
          <w:vertAlign w:val="superscript"/>
        </w:rPr>
        <w:t>2</w:t>
      </w:r>
      <w:r>
        <w:t xml:space="preserve">): </w:t>
      </w:r>
      <w:r w:rsidRPr="005E7DDA">
        <w:t>approximately $900</w:t>
      </w:r>
    </w:p>
    <w:p w14:paraId="22AD9AE7" w14:textId="77777777" w:rsidR="00344F17" w:rsidRDefault="00344F17" w:rsidP="00344F17">
      <w:pPr>
        <w:pStyle w:val="ListDash"/>
      </w:pPr>
      <w:r>
        <w:t>Large building (greater than 9,500</w:t>
      </w:r>
      <w:r w:rsidR="00BE7013">
        <w:t xml:space="preserve"> </w:t>
      </w:r>
      <w:r>
        <w:t>m</w:t>
      </w:r>
      <w:r w:rsidRPr="005F0932">
        <w:rPr>
          <w:vertAlign w:val="superscript"/>
        </w:rPr>
        <w:t>2</w:t>
      </w:r>
      <w:r>
        <w:t xml:space="preserve">): approximately </w:t>
      </w:r>
      <w:r w:rsidRPr="005E7DDA">
        <w:t>$1,800.</w:t>
      </w:r>
    </w:p>
    <w:p w14:paraId="791C55AC" w14:textId="77777777" w:rsidR="00344F17" w:rsidRDefault="00344F17" w:rsidP="00344F17">
      <w:pPr>
        <w:pStyle w:val="BodyText"/>
      </w:pPr>
      <w:r>
        <w:t>Option 3 would not preclude the introduction of a BEEC application fee at some stage in the future, but no fee will be prescribed at present</w:t>
      </w:r>
      <w:r w:rsidR="00CB3EC7">
        <w:t xml:space="preserve">. </w:t>
      </w:r>
      <w:r>
        <w:t>The costs of administering the CBD program would continue to be sourced from budget funding.</w:t>
      </w:r>
    </w:p>
    <w:p w14:paraId="4F0FABCF" w14:textId="77777777" w:rsidR="00344F17" w:rsidRDefault="00344F17" w:rsidP="00344F17">
      <w:pPr>
        <w:pStyle w:val="BodyText"/>
      </w:pPr>
      <w:r>
        <w:t xml:space="preserve">It should be noted that, going forward, the Department’s expenditure on the CBD program is expected to be reduced to approximately </w:t>
      </w:r>
      <w:r w:rsidRPr="005E7DDA">
        <w:t>$1.5m per annum</w:t>
      </w:r>
      <w:r w:rsidR="00CB3EC7" w:rsidRPr="005E7DDA">
        <w:t>.</w:t>
      </w:r>
      <w:r w:rsidR="00CB3EC7">
        <w:t xml:space="preserve"> </w:t>
      </w:r>
      <w:r>
        <w:t>This would reduce fees by around 35 per cent, compared with the numbers cited above.</w:t>
      </w:r>
    </w:p>
    <w:p w14:paraId="273EF5A6" w14:textId="77777777" w:rsidR="00344F17" w:rsidRDefault="00344F17" w:rsidP="00344F17">
      <w:pPr>
        <w:pStyle w:val="Heading3"/>
        <w:numPr>
          <w:ilvl w:val="2"/>
          <w:numId w:val="20"/>
        </w:numPr>
      </w:pPr>
      <w:bookmarkStart w:id="662" w:name="_Toc415660918"/>
      <w:r>
        <w:t>Assessment of options</w:t>
      </w:r>
      <w:bookmarkEnd w:id="662"/>
    </w:p>
    <w:p w14:paraId="3562A5CA" w14:textId="77777777" w:rsidR="00344F17" w:rsidRDefault="00344F17" w:rsidP="00344F17">
      <w:pPr>
        <w:pStyle w:val="BodyText"/>
      </w:pPr>
      <w:r>
        <w:t>The three options were assessed against the following criteria:</w:t>
      </w:r>
    </w:p>
    <w:p w14:paraId="247F10F9" w14:textId="77777777" w:rsidR="00344F17" w:rsidRDefault="00344F17" w:rsidP="00A61EA5">
      <w:pPr>
        <w:pStyle w:val="ListNumber"/>
        <w:numPr>
          <w:ilvl w:val="0"/>
          <w:numId w:val="35"/>
        </w:numPr>
      </w:pPr>
      <w:r w:rsidRPr="00A61EA5">
        <w:rPr>
          <w:i/>
        </w:rPr>
        <w:t>Efficiency</w:t>
      </w:r>
      <w:r>
        <w:t xml:space="preserve"> – the fee structure should minimise any economic distortions</w:t>
      </w:r>
    </w:p>
    <w:p w14:paraId="39BAEB16" w14:textId="52052231" w:rsidR="00344F17" w:rsidRDefault="00344F17" w:rsidP="00A61EA5">
      <w:pPr>
        <w:pStyle w:val="ListNumber"/>
        <w:numPr>
          <w:ilvl w:val="0"/>
          <w:numId w:val="35"/>
        </w:numPr>
      </w:pPr>
      <w:r w:rsidRPr="00A61EA5">
        <w:rPr>
          <w:i/>
        </w:rPr>
        <w:t>Equity (fairness)</w:t>
      </w:r>
      <w:r>
        <w:t xml:space="preserve"> – the fee structure should be seen to </w:t>
      </w:r>
      <w:r w:rsidR="00BE7013">
        <w:t xml:space="preserve">be </w:t>
      </w:r>
      <w:r>
        <w:t xml:space="preserve">fair in terms of taking into consideration the ability </w:t>
      </w:r>
      <w:r w:rsidR="00BE7013">
        <w:t xml:space="preserve">of parties applying for BEECs </w:t>
      </w:r>
      <w:r>
        <w:t>to pay and the benefits they receive from CBD</w:t>
      </w:r>
    </w:p>
    <w:p w14:paraId="52D98189" w14:textId="77777777" w:rsidR="00344F17" w:rsidRDefault="00344F17" w:rsidP="00A61EA5">
      <w:pPr>
        <w:pStyle w:val="ListNumber"/>
        <w:numPr>
          <w:ilvl w:val="0"/>
          <w:numId w:val="35"/>
        </w:numPr>
      </w:pPr>
      <w:r w:rsidRPr="00A61EA5">
        <w:rPr>
          <w:i/>
        </w:rPr>
        <w:t>Transparency</w:t>
      </w:r>
      <w:r>
        <w:t xml:space="preserve"> – the fee structure should be very clear and indisputable to parties applying for BEECs</w:t>
      </w:r>
    </w:p>
    <w:p w14:paraId="7D4B36BD" w14:textId="77777777" w:rsidR="00344F17" w:rsidRDefault="00344F17" w:rsidP="00A61EA5">
      <w:pPr>
        <w:pStyle w:val="ListNumber"/>
        <w:numPr>
          <w:ilvl w:val="0"/>
          <w:numId w:val="35"/>
        </w:numPr>
      </w:pPr>
      <w:r w:rsidRPr="00A61EA5">
        <w:rPr>
          <w:i/>
        </w:rPr>
        <w:t>Simplicity</w:t>
      </w:r>
      <w:r>
        <w:t xml:space="preserve"> – the fee structure should be administratively simple for the Department</w:t>
      </w:r>
    </w:p>
    <w:p w14:paraId="497FE5EC" w14:textId="77777777" w:rsidR="00344F17" w:rsidRDefault="00344F17" w:rsidP="00A61EA5">
      <w:pPr>
        <w:pStyle w:val="ListNumber"/>
        <w:numPr>
          <w:ilvl w:val="0"/>
          <w:numId w:val="35"/>
        </w:numPr>
      </w:pPr>
      <w:r w:rsidRPr="00A61EA5">
        <w:rPr>
          <w:i/>
        </w:rPr>
        <w:t>Financial sustainability and predictability</w:t>
      </w:r>
      <w:r>
        <w:t xml:space="preserve"> – the fees recovered should cover the Department’s administrative costs of processing and issuing BEECs and should not fluctuate unduly from year to year.</w:t>
      </w:r>
    </w:p>
    <w:p w14:paraId="4AA472EA" w14:textId="77777777" w:rsidR="00344F17" w:rsidRDefault="00344F17" w:rsidP="00344F17">
      <w:pPr>
        <w:pStyle w:val="BodyText"/>
      </w:pPr>
      <w:r>
        <w:t xml:space="preserve">The results of the assessment are summarised in </w:t>
      </w:r>
      <w:r w:rsidR="00492194">
        <w:fldChar w:fldCharType="begin"/>
      </w:r>
      <w:r>
        <w:instrText xml:space="preserve"> REF _Ref408946202 \h </w:instrText>
      </w:r>
      <w:r w:rsidR="00492194">
        <w:fldChar w:fldCharType="separate"/>
      </w:r>
      <w:r w:rsidR="006A273E">
        <w:t xml:space="preserve">Table </w:t>
      </w:r>
      <w:r w:rsidR="006A273E">
        <w:rPr>
          <w:noProof/>
        </w:rPr>
        <w:t>22</w:t>
      </w:r>
      <w:r w:rsidR="00492194">
        <w:fldChar w:fldCharType="end"/>
      </w:r>
      <w:r>
        <w:t>.</w:t>
      </w:r>
    </w:p>
    <w:p w14:paraId="21D94F3B" w14:textId="77777777" w:rsidR="00344F17" w:rsidRDefault="00344F17" w:rsidP="00344F17">
      <w:pPr>
        <w:pStyle w:val="Caption"/>
        <w:rPr>
          <w:rStyle w:val="CaptionLabel"/>
          <w:rFonts w:asciiTheme="minorHAnsi" w:hAnsiTheme="minorHAnsi" w:cs="Times New Roman"/>
          <w:sz w:val="22"/>
          <w:szCs w:val="22"/>
          <w:lang w:eastAsia="en-AU"/>
        </w:rPr>
      </w:pPr>
      <w:bookmarkStart w:id="663" w:name="_Ref408946202"/>
      <w:bookmarkStart w:id="664" w:name="_Toc415661029"/>
      <w:r>
        <w:t xml:space="preserve">Table </w:t>
      </w:r>
      <w:r w:rsidR="00492194">
        <w:fldChar w:fldCharType="begin"/>
      </w:r>
      <w:r w:rsidR="0044208C">
        <w:instrText xml:space="preserve"> SEQ Table \* ARABIC </w:instrText>
      </w:r>
      <w:r w:rsidR="00492194">
        <w:fldChar w:fldCharType="separate"/>
      </w:r>
      <w:r w:rsidR="006A273E">
        <w:rPr>
          <w:noProof/>
        </w:rPr>
        <w:t>22</w:t>
      </w:r>
      <w:r w:rsidR="00492194">
        <w:rPr>
          <w:noProof/>
        </w:rPr>
        <w:fldChar w:fldCharType="end"/>
      </w:r>
      <w:bookmarkEnd w:id="663"/>
      <w:r w:rsidRPr="008357FB">
        <w:rPr>
          <w:rStyle w:val="CaptionLabel"/>
        </w:rPr>
        <w:tab/>
      </w:r>
      <w:r>
        <w:rPr>
          <w:rStyle w:val="CaptionLabel"/>
        </w:rPr>
        <w:t>Assessment of cost recovery options</w:t>
      </w:r>
      <w:bookmarkEnd w:id="664"/>
    </w:p>
    <w:p w14:paraId="28C14434" w14:textId="77777777" w:rsidR="00344F17" w:rsidRDefault="00344F17" w:rsidP="00344F17">
      <w:pPr>
        <w:pStyle w:val="Tabletext"/>
      </w:pPr>
      <w:r w:rsidRPr="004E45AE">
        <w:rPr>
          <w:noProof/>
          <w:lang w:eastAsia="en-AU"/>
        </w:rPr>
        <w:drawing>
          <wp:inline distT="0" distB="0" distL="0" distR="0" wp14:anchorId="5AA9D028" wp14:editId="0C32EBEA">
            <wp:extent cx="4681220" cy="1964694"/>
            <wp:effectExtent l="0" t="0" r="5080" b="0"/>
            <wp:docPr id="53" name="Picture 53" descr="Assessment of cost recovery options" title="Assessment of cost recover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81220" cy="1964694"/>
                    </a:xfrm>
                    <a:prstGeom prst="rect">
                      <a:avLst/>
                    </a:prstGeom>
                    <a:noFill/>
                    <a:ln>
                      <a:noFill/>
                    </a:ln>
                  </pic:spPr>
                </pic:pic>
              </a:graphicData>
            </a:graphic>
          </wp:inline>
        </w:drawing>
      </w:r>
    </w:p>
    <w:p w14:paraId="19625A75" w14:textId="77777777" w:rsidR="00344F17" w:rsidRDefault="00344F17" w:rsidP="00344F17">
      <w:pPr>
        <w:pStyle w:val="Note"/>
      </w:pPr>
      <w:r w:rsidRPr="00B85543">
        <w:rPr>
          <w:i/>
        </w:rPr>
        <w:t>Note:</w:t>
      </w:r>
      <w:r w:rsidRPr="00B85543">
        <w:t xml:space="preserve"> </w:t>
      </w:r>
      <w:r>
        <w:t>The number of ticks indicates the extent to which each option fulfils a particular criterion</w:t>
      </w:r>
      <w:r w:rsidR="00BE7013">
        <w:t>.</w:t>
      </w:r>
    </w:p>
    <w:p w14:paraId="6D34ECA1" w14:textId="77777777" w:rsidR="00344F17" w:rsidRPr="00B347D7" w:rsidRDefault="00344F17" w:rsidP="00344F17">
      <w:pPr>
        <w:pStyle w:val="Source"/>
      </w:pPr>
      <w:r w:rsidRPr="00B347D7">
        <w:t xml:space="preserve">Source: </w:t>
      </w:r>
      <w:r>
        <w:t>ACIL Allen</w:t>
      </w:r>
    </w:p>
    <w:p w14:paraId="2266CA2F" w14:textId="77777777" w:rsidR="00344F17" w:rsidRDefault="00344F17" w:rsidP="00344F17">
      <w:pPr>
        <w:pStyle w:val="BodyText"/>
      </w:pPr>
      <w:r>
        <w:lastRenderedPageBreak/>
        <w:t>Options 1 and 2 are likely to perform equally well in the efficiency criteria, as it is not obvious that either fee structure would result in significant economic distortions or perverse behaviour on the part of building owners, operators or tenants.</w:t>
      </w:r>
    </w:p>
    <w:p w14:paraId="5C6743EA" w14:textId="77777777" w:rsidR="00344F17" w:rsidRDefault="00344F17" w:rsidP="00344F17">
      <w:pPr>
        <w:pStyle w:val="BodyText"/>
      </w:pPr>
      <w:r>
        <w:t>Option 2 is likely to be perceived to be fairer than Options 1 and 3</w:t>
      </w:r>
      <w:r w:rsidR="00D80718">
        <w:t>,</w:t>
      </w:r>
      <w:r>
        <w:t xml:space="preserve"> in that larger buildings are likely to generate greater benefits from higher rents or sale prices as a result of mandatory disclosure</w:t>
      </w:r>
      <w:r w:rsidR="00CB3EC7">
        <w:t xml:space="preserve">. </w:t>
      </w:r>
      <w:r>
        <w:t xml:space="preserve">The owners of larger buildings also tend to </w:t>
      </w:r>
      <w:r w:rsidR="00D80718">
        <w:t xml:space="preserve">be </w:t>
      </w:r>
      <w:r>
        <w:t>in stronger financial positions than owners of smaller buildings.</w:t>
      </w:r>
    </w:p>
    <w:p w14:paraId="00A555DB" w14:textId="77777777" w:rsidR="00344F17" w:rsidRDefault="00344F17" w:rsidP="00344F17">
      <w:pPr>
        <w:pStyle w:val="BodyText"/>
      </w:pPr>
      <w:r>
        <w:t>The single fee structure of Option 1 and the absence of fees in Option 3 mean that these two options are extremely transparent</w:t>
      </w:r>
      <w:r w:rsidR="00CB3EC7">
        <w:t xml:space="preserve">. </w:t>
      </w:r>
      <w:r>
        <w:t>A clearly specified tiered fee structure in Option 2 can also be transparent, albeit not to the same degree.</w:t>
      </w:r>
    </w:p>
    <w:p w14:paraId="61DB70F9" w14:textId="77777777" w:rsidR="00344F17" w:rsidRPr="003475B9" w:rsidRDefault="00344F17" w:rsidP="00344F17">
      <w:pPr>
        <w:pStyle w:val="BodyText"/>
      </w:pPr>
      <w:r>
        <w:t>Option 1 is administratively simpler than Option 2</w:t>
      </w:r>
      <w:r w:rsidR="00601CAF">
        <w:t>,</w:t>
      </w:r>
      <w:r>
        <w:t xml:space="preserve"> although Option 3 (which entails no fees at all) is simpler still</w:t>
      </w:r>
      <w:r w:rsidR="00CB3EC7">
        <w:t xml:space="preserve">. </w:t>
      </w:r>
      <w:r>
        <w:t>However, with no fee recovery</w:t>
      </w:r>
      <w:r w:rsidR="00601CAF">
        <w:t>,</w:t>
      </w:r>
      <w:r>
        <w:t xml:space="preserve"> Option 3 is the least financially sustainable option</w:t>
      </w:r>
      <w:r w:rsidR="00601CAF">
        <w:t>,</w:t>
      </w:r>
      <w:r>
        <w:t xml:space="preserve"> while Option 1 will generate a more certain and predictable income stream for the Government than Option 2</w:t>
      </w:r>
      <w:r w:rsidR="00CB3EC7">
        <w:t xml:space="preserve">. </w:t>
      </w:r>
      <w:r>
        <w:t>The fees collected under Option 2 may vary from year to year due to changes in the composition of the office building stock in terms of leased area</w:t>
      </w:r>
      <w:r w:rsidR="00CB3EC7">
        <w:t xml:space="preserve">. </w:t>
      </w:r>
    </w:p>
    <w:p w14:paraId="3A89E610" w14:textId="77777777" w:rsidR="00E37B03" w:rsidRDefault="0087761D" w:rsidP="004572F4">
      <w:pPr>
        <w:pStyle w:val="Heading2"/>
      </w:pPr>
      <w:bookmarkStart w:id="665" w:name="_Ref414010945"/>
      <w:bookmarkStart w:id="666" w:name="_Toc415660919"/>
      <w:r>
        <w:t>C</w:t>
      </w:r>
      <w:r w:rsidR="00E37B03">
        <w:t xml:space="preserve">hanges to </w:t>
      </w:r>
      <w:r w:rsidR="00220BB7">
        <w:t xml:space="preserve">the </w:t>
      </w:r>
      <w:r w:rsidR="00E37B03">
        <w:t>scheme design</w:t>
      </w:r>
      <w:bookmarkEnd w:id="651"/>
      <w:bookmarkEnd w:id="665"/>
      <w:bookmarkEnd w:id="666"/>
    </w:p>
    <w:p w14:paraId="574BBE71" w14:textId="77777777" w:rsidR="0087761D" w:rsidRDefault="0087761D" w:rsidP="0087761D">
      <w:pPr>
        <w:pStyle w:val="Heading3"/>
      </w:pPr>
      <w:bookmarkStart w:id="667" w:name="_Ref414881440"/>
      <w:bookmarkStart w:id="668" w:name="_Toc415660920"/>
      <w:r>
        <w:t>Raising the visibility of Tenancy Lighting Assessments</w:t>
      </w:r>
      <w:bookmarkEnd w:id="667"/>
      <w:bookmarkEnd w:id="668"/>
    </w:p>
    <w:p w14:paraId="0FD5CB99" w14:textId="77777777" w:rsidR="007B6A4B" w:rsidRDefault="007B6A4B" w:rsidP="007B6A4B">
      <w:pPr>
        <w:pStyle w:val="BodyText"/>
      </w:pPr>
      <w:r>
        <w:t>The information provided on TLA certificates (the power density, the corresponding performance rating and control capacity) is currently not a key factor taken into consideration by tenants</w:t>
      </w:r>
      <w:r w:rsidR="00CB3EC7">
        <w:t xml:space="preserve">. </w:t>
      </w:r>
      <w:r>
        <w:t>This is despite tenancy lighting having a large bearing on ongoing electricity charges, comprising 38 per cent of tenancy end-use (</w:t>
      </w:r>
      <w:proofErr w:type="spellStart"/>
      <w:r>
        <w:t>pitt&amp;sherry</w:t>
      </w:r>
      <w:proofErr w:type="spellEnd"/>
      <w:r>
        <w:t>, 2012)</w:t>
      </w:r>
      <w:r w:rsidR="00CB3EC7">
        <w:t xml:space="preserve">. </w:t>
      </w:r>
      <w:r>
        <w:t>This lack of awareness is due to a number of factors.</w:t>
      </w:r>
    </w:p>
    <w:p w14:paraId="17F05831" w14:textId="77777777" w:rsidR="007B6A4B" w:rsidRDefault="007B6A4B" w:rsidP="007B6A4B">
      <w:pPr>
        <w:pStyle w:val="ListDash"/>
      </w:pPr>
      <w:r>
        <w:t>The fact that tenancy lighting assessments are a new mechanism and the market has not had adequate time for the scheme to mature to the extent where there is sufficient awareness and uptake from both building owners and tenants (unlike NABERS ratings).</w:t>
      </w:r>
    </w:p>
    <w:p w14:paraId="7A741EB2" w14:textId="77777777" w:rsidR="007B6A4B" w:rsidRDefault="007B6A4B" w:rsidP="007B6A4B">
      <w:pPr>
        <w:pStyle w:val="ListDash"/>
      </w:pPr>
      <w:r>
        <w:t>There is no requirement to include TLA information in advertisements regarding the sale or lease of a building.</w:t>
      </w:r>
    </w:p>
    <w:p w14:paraId="53CA9D21" w14:textId="77777777" w:rsidR="007B6A4B" w:rsidRDefault="007B6A4B" w:rsidP="007B6A4B">
      <w:pPr>
        <w:pStyle w:val="ListDash"/>
      </w:pPr>
      <w:r>
        <w:t>Even if inclusion of TLA information was required, it is not as amenable (compared to NABERS) to produce a simple aggregate performance metric that can be easily understood by the market, as power densities and control systems will vary by functional space.</w:t>
      </w:r>
    </w:p>
    <w:p w14:paraId="1EFAEE9B" w14:textId="77777777" w:rsidR="007B6A4B" w:rsidRDefault="007B6A4B" w:rsidP="007B6A4B">
      <w:pPr>
        <w:pStyle w:val="ListDash"/>
      </w:pPr>
      <w:r>
        <w:t>High NABERS ratings are part of the marketing proposition of some buildings, while this is not the case for tenancy lighting.</w:t>
      </w:r>
    </w:p>
    <w:p w14:paraId="1BA06E34" w14:textId="77777777" w:rsidR="007B6A4B" w:rsidRDefault="007B6A4B" w:rsidP="007B6A4B">
      <w:pPr>
        <w:pStyle w:val="BodyText"/>
      </w:pPr>
      <w:r>
        <w:t>The LEASA</w:t>
      </w:r>
      <w:r>
        <w:rPr>
          <w:rStyle w:val="FootnoteReference"/>
        </w:rPr>
        <w:footnoteReference w:id="45"/>
      </w:r>
      <w:r>
        <w:t xml:space="preserve"> app is designed to assist tenants understand how energy performance affects occupancy costs</w:t>
      </w:r>
      <w:r w:rsidR="00CB3EC7">
        <w:t xml:space="preserve">. </w:t>
      </w:r>
      <w:r>
        <w:t>Using the LEASA app calculator, tenants can estimate the monetary savings achieved by more energy efficient tenancy lighting</w:t>
      </w:r>
      <w:r w:rsidR="00CB3EC7">
        <w:t xml:space="preserve">. </w:t>
      </w:r>
      <w:r>
        <w:t xml:space="preserve">However, in stakeholder consultations, </w:t>
      </w:r>
      <w:proofErr w:type="spellStart"/>
      <w:r>
        <w:t>CitySwitch</w:t>
      </w:r>
      <w:proofErr w:type="spellEnd"/>
      <w:r>
        <w:t xml:space="preserve"> noted that their engagement with tenants revealed that tenants were almost universally unaware of TLA information and that the LEASA app is not being used.</w:t>
      </w:r>
    </w:p>
    <w:p w14:paraId="74B075B6" w14:textId="77777777" w:rsidR="007B6A4B" w:rsidRDefault="007B6A4B" w:rsidP="007B6A4B">
      <w:pPr>
        <w:pStyle w:val="BodyText"/>
      </w:pPr>
      <w:r>
        <w:lastRenderedPageBreak/>
        <w:t>One concern with TLA noted by stakeholders was that the TLA does not necessarily provide an accurate reflection of the likely tenancy lighting performance for new tenants moving in</w:t>
      </w:r>
      <w:r w:rsidR="00CB3EC7">
        <w:t xml:space="preserve">. </w:t>
      </w:r>
      <w:r>
        <w:t>This is because tenancy lighting is generally only upgraded during a period of vacancy (</w:t>
      </w:r>
      <w:r w:rsidR="00302A2C">
        <w:t>that is,</w:t>
      </w:r>
      <w:r>
        <w:t xml:space="preserve"> prior to a new tenant moving in)</w:t>
      </w:r>
      <w:r w:rsidR="00CB3EC7">
        <w:t xml:space="preserve">. </w:t>
      </w:r>
      <w:r>
        <w:t>The TLA therefore does not show the targeted post upgrade tenancy lighting performance.</w:t>
      </w:r>
    </w:p>
    <w:p w14:paraId="30A0C97E" w14:textId="77777777" w:rsidR="007B6A4B" w:rsidRDefault="007B6A4B" w:rsidP="007B6A4B">
      <w:pPr>
        <w:pStyle w:val="BodyText"/>
      </w:pPr>
      <w:r>
        <w:t>ACIL Allen makes two specific recommendations to accelerate awareness and appreciation of TLA by tenants:</w:t>
      </w:r>
    </w:p>
    <w:p w14:paraId="3A0F7373" w14:textId="77777777" w:rsidR="0096311B" w:rsidRDefault="00372784" w:rsidP="003B3420">
      <w:pPr>
        <w:pStyle w:val="ListNumber"/>
        <w:numPr>
          <w:ilvl w:val="0"/>
          <w:numId w:val="34"/>
        </w:numPr>
      </w:pPr>
      <w:r>
        <w:t>S</w:t>
      </w:r>
      <w:r w:rsidR="007B6A4B">
        <w:t xml:space="preserve">ome information on tenancy lighting performance </w:t>
      </w:r>
      <w:r>
        <w:t xml:space="preserve">should </w:t>
      </w:r>
      <w:r w:rsidR="007B6A4B">
        <w:t>be provided when advertising for sale or lease</w:t>
      </w:r>
      <w:r w:rsidR="00CB3EC7">
        <w:t>.</w:t>
      </w:r>
    </w:p>
    <w:p w14:paraId="34B1A82B" w14:textId="77777777" w:rsidR="0096311B" w:rsidRDefault="007B6A4B" w:rsidP="0096311B">
      <w:pPr>
        <w:pStyle w:val="ListDash2"/>
      </w:pPr>
      <w:r>
        <w:t>Where a single functional space is being leased, this could simply be the power density and control system capacity for that space</w:t>
      </w:r>
      <w:r w:rsidR="00CB3EC7">
        <w:t>.</w:t>
      </w:r>
    </w:p>
    <w:p w14:paraId="0AB1895B" w14:textId="77777777" w:rsidR="008F4774" w:rsidRDefault="007B6A4B" w:rsidP="002B77C2">
      <w:pPr>
        <w:pStyle w:val="ListDash2"/>
      </w:pPr>
      <w:r>
        <w:t>Where a number of functional spaces or the entire building is being sold or leased, an ‘aggregate’ measure will need to be devised that is meaningful and useful to the tenant</w:t>
      </w:r>
      <w:r w:rsidR="00CB3EC7">
        <w:t xml:space="preserve">. </w:t>
      </w:r>
      <w:r w:rsidR="003B3420" w:rsidRPr="003B3420">
        <w:t xml:space="preserve">An aggregate measure is preferred over listing TLA information for all functional spaces </w:t>
      </w:r>
      <w:r w:rsidR="00616065">
        <w:t xml:space="preserve">for simplicity </w:t>
      </w:r>
      <w:r w:rsidR="003B3420" w:rsidRPr="003B3420">
        <w:t>and because there is limited space in some media, such as billboards</w:t>
      </w:r>
      <w:r w:rsidR="00CB3EC7" w:rsidRPr="003B3420">
        <w:t>.</w:t>
      </w:r>
      <w:r w:rsidR="008F4774">
        <w:t xml:space="preserve"> </w:t>
      </w:r>
      <w:r>
        <w:t xml:space="preserve">This information should include an indication of the potential ‘dollar difference’ in operating costs compared with </w:t>
      </w:r>
      <w:r w:rsidR="0096311B">
        <w:t xml:space="preserve">the </w:t>
      </w:r>
      <w:r>
        <w:t>benchmark performance of similar buildings</w:t>
      </w:r>
      <w:r w:rsidR="008F4774">
        <w:t>.</w:t>
      </w:r>
    </w:p>
    <w:p w14:paraId="235EC2B6" w14:textId="57EF24C0" w:rsidR="007B6A4B" w:rsidRDefault="003B3420" w:rsidP="002B77C2">
      <w:pPr>
        <w:pStyle w:val="ListDash2"/>
      </w:pPr>
      <w:r w:rsidRPr="003B3420">
        <w:t>Stakeholders noted that the ability to devise a meaningful aggregate figure, potential confusion with NABERS if star ratings are also used to represent tenancy lighting performance</w:t>
      </w:r>
      <w:r w:rsidR="00206775">
        <w:t>,</w:t>
      </w:r>
      <w:r w:rsidRPr="003B3420">
        <w:t xml:space="preserve"> and limited understanding of power density by tenants</w:t>
      </w:r>
      <w:r w:rsidR="00206775">
        <w:t>,</w:t>
      </w:r>
      <w:r w:rsidRPr="003B3420">
        <w:t xml:space="preserve"> </w:t>
      </w:r>
      <w:r w:rsidR="002D1046">
        <w:t>are</w:t>
      </w:r>
      <w:r w:rsidRPr="003B3420">
        <w:t xml:space="preserve"> potential challenges </w:t>
      </w:r>
      <w:r w:rsidR="002D1046">
        <w:t>faced by</w:t>
      </w:r>
      <w:r w:rsidRPr="003B3420">
        <w:t xml:space="preserve"> this proposal.</w:t>
      </w:r>
    </w:p>
    <w:p w14:paraId="05609517" w14:textId="77777777" w:rsidR="007B6A4B" w:rsidRDefault="007B6A4B" w:rsidP="007B6A4B">
      <w:pPr>
        <w:pStyle w:val="ListNumber"/>
        <w:numPr>
          <w:ilvl w:val="0"/>
          <w:numId w:val="12"/>
        </w:numPr>
      </w:pPr>
      <w:r>
        <w:t>The TLA certificate should have provision to include a proposed (and binding) commitment of tenancy lighting performance for new tenancies</w:t>
      </w:r>
      <w:r w:rsidR="00CB3EC7">
        <w:t xml:space="preserve">. </w:t>
      </w:r>
      <w:r>
        <w:t>This information should be prominent on the TLA certificate.</w:t>
      </w:r>
    </w:p>
    <w:p w14:paraId="611AA44F" w14:textId="1AE773CA" w:rsidR="00D47A8E" w:rsidRDefault="00C153AC" w:rsidP="00B00613">
      <w:pPr>
        <w:pStyle w:val="BodyText"/>
      </w:pPr>
      <w:r>
        <w:t>Implementing these recommendations would result in both costs and benefits</w:t>
      </w:r>
      <w:r w:rsidR="00D47A8E">
        <w:t>,</w:t>
      </w:r>
      <w:r>
        <w:t xml:space="preserve"> and these should be considered prior to adoption. </w:t>
      </w:r>
      <w:r w:rsidR="005579B0">
        <w:t>G</w:t>
      </w:r>
      <w:r>
        <w:t xml:space="preserve">overnment costs </w:t>
      </w:r>
      <w:r w:rsidR="005579B0">
        <w:t xml:space="preserve">would include </w:t>
      </w:r>
      <w:r>
        <w:t>t</w:t>
      </w:r>
      <w:r w:rsidR="00D47A8E">
        <w:t>he</w:t>
      </w:r>
      <w:r>
        <w:t xml:space="preserve"> </w:t>
      </w:r>
      <w:r w:rsidR="005579B0">
        <w:t xml:space="preserve">cost </w:t>
      </w:r>
      <w:r w:rsidR="00A60156">
        <w:t>of</w:t>
      </w:r>
      <w:r w:rsidR="005579B0">
        <w:t xml:space="preserve"> </w:t>
      </w:r>
      <w:r>
        <w:t>d</w:t>
      </w:r>
      <w:r w:rsidRPr="00C153AC">
        <w:t>esign</w:t>
      </w:r>
      <w:r w:rsidR="00A60156">
        <w:t>ing</w:t>
      </w:r>
      <w:r w:rsidRPr="00C153AC">
        <w:t xml:space="preserve"> changes</w:t>
      </w:r>
      <w:r>
        <w:t xml:space="preserve"> to TLA regulations</w:t>
      </w:r>
      <w:r w:rsidRPr="00C153AC">
        <w:t xml:space="preserve">, </w:t>
      </w:r>
      <w:r w:rsidR="00A60156">
        <w:t xml:space="preserve">the cost of </w:t>
      </w:r>
      <w:r w:rsidRPr="00C153AC">
        <w:t>updat</w:t>
      </w:r>
      <w:r w:rsidR="00A60156">
        <w:t>ing</w:t>
      </w:r>
      <w:r w:rsidRPr="00C153AC">
        <w:t xml:space="preserve"> regulations and </w:t>
      </w:r>
      <w:r w:rsidR="00A60156">
        <w:t xml:space="preserve">additional costs relating </w:t>
      </w:r>
      <w:r w:rsidRPr="00C153AC">
        <w:t>to auditing</w:t>
      </w:r>
      <w:r w:rsidR="005579B0">
        <w:t xml:space="preserve"> and </w:t>
      </w:r>
      <w:r w:rsidRPr="00C153AC">
        <w:t>monitoring</w:t>
      </w:r>
      <w:r w:rsidR="005579B0">
        <w:t>.</w:t>
      </w:r>
      <w:r>
        <w:t xml:space="preserve"> </w:t>
      </w:r>
      <w:r w:rsidR="005579B0">
        <w:t>I</w:t>
      </w:r>
      <w:r>
        <w:t xml:space="preserve">ndustry costs would include incremental industry burden associated with </w:t>
      </w:r>
      <w:r w:rsidR="00A60156">
        <w:t>incorporating</w:t>
      </w:r>
      <w:r>
        <w:t xml:space="preserve"> the </w:t>
      </w:r>
      <w:r w:rsidR="00A60156">
        <w:t>additional</w:t>
      </w:r>
      <w:r>
        <w:t xml:space="preserve"> information</w:t>
      </w:r>
      <w:r w:rsidR="00C74485">
        <w:t xml:space="preserve"> in advertisements and TLA certificates</w:t>
      </w:r>
      <w:r>
        <w:t>.</w:t>
      </w:r>
      <w:r w:rsidR="00424992">
        <w:t xml:space="preserve"> The benefits </w:t>
      </w:r>
      <w:r w:rsidR="005579B0">
        <w:t xml:space="preserve">would </w:t>
      </w:r>
      <w:r w:rsidR="00424992">
        <w:t>include greater uptake of lighting upgrades due to improved awareness</w:t>
      </w:r>
      <w:r w:rsidR="002158FA">
        <w:t>, leading to lower energy consumption and GHG emissions</w:t>
      </w:r>
      <w:r w:rsidR="00424992">
        <w:t>.</w:t>
      </w:r>
    </w:p>
    <w:p w14:paraId="03C777B3" w14:textId="5E9FF76C" w:rsidR="00C153AC" w:rsidRDefault="00424992" w:rsidP="00D47A8E">
      <w:pPr>
        <w:pStyle w:val="BodyText"/>
      </w:pPr>
      <w:r>
        <w:t xml:space="preserve">ACIL Allen has not conducted extensive modelling on </w:t>
      </w:r>
      <w:r w:rsidR="00D47A8E">
        <w:t xml:space="preserve">the </w:t>
      </w:r>
      <w:r>
        <w:t>likely increase</w:t>
      </w:r>
      <w:r w:rsidR="00D47A8E">
        <w:t xml:space="preserve"> in the</w:t>
      </w:r>
      <w:r>
        <w:t xml:space="preserve"> effectiveness of TLA due to these changes</w:t>
      </w:r>
      <w:r w:rsidR="00D47A8E">
        <w:t>.</w:t>
      </w:r>
      <w:r>
        <w:t xml:space="preserve"> </w:t>
      </w:r>
      <w:r w:rsidR="00D47A8E">
        <w:t>H</w:t>
      </w:r>
      <w:r>
        <w:t xml:space="preserve">owever, </w:t>
      </w:r>
      <w:r w:rsidR="00E70454">
        <w:t xml:space="preserve">we </w:t>
      </w:r>
      <w:r>
        <w:t xml:space="preserve">consider that an acceleration of growth </w:t>
      </w:r>
      <w:r w:rsidR="005579B0">
        <w:t>in market awareness</w:t>
      </w:r>
      <w:r w:rsidR="005579B0">
        <w:rPr>
          <w:rStyle w:val="FootnoteReference"/>
        </w:rPr>
        <w:footnoteReference w:id="46"/>
      </w:r>
      <w:r w:rsidR="005579B0">
        <w:t xml:space="preserve"> </w:t>
      </w:r>
      <w:r>
        <w:t>(from 10 per cent per year to 15 per cent year) is possible.</w:t>
      </w:r>
      <w:r w:rsidR="004B107C">
        <w:t xml:space="preserve"> </w:t>
      </w:r>
      <w:r w:rsidR="00CC74AB">
        <w:t>This</w:t>
      </w:r>
      <w:r w:rsidR="004B107C">
        <w:t xml:space="preserve"> would increase the PV of energy efficiency benefits of TLA from $4.5</w:t>
      </w:r>
      <w:r w:rsidR="00D47A8E">
        <w:t xml:space="preserve"> </w:t>
      </w:r>
      <w:r w:rsidR="004B107C">
        <w:t>m</w:t>
      </w:r>
      <w:r w:rsidR="00D47A8E">
        <w:t>illion</w:t>
      </w:r>
      <w:r w:rsidR="004B107C">
        <w:t xml:space="preserve"> to $8.7</w:t>
      </w:r>
      <w:r w:rsidR="00D47A8E">
        <w:t xml:space="preserve"> </w:t>
      </w:r>
      <w:r w:rsidR="004B107C">
        <w:t>m</w:t>
      </w:r>
      <w:r w:rsidR="00D47A8E">
        <w:t>illion</w:t>
      </w:r>
      <w:r w:rsidR="004B107C">
        <w:t xml:space="preserve"> (</w:t>
      </w:r>
      <w:r w:rsidR="00D47A8E">
        <w:t>that is,</w:t>
      </w:r>
      <w:r w:rsidR="004B107C">
        <w:t xml:space="preserve"> an improvement of $4.2</w:t>
      </w:r>
      <w:r w:rsidR="00D47A8E">
        <w:t xml:space="preserve"> </w:t>
      </w:r>
      <w:r w:rsidR="004B107C">
        <w:t>m</w:t>
      </w:r>
      <w:r w:rsidR="00D47A8E">
        <w:t>illion</w:t>
      </w:r>
      <w:r w:rsidR="004B107C">
        <w:t>)</w:t>
      </w:r>
      <w:r w:rsidR="00CC74AB">
        <w:t>,</w:t>
      </w:r>
      <w:r w:rsidR="00F669CE">
        <w:t xml:space="preserve"> excluding the value of GHG reductions</w:t>
      </w:r>
      <w:r w:rsidR="004B107C">
        <w:t>.</w:t>
      </w:r>
      <w:r w:rsidR="00CC74AB">
        <w:t xml:space="preserve"> GHG emissions would be further reduced by 226 ktCO</w:t>
      </w:r>
      <w:r w:rsidR="00CC74AB" w:rsidRPr="00B00613">
        <w:rPr>
          <w:vertAlign w:val="subscript"/>
        </w:rPr>
        <w:t>2</w:t>
      </w:r>
      <w:r w:rsidR="00CC74AB">
        <w:t>-e cumulatively, which would be worth $5.3 million if GHG emission</w:t>
      </w:r>
      <w:r w:rsidR="00607491">
        <w:t>s</w:t>
      </w:r>
      <w:r w:rsidR="00CC74AB">
        <w:t xml:space="preserve"> reduction is valued at $23</w:t>
      </w:r>
      <w:r w:rsidR="00532521">
        <w:t xml:space="preserve"> per tCO</w:t>
      </w:r>
      <w:r w:rsidR="00532521" w:rsidRPr="00404461">
        <w:rPr>
          <w:vertAlign w:val="subscript"/>
        </w:rPr>
        <w:t>2</w:t>
      </w:r>
      <w:r w:rsidR="00532521">
        <w:t>-e</w:t>
      </w:r>
      <w:r w:rsidR="00CC74AB">
        <w:t>.</w:t>
      </w:r>
    </w:p>
    <w:p w14:paraId="65444614" w14:textId="77777777" w:rsidR="006F5A6E" w:rsidRDefault="0087761D" w:rsidP="0087761D">
      <w:pPr>
        <w:pStyle w:val="Heading3"/>
      </w:pPr>
      <w:bookmarkStart w:id="669" w:name="_Toc415660921"/>
      <w:r>
        <w:t>Extending v</w:t>
      </w:r>
      <w:r w:rsidR="006F5A6E">
        <w:t>alidity period of Tenancy Lighting Assessments</w:t>
      </w:r>
      <w:bookmarkEnd w:id="669"/>
    </w:p>
    <w:p w14:paraId="07416C59" w14:textId="77777777" w:rsidR="00344F17" w:rsidRDefault="00344F17" w:rsidP="00344F17">
      <w:pPr>
        <w:pStyle w:val="BodyText"/>
      </w:pPr>
      <w:r>
        <w:t>NABERS and TLA assessments are currently valid for a period of one year, after which the assessment is considered to be expired</w:t>
      </w:r>
      <w:r w:rsidR="00CB3EC7">
        <w:t xml:space="preserve">. </w:t>
      </w:r>
      <w:r>
        <w:t xml:space="preserve">Therefore, building owners who </w:t>
      </w:r>
      <w:r>
        <w:lastRenderedPageBreak/>
        <w:t>choose to maintain valid BEECs on an ongoing basis, irrespective of whether there is a sale of lease event requiring disclosure, must undertake NABERS and TLA assessments annually</w:t>
      </w:r>
      <w:r w:rsidR="00CB3EC7">
        <w:t xml:space="preserve">. </w:t>
      </w:r>
    </w:p>
    <w:p w14:paraId="73E64834" w14:textId="77777777" w:rsidR="00344F17" w:rsidRDefault="00344F17" w:rsidP="00344F17">
      <w:pPr>
        <w:pStyle w:val="BodyText"/>
      </w:pPr>
      <w:r>
        <w:t>Base building energy performance is partly dependent on building operation (and not just efficiency of equipment) and therefore may degrade without any change to building equipment</w:t>
      </w:r>
      <w:r w:rsidR="00CB3EC7">
        <w:t xml:space="preserve">. </w:t>
      </w:r>
      <w:r>
        <w:t>As a result, obtaining annual NABERS ratings provides an up-to-date estimate of base building performance, taking into account recent changes in operational processes.</w:t>
      </w:r>
    </w:p>
    <w:p w14:paraId="646CE3BB" w14:textId="77777777" w:rsidR="00344F17" w:rsidRDefault="00344F17" w:rsidP="00344F17">
      <w:pPr>
        <w:pStyle w:val="BodyText"/>
      </w:pPr>
      <w:r>
        <w:t>On the other hand, tenancy lighting performance is unlikely to change unless lighting systems are changed, which generally only occurs during a period of vacancy prior to a new tenant occupying the space</w:t>
      </w:r>
      <w:r w:rsidR="00CB3EC7">
        <w:t xml:space="preserve">. </w:t>
      </w:r>
      <w:r>
        <w:t>Therefore, requiring those building owners wishing to maintain ongoing BEECs to re-assess lighting systems annually leads to unnecessary costs</w:t>
      </w:r>
      <w:r w:rsidR="00CB3EC7">
        <w:t xml:space="preserve">. </w:t>
      </w:r>
    </w:p>
    <w:p w14:paraId="40696C0D" w14:textId="77777777" w:rsidR="00344F17" w:rsidRDefault="00344F17" w:rsidP="00344F17">
      <w:pPr>
        <w:pStyle w:val="BodyText"/>
      </w:pPr>
      <w:r>
        <w:t>These unnecessary costs may be reduced by extending the validity period of the TLA certificate</w:t>
      </w:r>
      <w:r w:rsidR="00CB3EC7">
        <w:t xml:space="preserve">. </w:t>
      </w:r>
      <w:r>
        <w:t>For example, if a TLA certificate was valid for five years, an updated assessment would not be required until five years after the last assessment was undertaken, in order to maintain a valid ongoing BEEC.</w:t>
      </w:r>
    </w:p>
    <w:p w14:paraId="276316E0" w14:textId="5750DFB6" w:rsidR="00344F17" w:rsidRDefault="00344F17" w:rsidP="00344F17">
      <w:pPr>
        <w:pStyle w:val="BodyText"/>
      </w:pPr>
      <w:r>
        <w:t xml:space="preserve">The extent of possible cost reduction was estimated by considering the proportion of current TLAs that are obtained annually and in turn, </w:t>
      </w:r>
      <w:r w:rsidR="00206775">
        <w:t xml:space="preserve">a </w:t>
      </w:r>
      <w:r>
        <w:t>proportion of those may not be needed in the scenario where TLAs certificates are valid for five years.</w:t>
      </w:r>
    </w:p>
    <w:p w14:paraId="1F715549" w14:textId="77777777" w:rsidR="00344F17" w:rsidRDefault="00344F17" w:rsidP="00344F17">
      <w:pPr>
        <w:pStyle w:val="BodyText"/>
      </w:pPr>
      <w:r>
        <w:t xml:space="preserve">The proportion of annual TLAs was estimated as 30 per cent (based on </w:t>
      </w:r>
      <w:r w:rsidR="00780F54">
        <w:t xml:space="preserve">the </w:t>
      </w:r>
      <w:r>
        <w:t>Department</w:t>
      </w:r>
      <w:r w:rsidR="00780F54">
        <w:t xml:space="preserve">’s </w:t>
      </w:r>
      <w:r>
        <w:t>analysis)</w:t>
      </w:r>
      <w:r w:rsidR="00CB3EC7">
        <w:t xml:space="preserve">. </w:t>
      </w:r>
      <w:r>
        <w:t>Of this 30 per cent, four out of five may be unnecessary</w:t>
      </w:r>
      <w:r w:rsidR="00CB3EC7">
        <w:t xml:space="preserve">. </w:t>
      </w:r>
      <w:r>
        <w:t xml:space="preserve">Therefore, extending the TLA validity period to five years was estimated to result in a potential </w:t>
      </w:r>
      <w:r w:rsidR="00785AA9">
        <w:t xml:space="preserve">24 </w:t>
      </w:r>
      <w:r>
        <w:t>per cent reduction (30% * 4/5) in TLA costs</w:t>
      </w:r>
      <w:r w:rsidR="00CB3EC7">
        <w:t xml:space="preserve">. </w:t>
      </w:r>
      <w:r>
        <w:t>Increasing the validity period is not expected to result in any reduction in projected benefits.</w:t>
      </w:r>
    </w:p>
    <w:p w14:paraId="59E1970D" w14:textId="2F878700" w:rsidR="00344F17" w:rsidRDefault="00344F17" w:rsidP="00344F17">
      <w:pPr>
        <w:pStyle w:val="BodyText"/>
      </w:pPr>
      <w:r>
        <w:t>The effect on the projected NPV of the TLA component from increasing validity period of TLA certificates to 5 years</w:t>
      </w:r>
      <w:r w:rsidR="0022035D">
        <w:t xml:space="preserve">, as well as the combined effect of increasing validity </w:t>
      </w:r>
      <w:r w:rsidR="0022035D" w:rsidRPr="00B00613">
        <w:rPr>
          <w:i/>
        </w:rPr>
        <w:t>and</w:t>
      </w:r>
      <w:r w:rsidR="0022035D">
        <w:t xml:space="preserve"> improving visibility</w:t>
      </w:r>
      <w:r>
        <w:t xml:space="preserve"> </w:t>
      </w:r>
      <w:r w:rsidR="0022035D">
        <w:t xml:space="preserve">(refer to Section </w:t>
      </w:r>
      <w:r w:rsidR="0022035D">
        <w:fldChar w:fldCharType="begin"/>
      </w:r>
      <w:r w:rsidR="0022035D">
        <w:instrText xml:space="preserve"> REF _Ref414881440 \r \h </w:instrText>
      </w:r>
      <w:r w:rsidR="0022035D">
        <w:fldChar w:fldCharType="separate"/>
      </w:r>
      <w:r w:rsidR="006A273E">
        <w:t>6.4.1</w:t>
      </w:r>
      <w:r w:rsidR="0022035D">
        <w:fldChar w:fldCharType="end"/>
      </w:r>
      <w:r w:rsidR="0022035D">
        <w:t xml:space="preserve">) </w:t>
      </w:r>
      <w:r>
        <w:t xml:space="preserve">is shown in </w:t>
      </w:r>
      <w:r w:rsidR="003346C7">
        <w:fldChar w:fldCharType="begin"/>
      </w:r>
      <w:r w:rsidR="003346C7">
        <w:instrText xml:space="preserve"> REF _Ref409619454 \h  \* MERGEFORMAT </w:instrText>
      </w:r>
      <w:r w:rsidR="003346C7">
        <w:fldChar w:fldCharType="separate"/>
      </w:r>
      <w:r w:rsidR="006A273E">
        <w:t xml:space="preserve">Table </w:t>
      </w:r>
      <w:r w:rsidR="006A273E">
        <w:rPr>
          <w:noProof/>
        </w:rPr>
        <w:t>23</w:t>
      </w:r>
      <w:r w:rsidR="003346C7">
        <w:fldChar w:fldCharType="end"/>
      </w:r>
      <w:r>
        <w:t>.</w:t>
      </w:r>
    </w:p>
    <w:p w14:paraId="3E6CBD24" w14:textId="77777777" w:rsidR="00344F17" w:rsidRDefault="00344F17" w:rsidP="0022035D">
      <w:pPr>
        <w:pStyle w:val="Caption"/>
        <w:ind w:left="-1701"/>
        <w:rPr>
          <w:rStyle w:val="CaptionLabel"/>
          <w:rFonts w:asciiTheme="minorHAnsi" w:hAnsiTheme="minorHAnsi" w:cs="Times New Roman"/>
          <w:sz w:val="22"/>
          <w:szCs w:val="22"/>
          <w:lang w:eastAsia="en-AU"/>
        </w:rPr>
      </w:pPr>
      <w:bookmarkStart w:id="670" w:name="_Ref409619454"/>
      <w:bookmarkStart w:id="671" w:name="_Toc415661030"/>
      <w:r>
        <w:t xml:space="preserve">Table </w:t>
      </w:r>
      <w:r w:rsidR="00492194">
        <w:fldChar w:fldCharType="begin"/>
      </w:r>
      <w:r w:rsidR="0044208C">
        <w:instrText xml:space="preserve"> SEQ Table \* ARABIC </w:instrText>
      </w:r>
      <w:r w:rsidR="00492194">
        <w:fldChar w:fldCharType="separate"/>
      </w:r>
      <w:r w:rsidR="006A273E">
        <w:rPr>
          <w:noProof/>
        </w:rPr>
        <w:t>23</w:t>
      </w:r>
      <w:r w:rsidR="00492194">
        <w:rPr>
          <w:noProof/>
        </w:rPr>
        <w:fldChar w:fldCharType="end"/>
      </w:r>
      <w:bookmarkEnd w:id="670"/>
      <w:r w:rsidRPr="008357FB">
        <w:rPr>
          <w:rStyle w:val="CaptionLabel"/>
        </w:rPr>
        <w:tab/>
      </w:r>
      <w:r>
        <w:rPr>
          <w:b/>
          <w:color w:val="000000"/>
        </w:rPr>
        <w:t>Costs and benefits of retaining TLA</w:t>
      </w:r>
      <w:r w:rsidR="00280410">
        <w:rPr>
          <w:b/>
          <w:color w:val="000000"/>
        </w:rPr>
        <w:t>, 2015-2028</w:t>
      </w:r>
      <w:r>
        <w:rPr>
          <w:b/>
          <w:color w:val="000000"/>
        </w:rPr>
        <w:t xml:space="preserve"> (2014 $m)</w:t>
      </w:r>
      <w:bookmarkEnd w:id="671"/>
    </w:p>
    <w:tbl>
      <w:tblPr>
        <w:tblW w:w="10064" w:type="dxa"/>
        <w:tblInd w:w="-2551"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2400"/>
        <w:gridCol w:w="2401"/>
        <w:gridCol w:w="2401"/>
        <w:gridCol w:w="2862"/>
      </w:tblGrid>
      <w:tr w:rsidR="0022035D" w14:paraId="7D693579" w14:textId="185B2ABD" w:rsidTr="0022035D">
        <w:trPr>
          <w:cantSplit/>
        </w:trPr>
        <w:tc>
          <w:tcPr>
            <w:tcW w:w="2400" w:type="dxa"/>
            <w:tcBorders>
              <w:top w:val="nil"/>
            </w:tcBorders>
            <w:shd w:val="solid" w:color="9757A6" w:fill="auto"/>
            <w:vAlign w:val="center"/>
          </w:tcPr>
          <w:p w14:paraId="6CA0EBBC" w14:textId="77777777" w:rsidR="0022035D" w:rsidRDefault="0022035D" w:rsidP="0022035D">
            <w:pPr>
              <w:pStyle w:val="Tablecolumnheadings"/>
            </w:pPr>
            <w:r>
              <w:t>Item</w:t>
            </w:r>
          </w:p>
        </w:tc>
        <w:tc>
          <w:tcPr>
            <w:tcW w:w="2401" w:type="dxa"/>
            <w:tcBorders>
              <w:top w:val="nil"/>
            </w:tcBorders>
            <w:shd w:val="solid" w:color="9757A6" w:fill="auto"/>
            <w:vAlign w:val="center"/>
          </w:tcPr>
          <w:p w14:paraId="74808D72" w14:textId="77777777" w:rsidR="0022035D" w:rsidRDefault="0022035D" w:rsidP="0022035D">
            <w:pPr>
              <w:pStyle w:val="Tablecolumnheadings"/>
            </w:pPr>
            <w:r>
              <w:t>TLA certificate valid for 1 year</w:t>
            </w:r>
          </w:p>
        </w:tc>
        <w:tc>
          <w:tcPr>
            <w:tcW w:w="2401" w:type="dxa"/>
            <w:tcBorders>
              <w:top w:val="nil"/>
            </w:tcBorders>
            <w:shd w:val="solid" w:color="9757A6" w:fill="auto"/>
            <w:vAlign w:val="center"/>
          </w:tcPr>
          <w:p w14:paraId="02BF3BE3" w14:textId="77777777" w:rsidR="0022035D" w:rsidRDefault="0022035D" w:rsidP="0022035D">
            <w:pPr>
              <w:pStyle w:val="Tablecolumnheadings"/>
            </w:pPr>
            <w:r>
              <w:t>TLA certificate valid for 5 years</w:t>
            </w:r>
          </w:p>
        </w:tc>
        <w:tc>
          <w:tcPr>
            <w:tcW w:w="2862" w:type="dxa"/>
            <w:tcBorders>
              <w:top w:val="nil"/>
            </w:tcBorders>
            <w:shd w:val="solid" w:color="9757A6" w:fill="auto"/>
          </w:tcPr>
          <w:p w14:paraId="7C834296" w14:textId="1DBE081D" w:rsidR="0022035D" w:rsidRDefault="0022035D" w:rsidP="0022035D">
            <w:pPr>
              <w:pStyle w:val="Tablecolumnheadings"/>
            </w:pPr>
            <w:r w:rsidRPr="0022035D">
              <w:t>TLA certificate valid for 5 years</w:t>
            </w:r>
            <w:r>
              <w:t xml:space="preserve"> and implementation of recommendations to improve </w:t>
            </w:r>
            <w:r w:rsidR="00291480">
              <w:t xml:space="preserve">TLA </w:t>
            </w:r>
            <w:r>
              <w:t>visibility</w:t>
            </w:r>
          </w:p>
        </w:tc>
      </w:tr>
      <w:tr w:rsidR="0022035D" w14:paraId="7312AC5C" w14:textId="529E81F5" w:rsidTr="00B00613">
        <w:trPr>
          <w:cantSplit/>
        </w:trPr>
        <w:tc>
          <w:tcPr>
            <w:tcW w:w="2400" w:type="dxa"/>
            <w:shd w:val="clear" w:color="auto" w:fill="auto"/>
            <w:vAlign w:val="center"/>
          </w:tcPr>
          <w:p w14:paraId="48356423" w14:textId="77777777" w:rsidR="0022035D" w:rsidRDefault="0022035D" w:rsidP="002B29DE">
            <w:pPr>
              <w:pStyle w:val="Tabletext"/>
            </w:pPr>
            <w:r>
              <w:t>TLA i</w:t>
            </w:r>
            <w:r w:rsidRPr="009C4872">
              <w:t>ndustry burden</w:t>
            </w:r>
          </w:p>
        </w:tc>
        <w:tc>
          <w:tcPr>
            <w:tcW w:w="2401" w:type="dxa"/>
            <w:shd w:val="clear" w:color="auto" w:fill="auto"/>
            <w:vAlign w:val="center"/>
          </w:tcPr>
          <w:p w14:paraId="434F62F7" w14:textId="77777777" w:rsidR="0022035D" w:rsidRDefault="0022035D">
            <w:pPr>
              <w:pStyle w:val="Tabletext"/>
              <w:jc w:val="center"/>
            </w:pPr>
            <w:r>
              <w:t>-$8</w:t>
            </w:r>
            <w:r w:rsidRPr="0027527B">
              <w:t>.</w:t>
            </w:r>
            <w:r>
              <w:t>4m PV</w:t>
            </w:r>
          </w:p>
        </w:tc>
        <w:tc>
          <w:tcPr>
            <w:tcW w:w="2401" w:type="dxa"/>
            <w:vAlign w:val="center"/>
          </w:tcPr>
          <w:p w14:paraId="579465CF" w14:textId="77777777" w:rsidR="0022035D" w:rsidRPr="0027527B" w:rsidRDefault="0022035D">
            <w:pPr>
              <w:pStyle w:val="Tabletext"/>
              <w:jc w:val="center"/>
            </w:pPr>
            <w:r w:rsidRPr="00890DC7">
              <w:t>-$6.4</w:t>
            </w:r>
            <w:r>
              <w:t>m PV</w:t>
            </w:r>
          </w:p>
        </w:tc>
        <w:tc>
          <w:tcPr>
            <w:tcW w:w="2862" w:type="dxa"/>
            <w:vAlign w:val="center"/>
          </w:tcPr>
          <w:p w14:paraId="25EC6B72" w14:textId="40A691D6" w:rsidR="0022035D" w:rsidRPr="00890DC7" w:rsidRDefault="0022035D">
            <w:pPr>
              <w:pStyle w:val="Tabletext"/>
              <w:jc w:val="center"/>
            </w:pPr>
            <w:r w:rsidRPr="00890DC7">
              <w:t>-$6.4</w:t>
            </w:r>
            <w:r>
              <w:t>m PV</w:t>
            </w:r>
          </w:p>
        </w:tc>
      </w:tr>
      <w:tr w:rsidR="0022035D" w14:paraId="4A2DEE58" w14:textId="79E2CD47" w:rsidTr="00B00613">
        <w:trPr>
          <w:cantSplit/>
        </w:trPr>
        <w:tc>
          <w:tcPr>
            <w:tcW w:w="2400" w:type="dxa"/>
            <w:tcBorders>
              <w:bottom w:val="single" w:sz="2" w:space="0" w:color="C0C0C0"/>
            </w:tcBorders>
            <w:shd w:val="clear" w:color="auto" w:fill="auto"/>
            <w:vAlign w:val="center"/>
          </w:tcPr>
          <w:p w14:paraId="2E6B306C" w14:textId="77777777" w:rsidR="0022035D" w:rsidRDefault="0022035D" w:rsidP="002B29DE">
            <w:pPr>
              <w:pStyle w:val="Tabletext"/>
            </w:pPr>
            <w:r>
              <w:t xml:space="preserve">TLA </w:t>
            </w:r>
            <w:r w:rsidRPr="0027527B">
              <w:t>benefit</w:t>
            </w:r>
            <w:r>
              <w:t>s</w:t>
            </w:r>
            <w:r w:rsidRPr="0027527B">
              <w:t xml:space="preserve"> of energy efficiency</w:t>
            </w:r>
          </w:p>
        </w:tc>
        <w:tc>
          <w:tcPr>
            <w:tcW w:w="2401" w:type="dxa"/>
            <w:tcBorders>
              <w:bottom w:val="single" w:sz="2" w:space="0" w:color="C0C0C0"/>
            </w:tcBorders>
            <w:shd w:val="clear" w:color="auto" w:fill="auto"/>
            <w:vAlign w:val="center"/>
          </w:tcPr>
          <w:p w14:paraId="612D6165" w14:textId="77777777" w:rsidR="0022035D" w:rsidRDefault="0022035D">
            <w:pPr>
              <w:pStyle w:val="Tabletext"/>
              <w:jc w:val="center"/>
            </w:pPr>
            <w:r>
              <w:t>$4.5m PV</w:t>
            </w:r>
          </w:p>
        </w:tc>
        <w:tc>
          <w:tcPr>
            <w:tcW w:w="2401" w:type="dxa"/>
            <w:tcBorders>
              <w:bottom w:val="single" w:sz="2" w:space="0" w:color="C0C0C0"/>
            </w:tcBorders>
            <w:vAlign w:val="center"/>
          </w:tcPr>
          <w:p w14:paraId="24FE4871" w14:textId="77777777" w:rsidR="0022035D" w:rsidRPr="0027527B" w:rsidRDefault="0022035D">
            <w:pPr>
              <w:pStyle w:val="Tabletext"/>
              <w:jc w:val="center"/>
            </w:pPr>
            <w:r w:rsidRPr="00890DC7">
              <w:t>$4.5</w:t>
            </w:r>
            <w:r>
              <w:t xml:space="preserve"> m PV</w:t>
            </w:r>
          </w:p>
        </w:tc>
        <w:tc>
          <w:tcPr>
            <w:tcW w:w="2862" w:type="dxa"/>
            <w:tcBorders>
              <w:bottom w:val="single" w:sz="2" w:space="0" w:color="C0C0C0"/>
            </w:tcBorders>
            <w:vAlign w:val="center"/>
          </w:tcPr>
          <w:p w14:paraId="0CEA06F8" w14:textId="38A6E110" w:rsidR="0022035D" w:rsidRPr="00890DC7" w:rsidRDefault="001F11A3">
            <w:pPr>
              <w:pStyle w:val="Tabletext"/>
              <w:jc w:val="center"/>
            </w:pPr>
            <w:r w:rsidRPr="00890DC7">
              <w:t>$</w:t>
            </w:r>
            <w:r>
              <w:t>8</w:t>
            </w:r>
            <w:r w:rsidRPr="00890DC7">
              <w:t>.</w:t>
            </w:r>
            <w:r>
              <w:t>7 m PV</w:t>
            </w:r>
          </w:p>
        </w:tc>
      </w:tr>
      <w:tr w:rsidR="0022035D" w14:paraId="38E51A4B" w14:textId="091A1A69" w:rsidTr="00B00613">
        <w:trPr>
          <w:cantSplit/>
        </w:trPr>
        <w:tc>
          <w:tcPr>
            <w:tcW w:w="2400" w:type="dxa"/>
            <w:tcBorders>
              <w:top w:val="single" w:sz="2" w:space="0" w:color="C0C0C0"/>
              <w:bottom w:val="single" w:sz="2" w:space="0" w:color="C0C0C0"/>
            </w:tcBorders>
            <w:shd w:val="clear" w:color="auto" w:fill="DBDBDB" w:themeFill="accent3" w:themeFillTint="66"/>
            <w:vAlign w:val="center"/>
          </w:tcPr>
          <w:p w14:paraId="5F1D70E5" w14:textId="77777777" w:rsidR="0022035D" w:rsidRDefault="0022035D" w:rsidP="002B29DE">
            <w:pPr>
              <w:pStyle w:val="Tabletext"/>
            </w:pPr>
            <w:r w:rsidRPr="00836ACA">
              <w:rPr>
                <w:b/>
              </w:rPr>
              <w:t>Net Present Value</w:t>
            </w:r>
            <w:r>
              <w:rPr>
                <w:b/>
              </w:rPr>
              <w:t xml:space="preserve"> (excluding GHG benefits)</w:t>
            </w:r>
          </w:p>
        </w:tc>
        <w:tc>
          <w:tcPr>
            <w:tcW w:w="2401" w:type="dxa"/>
            <w:tcBorders>
              <w:top w:val="single" w:sz="2" w:space="0" w:color="C0C0C0"/>
              <w:bottom w:val="single" w:sz="2" w:space="0" w:color="C0C0C0"/>
            </w:tcBorders>
            <w:shd w:val="clear" w:color="auto" w:fill="DBDBDB" w:themeFill="accent3" w:themeFillTint="66"/>
            <w:vAlign w:val="center"/>
          </w:tcPr>
          <w:p w14:paraId="0780F39C" w14:textId="77777777" w:rsidR="0022035D" w:rsidRPr="00487E6D" w:rsidRDefault="0022035D">
            <w:pPr>
              <w:pStyle w:val="Tabletext"/>
              <w:jc w:val="center"/>
              <w:rPr>
                <w:b/>
              </w:rPr>
            </w:pPr>
            <w:r>
              <w:rPr>
                <w:b/>
              </w:rPr>
              <w:t>-</w:t>
            </w:r>
            <w:r w:rsidRPr="00D95B86">
              <w:rPr>
                <w:b/>
              </w:rPr>
              <w:t>$3.9</w:t>
            </w:r>
            <w:r w:rsidRPr="00487E6D">
              <w:rPr>
                <w:b/>
              </w:rPr>
              <w:t>m NPV</w:t>
            </w:r>
          </w:p>
        </w:tc>
        <w:tc>
          <w:tcPr>
            <w:tcW w:w="2401" w:type="dxa"/>
            <w:tcBorders>
              <w:top w:val="single" w:sz="2" w:space="0" w:color="C0C0C0"/>
              <w:bottom w:val="single" w:sz="2" w:space="0" w:color="C0C0C0"/>
            </w:tcBorders>
            <w:shd w:val="clear" w:color="auto" w:fill="DBDBDB" w:themeFill="accent3" w:themeFillTint="66"/>
            <w:vAlign w:val="center"/>
          </w:tcPr>
          <w:p w14:paraId="790E6928" w14:textId="77777777" w:rsidR="0022035D" w:rsidRPr="00035BC9" w:rsidRDefault="0022035D">
            <w:pPr>
              <w:pStyle w:val="Tabletext"/>
              <w:jc w:val="center"/>
              <w:rPr>
                <w:b/>
              </w:rPr>
            </w:pPr>
            <w:r>
              <w:rPr>
                <w:b/>
              </w:rPr>
              <w:t>-</w:t>
            </w:r>
            <w:r w:rsidRPr="00D95B86">
              <w:rPr>
                <w:b/>
              </w:rPr>
              <w:t>$</w:t>
            </w:r>
            <w:r>
              <w:rPr>
                <w:b/>
              </w:rPr>
              <w:t>1</w:t>
            </w:r>
            <w:r w:rsidRPr="00D95B86">
              <w:rPr>
                <w:b/>
              </w:rPr>
              <w:t>.9</w:t>
            </w:r>
            <w:r w:rsidRPr="00487E6D">
              <w:rPr>
                <w:b/>
              </w:rPr>
              <w:t>m NPV</w:t>
            </w:r>
          </w:p>
        </w:tc>
        <w:tc>
          <w:tcPr>
            <w:tcW w:w="2862" w:type="dxa"/>
            <w:tcBorders>
              <w:top w:val="single" w:sz="2" w:space="0" w:color="C0C0C0"/>
              <w:bottom w:val="single" w:sz="2" w:space="0" w:color="C0C0C0"/>
            </w:tcBorders>
            <w:shd w:val="clear" w:color="auto" w:fill="DBDBDB" w:themeFill="accent3" w:themeFillTint="66"/>
            <w:vAlign w:val="center"/>
          </w:tcPr>
          <w:p w14:paraId="4973D81B" w14:textId="7514E3EC" w:rsidR="0022035D" w:rsidRDefault="001F11A3">
            <w:pPr>
              <w:pStyle w:val="Tabletext"/>
              <w:jc w:val="center"/>
              <w:rPr>
                <w:b/>
              </w:rPr>
            </w:pPr>
            <w:r>
              <w:rPr>
                <w:b/>
              </w:rPr>
              <w:t>$2.3m NPV minus cost of improving visibility</w:t>
            </w:r>
          </w:p>
        </w:tc>
      </w:tr>
      <w:tr w:rsidR="0022035D" w14:paraId="7A696EE3" w14:textId="7C3652DB" w:rsidTr="00B00613">
        <w:trPr>
          <w:cantSplit/>
        </w:trPr>
        <w:tc>
          <w:tcPr>
            <w:tcW w:w="2400" w:type="dxa"/>
            <w:tcBorders>
              <w:top w:val="single" w:sz="2" w:space="0" w:color="C0C0C0"/>
              <w:bottom w:val="single" w:sz="2" w:space="0" w:color="C0C0C0"/>
            </w:tcBorders>
            <w:shd w:val="clear" w:color="auto" w:fill="auto"/>
            <w:vAlign w:val="center"/>
          </w:tcPr>
          <w:p w14:paraId="482E8557" w14:textId="77777777" w:rsidR="0022035D" w:rsidRPr="00836ACA" w:rsidRDefault="0022035D" w:rsidP="00280410">
            <w:pPr>
              <w:pStyle w:val="Tabletext"/>
            </w:pPr>
            <w:r w:rsidRPr="00836ACA">
              <w:t>Avoided GHG emissions</w:t>
            </w:r>
          </w:p>
        </w:tc>
        <w:tc>
          <w:tcPr>
            <w:tcW w:w="2401" w:type="dxa"/>
            <w:tcBorders>
              <w:top w:val="single" w:sz="2" w:space="0" w:color="C0C0C0"/>
              <w:bottom w:val="single" w:sz="2" w:space="0" w:color="C0C0C0"/>
            </w:tcBorders>
            <w:shd w:val="clear" w:color="auto" w:fill="auto"/>
            <w:vAlign w:val="center"/>
          </w:tcPr>
          <w:p w14:paraId="3BBE2922" w14:textId="77777777" w:rsidR="0022035D" w:rsidRPr="0012349F" w:rsidRDefault="0022035D">
            <w:pPr>
              <w:pStyle w:val="Tabletext"/>
              <w:jc w:val="center"/>
            </w:pPr>
            <w:r>
              <w:t xml:space="preserve">692 </w:t>
            </w:r>
            <w:r w:rsidRPr="00836ACA">
              <w:t>ktCO</w:t>
            </w:r>
            <w:r w:rsidRPr="00860430">
              <w:rPr>
                <w:vertAlign w:val="subscript"/>
              </w:rPr>
              <w:t>2</w:t>
            </w:r>
            <w:r>
              <w:t>-e</w:t>
            </w:r>
          </w:p>
        </w:tc>
        <w:tc>
          <w:tcPr>
            <w:tcW w:w="2401" w:type="dxa"/>
            <w:tcBorders>
              <w:top w:val="single" w:sz="2" w:space="0" w:color="C0C0C0"/>
              <w:bottom w:val="single" w:sz="2" w:space="0" w:color="C0C0C0"/>
            </w:tcBorders>
            <w:vAlign w:val="center"/>
          </w:tcPr>
          <w:p w14:paraId="093CBE9E" w14:textId="77777777" w:rsidR="0022035D" w:rsidRPr="00836ACA" w:rsidRDefault="0022035D">
            <w:pPr>
              <w:pStyle w:val="Tabletext"/>
              <w:jc w:val="center"/>
            </w:pPr>
            <w:r>
              <w:t xml:space="preserve">692 </w:t>
            </w:r>
            <w:r w:rsidRPr="00836ACA">
              <w:t>ktCO</w:t>
            </w:r>
            <w:r w:rsidRPr="00860430">
              <w:rPr>
                <w:vertAlign w:val="subscript"/>
              </w:rPr>
              <w:t>2</w:t>
            </w:r>
            <w:r>
              <w:t>-e</w:t>
            </w:r>
          </w:p>
        </w:tc>
        <w:tc>
          <w:tcPr>
            <w:tcW w:w="2862" w:type="dxa"/>
            <w:tcBorders>
              <w:top w:val="single" w:sz="2" w:space="0" w:color="C0C0C0"/>
              <w:bottom w:val="single" w:sz="2" w:space="0" w:color="C0C0C0"/>
            </w:tcBorders>
            <w:vAlign w:val="center"/>
          </w:tcPr>
          <w:p w14:paraId="4B158D99" w14:textId="3EEB878E" w:rsidR="0022035D" w:rsidRDefault="001F11A3">
            <w:pPr>
              <w:pStyle w:val="Tabletext"/>
              <w:jc w:val="center"/>
            </w:pPr>
            <w:r>
              <w:t xml:space="preserve">918 </w:t>
            </w:r>
            <w:r w:rsidRPr="00836ACA">
              <w:t>ktCO</w:t>
            </w:r>
            <w:r w:rsidRPr="00860430">
              <w:rPr>
                <w:vertAlign w:val="subscript"/>
              </w:rPr>
              <w:t>2</w:t>
            </w:r>
            <w:r>
              <w:t>-e</w:t>
            </w:r>
          </w:p>
        </w:tc>
      </w:tr>
      <w:tr w:rsidR="0022035D" w14:paraId="7845D9F1" w14:textId="14E6121B" w:rsidTr="00B00613">
        <w:trPr>
          <w:cantSplit/>
        </w:trPr>
        <w:tc>
          <w:tcPr>
            <w:tcW w:w="2400" w:type="dxa"/>
            <w:tcBorders>
              <w:top w:val="single" w:sz="2" w:space="0" w:color="C0C0C0"/>
              <w:bottom w:val="single" w:sz="2" w:space="0" w:color="999999"/>
            </w:tcBorders>
            <w:shd w:val="clear" w:color="auto" w:fill="DBDBDB" w:themeFill="accent3" w:themeFillTint="66"/>
            <w:vAlign w:val="center"/>
          </w:tcPr>
          <w:p w14:paraId="39D00336" w14:textId="77777777" w:rsidR="0022035D" w:rsidRPr="00836ACA" w:rsidRDefault="0022035D" w:rsidP="002B29DE">
            <w:pPr>
              <w:pStyle w:val="Tabletext"/>
            </w:pPr>
            <w:r>
              <w:rPr>
                <w:b/>
              </w:rPr>
              <w:t>NPV including  GHG benefits at $23 per tonne</w:t>
            </w:r>
          </w:p>
        </w:tc>
        <w:tc>
          <w:tcPr>
            <w:tcW w:w="2401" w:type="dxa"/>
            <w:tcBorders>
              <w:top w:val="single" w:sz="2" w:space="0" w:color="C0C0C0"/>
              <w:bottom w:val="single" w:sz="2" w:space="0" w:color="999999"/>
            </w:tcBorders>
            <w:shd w:val="clear" w:color="auto" w:fill="DBDBDB" w:themeFill="accent3" w:themeFillTint="66"/>
            <w:vAlign w:val="center"/>
          </w:tcPr>
          <w:p w14:paraId="7C17F51F" w14:textId="77777777" w:rsidR="0022035D" w:rsidRPr="00836ACA" w:rsidRDefault="0022035D">
            <w:pPr>
              <w:pStyle w:val="Tabletext"/>
              <w:jc w:val="center"/>
            </w:pPr>
            <w:r w:rsidRPr="00836ACA">
              <w:rPr>
                <w:b/>
              </w:rPr>
              <w:t>$</w:t>
            </w:r>
            <w:r>
              <w:rPr>
                <w:b/>
              </w:rPr>
              <w:t>6</w:t>
            </w:r>
            <w:r w:rsidRPr="00836ACA">
              <w:rPr>
                <w:b/>
              </w:rPr>
              <w:t>.9m NPV</w:t>
            </w:r>
          </w:p>
        </w:tc>
        <w:tc>
          <w:tcPr>
            <w:tcW w:w="2401" w:type="dxa"/>
            <w:tcBorders>
              <w:top w:val="single" w:sz="2" w:space="0" w:color="C0C0C0"/>
              <w:bottom w:val="single" w:sz="2" w:space="0" w:color="999999"/>
            </w:tcBorders>
            <w:shd w:val="clear" w:color="auto" w:fill="DBDBDB" w:themeFill="accent3" w:themeFillTint="66"/>
            <w:vAlign w:val="center"/>
          </w:tcPr>
          <w:p w14:paraId="3E23A38B" w14:textId="77777777" w:rsidR="0022035D" w:rsidRPr="00A90AF4" w:rsidRDefault="0022035D">
            <w:pPr>
              <w:pStyle w:val="Tabletext"/>
              <w:jc w:val="center"/>
              <w:rPr>
                <w:b/>
              </w:rPr>
            </w:pPr>
            <w:r w:rsidRPr="00A90AF4">
              <w:rPr>
                <w:b/>
              </w:rPr>
              <w:t>$8.9m NPV</w:t>
            </w:r>
          </w:p>
        </w:tc>
        <w:tc>
          <w:tcPr>
            <w:tcW w:w="2862" w:type="dxa"/>
            <w:tcBorders>
              <w:top w:val="single" w:sz="2" w:space="0" w:color="C0C0C0"/>
              <w:bottom w:val="single" w:sz="2" w:space="0" w:color="999999"/>
            </w:tcBorders>
            <w:shd w:val="clear" w:color="auto" w:fill="DBDBDB" w:themeFill="accent3" w:themeFillTint="66"/>
            <w:vAlign w:val="center"/>
          </w:tcPr>
          <w:p w14:paraId="59516262" w14:textId="318D1176" w:rsidR="0022035D" w:rsidRPr="00A90AF4" w:rsidRDefault="009D099D">
            <w:pPr>
              <w:pStyle w:val="Tabletext"/>
              <w:jc w:val="center"/>
              <w:rPr>
                <w:b/>
              </w:rPr>
            </w:pPr>
            <w:r>
              <w:rPr>
                <w:b/>
              </w:rPr>
              <w:t>$18.4m NPV</w:t>
            </w:r>
            <w:r w:rsidR="00393774">
              <w:rPr>
                <w:b/>
              </w:rPr>
              <w:t xml:space="preserve"> minus cost of improving visibility</w:t>
            </w:r>
          </w:p>
        </w:tc>
      </w:tr>
    </w:tbl>
    <w:p w14:paraId="2AC6F993" w14:textId="77777777" w:rsidR="00344F17" w:rsidRPr="00B347D7" w:rsidRDefault="00344F17" w:rsidP="0022035D">
      <w:pPr>
        <w:pStyle w:val="Source"/>
        <w:ind w:left="-2551"/>
      </w:pPr>
      <w:r w:rsidRPr="00B347D7">
        <w:t xml:space="preserve">Source: </w:t>
      </w:r>
      <w:r>
        <w:t>ACIL Allen</w:t>
      </w:r>
    </w:p>
    <w:p w14:paraId="2E613C2B" w14:textId="17FDEB2B" w:rsidR="00421460" w:rsidRDefault="00D553BD" w:rsidP="00804504">
      <w:pPr>
        <w:pStyle w:val="Heading2"/>
      </w:pPr>
      <w:bookmarkStart w:id="672" w:name="_Toc415660922"/>
      <w:r>
        <w:t>Other potential improvements</w:t>
      </w:r>
      <w:bookmarkEnd w:id="672"/>
    </w:p>
    <w:p w14:paraId="75A3A2E0" w14:textId="77777777" w:rsidR="00D553BD" w:rsidRDefault="00D553BD" w:rsidP="00D553BD">
      <w:pPr>
        <w:pStyle w:val="Heading3"/>
      </w:pPr>
      <w:bookmarkStart w:id="673" w:name="_Toc415660923"/>
      <w:r>
        <w:t>Ongoing process improvements</w:t>
      </w:r>
      <w:bookmarkEnd w:id="673"/>
    </w:p>
    <w:p w14:paraId="21AC6FB3" w14:textId="77777777" w:rsidR="00D553BD" w:rsidRPr="00DB0E3E" w:rsidRDefault="00D553BD" w:rsidP="00D553BD">
      <w:pPr>
        <w:spacing w:line="280" w:lineRule="exact"/>
        <w:rPr>
          <w:rFonts w:ascii="Arial Narrow" w:hAnsi="Arial Narrow"/>
          <w:sz w:val="22"/>
          <w:szCs w:val="22"/>
          <w:lang w:eastAsia="en-AU"/>
        </w:rPr>
      </w:pPr>
      <w:r w:rsidRPr="00DB0E3E">
        <w:rPr>
          <w:rFonts w:ascii="Arial Narrow" w:hAnsi="Arial Narrow"/>
          <w:sz w:val="22"/>
          <w:szCs w:val="22"/>
          <w:lang w:eastAsia="en-AU"/>
        </w:rPr>
        <w:t>There are well-established mechanisms for making ongoing improvements to the CBD program.</w:t>
      </w:r>
      <w:r>
        <w:rPr>
          <w:rFonts w:ascii="Arial Narrow" w:hAnsi="Arial Narrow"/>
          <w:sz w:val="22"/>
          <w:szCs w:val="22"/>
          <w:lang w:eastAsia="en-AU"/>
        </w:rPr>
        <w:t xml:space="preserve"> </w:t>
      </w:r>
      <w:r w:rsidRPr="00DB0E3E">
        <w:rPr>
          <w:rFonts w:ascii="Arial Narrow" w:hAnsi="Arial Narrow"/>
          <w:sz w:val="22"/>
          <w:szCs w:val="22"/>
          <w:lang w:eastAsia="en-AU"/>
        </w:rPr>
        <w:t>These include measures for improving the administrative efficiency of the program and the NABERS assessment process.</w:t>
      </w:r>
      <w:r>
        <w:rPr>
          <w:rFonts w:ascii="Arial Narrow" w:hAnsi="Arial Narrow"/>
          <w:sz w:val="22"/>
          <w:szCs w:val="22"/>
          <w:lang w:eastAsia="en-AU"/>
        </w:rPr>
        <w:t xml:space="preserve"> </w:t>
      </w:r>
      <w:r w:rsidRPr="00DB0E3E">
        <w:rPr>
          <w:rFonts w:ascii="Arial Narrow" w:hAnsi="Arial Narrow"/>
          <w:sz w:val="22"/>
          <w:szCs w:val="22"/>
          <w:lang w:eastAsia="en-AU"/>
        </w:rPr>
        <w:t xml:space="preserve">For example, the NSW Office of Environment and </w:t>
      </w:r>
      <w:r w:rsidRPr="00DB0E3E">
        <w:rPr>
          <w:rFonts w:ascii="Arial Narrow" w:hAnsi="Arial Narrow"/>
          <w:sz w:val="22"/>
          <w:szCs w:val="22"/>
          <w:lang w:eastAsia="en-AU"/>
        </w:rPr>
        <w:lastRenderedPageBreak/>
        <w:t>Heritage has implemented multiple automatic checks that have streamlined the work of assessors by preventing the most common mistakes found in audits and by informing assessors when an explanation is required.</w:t>
      </w:r>
      <w:r>
        <w:rPr>
          <w:rFonts w:ascii="Arial Narrow" w:hAnsi="Arial Narrow"/>
          <w:sz w:val="22"/>
          <w:szCs w:val="22"/>
          <w:lang w:eastAsia="en-AU"/>
        </w:rPr>
        <w:t xml:space="preserve"> </w:t>
      </w:r>
      <w:r w:rsidRPr="00DB0E3E">
        <w:rPr>
          <w:rFonts w:ascii="Arial Narrow" w:hAnsi="Arial Narrow"/>
          <w:sz w:val="22"/>
          <w:szCs w:val="22"/>
          <w:lang w:eastAsia="en-AU"/>
        </w:rPr>
        <w:t>This has significantly reduced the waiting time for certification</w:t>
      </w:r>
      <w:r>
        <w:rPr>
          <w:rFonts w:ascii="Arial Narrow" w:hAnsi="Arial Narrow"/>
          <w:sz w:val="22"/>
          <w:szCs w:val="22"/>
          <w:lang w:eastAsia="en-AU"/>
        </w:rPr>
        <w:t>.</w:t>
      </w:r>
    </w:p>
    <w:p w14:paraId="6F45F779" w14:textId="77777777" w:rsidR="00D553BD" w:rsidRDefault="00D553BD" w:rsidP="00D553BD">
      <w:pPr>
        <w:spacing w:line="280" w:lineRule="exact"/>
        <w:rPr>
          <w:rFonts w:ascii="Arial Narrow" w:hAnsi="Arial Narrow"/>
          <w:sz w:val="22"/>
          <w:szCs w:val="22"/>
          <w:lang w:eastAsia="en-AU"/>
        </w:rPr>
      </w:pPr>
      <w:r w:rsidRPr="00DB0E3E">
        <w:rPr>
          <w:rFonts w:ascii="Arial Narrow" w:hAnsi="Arial Narrow"/>
          <w:sz w:val="22"/>
          <w:szCs w:val="22"/>
          <w:lang w:eastAsia="en-AU"/>
        </w:rPr>
        <w:t>In addition, until recently</w:t>
      </w:r>
      <w:r>
        <w:rPr>
          <w:rFonts w:ascii="Arial Narrow" w:hAnsi="Arial Narrow"/>
          <w:sz w:val="22"/>
          <w:szCs w:val="22"/>
          <w:lang w:eastAsia="en-AU"/>
        </w:rPr>
        <w:t>,</w:t>
      </w:r>
      <w:r w:rsidRPr="00DB0E3E">
        <w:rPr>
          <w:rFonts w:ascii="Arial Narrow" w:hAnsi="Arial Narrow"/>
          <w:sz w:val="22"/>
          <w:szCs w:val="22"/>
          <w:lang w:eastAsia="en-AU"/>
        </w:rPr>
        <w:t xml:space="preserve"> a NABERS rating was valid for 12 months from the day the certificate was issued.</w:t>
      </w:r>
      <w:r>
        <w:rPr>
          <w:rFonts w:ascii="Arial Narrow" w:hAnsi="Arial Narrow"/>
          <w:sz w:val="22"/>
          <w:szCs w:val="22"/>
          <w:lang w:eastAsia="en-AU"/>
        </w:rPr>
        <w:t xml:space="preserve"> </w:t>
      </w:r>
      <w:r w:rsidRPr="00DB0E3E">
        <w:rPr>
          <w:rFonts w:ascii="Arial Narrow" w:hAnsi="Arial Narrow"/>
          <w:sz w:val="22"/>
          <w:szCs w:val="22"/>
          <w:lang w:eastAsia="en-AU"/>
        </w:rPr>
        <w:t>To minimise the risk of not having a rating when leasing or selling occurs, many office buildings were obtaining a certified rating after 11 months.</w:t>
      </w:r>
      <w:r>
        <w:rPr>
          <w:rFonts w:ascii="Arial Narrow" w:hAnsi="Arial Narrow"/>
          <w:sz w:val="22"/>
          <w:szCs w:val="22"/>
          <w:lang w:eastAsia="en-AU"/>
        </w:rPr>
        <w:t xml:space="preserve"> </w:t>
      </w:r>
      <w:r w:rsidRPr="00DB0E3E">
        <w:rPr>
          <w:rFonts w:ascii="Arial Narrow" w:hAnsi="Arial Narrow"/>
          <w:sz w:val="22"/>
          <w:szCs w:val="22"/>
          <w:lang w:eastAsia="en-AU"/>
        </w:rPr>
        <w:t>NABERS implemented major changes to its website to allow buildings with existing ratings to mitigate the risk of not having a rating without sacrificing certification length or incurring extra costs.</w:t>
      </w:r>
      <w:r>
        <w:rPr>
          <w:rFonts w:ascii="Arial Narrow" w:hAnsi="Arial Narrow"/>
          <w:sz w:val="22"/>
          <w:szCs w:val="22"/>
          <w:lang w:eastAsia="en-AU"/>
        </w:rPr>
        <w:t xml:space="preserve"> </w:t>
      </w:r>
      <w:r w:rsidRPr="00DB0E3E">
        <w:rPr>
          <w:rFonts w:ascii="Arial Narrow" w:hAnsi="Arial Narrow"/>
          <w:sz w:val="22"/>
          <w:szCs w:val="22"/>
          <w:lang w:eastAsia="en-AU"/>
        </w:rPr>
        <w:t>If there is an existing rating for the property, assessors can now choose the start date of their new rating to coincide with expiry of the previous rating.</w:t>
      </w:r>
    </w:p>
    <w:p w14:paraId="6A33C7CD" w14:textId="77777777" w:rsidR="00D553BD" w:rsidRPr="00E24DE4" w:rsidRDefault="00D553BD" w:rsidP="00D553BD">
      <w:pPr>
        <w:spacing w:line="280" w:lineRule="exact"/>
        <w:rPr>
          <w:rFonts w:ascii="Arial Narrow" w:hAnsi="Arial Narrow"/>
          <w:sz w:val="22"/>
          <w:szCs w:val="22"/>
          <w:lang w:eastAsia="en-AU"/>
        </w:rPr>
      </w:pPr>
      <w:r>
        <w:rPr>
          <w:rFonts w:ascii="Arial Narrow" w:hAnsi="Arial Narrow"/>
          <w:sz w:val="22"/>
          <w:szCs w:val="22"/>
          <w:lang w:eastAsia="en-AU"/>
        </w:rPr>
        <w:t>The Department of Industry and Science conducts ongoing process and system improvements based on CBD program data and stakeholder feedback.</w:t>
      </w:r>
      <w:r w:rsidRPr="00E24DE4">
        <w:rPr>
          <w:rFonts w:ascii="Arial Narrow" w:hAnsi="Arial Narrow"/>
          <w:sz w:val="22"/>
          <w:szCs w:val="22"/>
          <w:lang w:eastAsia="en-AU"/>
        </w:rPr>
        <w:t xml:space="preserve"> Examples of </w:t>
      </w:r>
      <w:r>
        <w:rPr>
          <w:rFonts w:ascii="Arial Narrow" w:hAnsi="Arial Narrow"/>
          <w:sz w:val="22"/>
          <w:szCs w:val="22"/>
          <w:lang w:eastAsia="en-AU"/>
        </w:rPr>
        <w:t>these</w:t>
      </w:r>
      <w:r w:rsidRPr="00E24DE4">
        <w:rPr>
          <w:rFonts w:ascii="Arial Narrow" w:hAnsi="Arial Narrow"/>
          <w:sz w:val="22"/>
          <w:szCs w:val="22"/>
          <w:lang w:eastAsia="en-AU"/>
        </w:rPr>
        <w:t xml:space="preserve"> include:</w:t>
      </w:r>
    </w:p>
    <w:p w14:paraId="5F850493" w14:textId="2ED2B278" w:rsidR="00D553BD" w:rsidRPr="00161DFF" w:rsidRDefault="00D553BD" w:rsidP="00804504">
      <w:pPr>
        <w:pStyle w:val="ListDash"/>
      </w:pPr>
      <w:r>
        <w:t>Enhancements to the TLA rules based on advice from CBD accredited assessors. The revised TLA rules provide a simplified process, i</w:t>
      </w:r>
      <w:r w:rsidR="00464845">
        <w:t xml:space="preserve">ncluding additional assessment </w:t>
      </w:r>
      <w:r>
        <w:t>methods with associated guidance material for assessors</w:t>
      </w:r>
    </w:p>
    <w:p w14:paraId="3D53A690" w14:textId="77777777" w:rsidR="00464845" w:rsidRDefault="00D553BD" w:rsidP="00804504">
      <w:pPr>
        <w:pStyle w:val="ListDash"/>
      </w:pPr>
      <w:r w:rsidRPr="00161DFF">
        <w:t>Improvements to the CBD IT system that w</w:t>
      </w:r>
      <w:r w:rsidR="00464845">
        <w:t xml:space="preserve">ere </w:t>
      </w:r>
      <w:r w:rsidRPr="00161DFF">
        <w:t xml:space="preserve">implemented in 2012 following consultation with stakeholders. Enhancements included the development of an online TLA form </w:t>
      </w:r>
      <w:r w:rsidR="00464845">
        <w:t>(</w:t>
      </w:r>
      <w:r w:rsidRPr="00161DFF">
        <w:t xml:space="preserve">replacing the old </w:t>
      </w:r>
      <w:r w:rsidR="00464845">
        <w:t>E</w:t>
      </w:r>
      <w:r w:rsidRPr="00161DFF">
        <w:t>xcel-based form</w:t>
      </w:r>
      <w:r w:rsidR="00464845">
        <w:t>)</w:t>
      </w:r>
      <w:r w:rsidRPr="00161DFF">
        <w:t xml:space="preserve"> and the creation of a one-step BEE</w:t>
      </w:r>
      <w:r w:rsidR="00464845">
        <w:t>C and TLA application process.</w:t>
      </w:r>
    </w:p>
    <w:p w14:paraId="0A281A24" w14:textId="4D29B721" w:rsidR="00464845" w:rsidRDefault="00D553BD" w:rsidP="00804504">
      <w:pPr>
        <w:pStyle w:val="ListDash2"/>
      </w:pPr>
      <w:r w:rsidRPr="00161DFF">
        <w:t xml:space="preserve">The online TLA assessment form has a number of automatic checks </w:t>
      </w:r>
      <w:r w:rsidR="00464845">
        <w:t>that have</w:t>
      </w:r>
      <w:r w:rsidRPr="00161DFF">
        <w:t xml:space="preserve"> resulted in </w:t>
      </w:r>
      <w:r w:rsidR="00464845">
        <w:t>fewer</w:t>
      </w:r>
      <w:r w:rsidRPr="00161DFF">
        <w:t xml:space="preserve"> applications being sent back to assessors for corrections or additional information.</w:t>
      </w:r>
    </w:p>
    <w:p w14:paraId="0D0D53F9" w14:textId="2B09424A" w:rsidR="00D553BD" w:rsidRPr="00161DFF" w:rsidRDefault="00D553BD" w:rsidP="00804504">
      <w:pPr>
        <w:pStyle w:val="ListDash2"/>
      </w:pPr>
      <w:r w:rsidRPr="00161DFF">
        <w:t>The one</w:t>
      </w:r>
      <w:r w:rsidR="00464845">
        <w:t>-</w:t>
      </w:r>
      <w:r w:rsidRPr="00161DFF">
        <w:t>step BEEC and TLA application process means that assessors no longer have to wait for a TLA to be certified before submitting a BEEC application</w:t>
      </w:r>
      <w:r w:rsidR="00464845">
        <w:t>, thereby</w:t>
      </w:r>
      <w:r w:rsidRPr="00161DFF">
        <w:t xml:space="preserve"> saving them ti</w:t>
      </w:r>
      <w:r w:rsidR="00464845">
        <w:t xml:space="preserve">me. </w:t>
      </w:r>
      <w:r w:rsidRPr="00161DFF">
        <w:t>This process also allows the TLA, BEEC and NABERS expiry dates to be aligned</w:t>
      </w:r>
      <w:r w:rsidR="00464845">
        <w:t>,</w:t>
      </w:r>
      <w:r w:rsidRPr="00161DFF">
        <w:t xml:space="preserve"> </w:t>
      </w:r>
      <w:r w:rsidR="00464845">
        <w:t>enabl</w:t>
      </w:r>
      <w:r w:rsidRPr="00161DFF">
        <w:t>ing a full 12</w:t>
      </w:r>
      <w:r w:rsidR="00464845">
        <w:t xml:space="preserve"> </w:t>
      </w:r>
      <w:r w:rsidRPr="00161DFF">
        <w:t>months of validity of the BEEC.</w:t>
      </w:r>
    </w:p>
    <w:p w14:paraId="535B1F65" w14:textId="77777777" w:rsidR="00D553BD" w:rsidRPr="00DB0E3E" w:rsidRDefault="00D553BD" w:rsidP="00D553BD">
      <w:pPr>
        <w:spacing w:line="280" w:lineRule="exact"/>
        <w:rPr>
          <w:rFonts w:ascii="Arial Narrow" w:hAnsi="Arial Narrow"/>
          <w:sz w:val="22"/>
          <w:szCs w:val="22"/>
          <w:lang w:eastAsia="en-AU"/>
        </w:rPr>
      </w:pPr>
      <w:r w:rsidRPr="00DB0E3E">
        <w:rPr>
          <w:rFonts w:ascii="Arial Narrow" w:hAnsi="Arial Narrow"/>
          <w:sz w:val="22"/>
          <w:szCs w:val="22"/>
          <w:lang w:eastAsia="en-AU"/>
        </w:rPr>
        <w:t>ACIL Allen recommends that these process improvements should continue.</w:t>
      </w:r>
    </w:p>
    <w:p w14:paraId="69D03869" w14:textId="77777777" w:rsidR="00D553BD" w:rsidRDefault="00D553BD" w:rsidP="00D553BD">
      <w:pPr>
        <w:pStyle w:val="Heading3"/>
      </w:pPr>
      <w:bookmarkStart w:id="674" w:name="_Toc415660924"/>
      <w:r>
        <w:t>Closing data gaps</w:t>
      </w:r>
      <w:bookmarkEnd w:id="674"/>
    </w:p>
    <w:p w14:paraId="7411025C" w14:textId="77777777" w:rsidR="00D553BD" w:rsidRDefault="00D553BD" w:rsidP="00D553BD">
      <w:pPr>
        <w:pStyle w:val="BodyText"/>
      </w:pPr>
      <w:r>
        <w:t>Future evaluations of energy efficiency programs, such as the CBD program, would benefit from improved data relating to pay-offs of energy efficiency upgrades and potential benefits from improved productivity.</w:t>
      </w:r>
    </w:p>
    <w:p w14:paraId="4B948B0B" w14:textId="77777777" w:rsidR="00D553BD" w:rsidRDefault="00D553BD" w:rsidP="00D553BD">
      <w:pPr>
        <w:pStyle w:val="BodyText"/>
      </w:pPr>
      <w:r>
        <w:t>Key data gaps encountered by ACIL Allen in the review of the CBD program included the pay-off from energy efficiency upgrades and potential benefits from improved productivity.</w:t>
      </w:r>
    </w:p>
    <w:p w14:paraId="1CA6F625" w14:textId="77777777" w:rsidR="00D553BD" w:rsidRDefault="00D553BD" w:rsidP="00D553BD">
      <w:pPr>
        <w:pStyle w:val="BodyText"/>
      </w:pPr>
      <w:r>
        <w:t>Pay-off estimates used in the analysis, referred to as the ‘net benefits of energy efficiency’, were derived from abatement cost curve analysis, cross-checked against multiple sources and tested with industry stakeholders. Extensive sensitivity analysis was also performed to ensure the review’s conclusions were robust in light of the uncertainty around project pay-offs.</w:t>
      </w:r>
    </w:p>
    <w:p w14:paraId="4C3DB86A" w14:textId="77777777" w:rsidR="00D553BD" w:rsidRDefault="00D553BD" w:rsidP="00D553BD">
      <w:pPr>
        <w:pStyle w:val="BodyText"/>
      </w:pPr>
      <w:r>
        <w:t xml:space="preserve">Nevertheless, future evaluations would benefit from a greater resolution and diversity of data related to project pay-offs. Available data was used to construct low, medium and high estimates of project pay-offs applying to buildings performing upgrades from a low, medium and high base of energy efficiency, respectively. This </w:t>
      </w:r>
      <w:r>
        <w:lastRenderedPageBreak/>
        <w:t>captured the effect that returns from energy efficiency are relatively higher for poorer performing buildings. However, further data would allow greater differentiation of project pay-offs, if necessary, based on current star rating, building characteristics, jurisdiction, climate zone and tenants etc. It would also allow greater precision in economic benefit estimates.</w:t>
      </w:r>
    </w:p>
    <w:p w14:paraId="76D8A594" w14:textId="77777777" w:rsidR="00D553BD" w:rsidRDefault="00D553BD" w:rsidP="00D553BD">
      <w:pPr>
        <w:pStyle w:val="BodyText"/>
      </w:pPr>
      <w:r>
        <w:t>Improvements in workforce productivity were found to be potentially significant. ACIL Allen estimates that this improvement could be higher than the combined benefit of project pay-offs and GHG reductions, even under conservative assumptions about productivity increases. However, there is a high level of uncertainty surrounding productivity benefits due to paucity of robust data on productivity benefits of energy efficient buildings.</w:t>
      </w:r>
    </w:p>
    <w:p w14:paraId="70550E42" w14:textId="77777777" w:rsidR="00D553BD" w:rsidRDefault="00D553BD" w:rsidP="00D553BD">
      <w:pPr>
        <w:pStyle w:val="BodyText"/>
      </w:pPr>
      <w:r>
        <w:t>There are multiple approaches to addressing these data gaps. Additional data collection through the application process for NABERS, TLA or BEEC certificates is not recommended as this would increase regulatory burden to building owners. Rather, independent research engaging targeted stakeholders from the industry could be considered.</w:t>
      </w:r>
    </w:p>
    <w:p w14:paraId="0C46ECFA" w14:textId="77777777" w:rsidR="00D553BD" w:rsidRPr="00A90AF4" w:rsidRDefault="00D553BD" w:rsidP="00A90AF4">
      <w:pPr>
        <w:pStyle w:val="BodyText"/>
      </w:pPr>
    </w:p>
    <w:p w14:paraId="634E0733" w14:textId="77777777" w:rsidR="009D447A" w:rsidRDefault="009D447A" w:rsidP="00E37B03">
      <w:pPr>
        <w:pStyle w:val="ListDash"/>
        <w:numPr>
          <w:ilvl w:val="0"/>
          <w:numId w:val="0"/>
        </w:numPr>
        <w:ind w:left="284" w:hanging="284"/>
      </w:pPr>
    </w:p>
    <w:p w14:paraId="4377179A" w14:textId="77777777" w:rsidR="00B8592D" w:rsidRDefault="00B8592D" w:rsidP="00B8592D">
      <w:pPr>
        <w:pStyle w:val="Heading1"/>
      </w:pPr>
      <w:bookmarkStart w:id="675" w:name="_Ref409622726"/>
      <w:bookmarkStart w:id="676" w:name="_Toc415660925"/>
      <w:r>
        <w:lastRenderedPageBreak/>
        <w:t>Summary of key findings</w:t>
      </w:r>
      <w:r w:rsidR="003C55D2">
        <w:t xml:space="preserve"> from the review</w:t>
      </w:r>
      <w:bookmarkEnd w:id="675"/>
      <w:bookmarkEnd w:id="676"/>
    </w:p>
    <w:p w14:paraId="4AD1543F" w14:textId="77777777" w:rsidR="003C55D2" w:rsidRDefault="003C55D2" w:rsidP="004572F4">
      <w:pPr>
        <w:pStyle w:val="Heading2"/>
      </w:pPr>
      <w:bookmarkStart w:id="677" w:name="_Toc415660926"/>
      <w:r>
        <w:t>Impacts of the program to date</w:t>
      </w:r>
      <w:bookmarkEnd w:id="677"/>
    </w:p>
    <w:p w14:paraId="5B99E4E7" w14:textId="77777777" w:rsidR="003C55D2" w:rsidRDefault="000A6533" w:rsidP="000A6533">
      <w:pPr>
        <w:pStyle w:val="Heading3"/>
      </w:pPr>
      <w:bookmarkStart w:id="678" w:name="_Toc415660927"/>
      <w:r>
        <w:t>Appropriateness of the CBD program</w:t>
      </w:r>
      <w:bookmarkEnd w:id="678"/>
    </w:p>
    <w:p w14:paraId="39EF60F6" w14:textId="77777777" w:rsidR="000A6533" w:rsidRDefault="000A6533" w:rsidP="000A6533">
      <w:pPr>
        <w:pStyle w:val="BodyText"/>
      </w:pPr>
      <w:r>
        <w:t xml:space="preserve">ACIL Allen </w:t>
      </w:r>
      <w:r w:rsidR="006213F7">
        <w:t xml:space="preserve">finds </w:t>
      </w:r>
      <w:r>
        <w:t>the CBD program to be an appropriate one that aligns strategically (and in practice) with relevant government policies and programs</w:t>
      </w:r>
      <w:r w:rsidR="00CB3EC7">
        <w:t xml:space="preserve">. </w:t>
      </w:r>
      <w:r w:rsidR="00547198">
        <w:t>Rather than directly requiring building owners to improve energy efficiency, it provides information to the market to encourage improvements</w:t>
      </w:r>
      <w:r w:rsidR="00CB3EC7">
        <w:t xml:space="preserve">. </w:t>
      </w:r>
      <w:r w:rsidR="00547198">
        <w:t xml:space="preserve">It is therefore </w:t>
      </w:r>
      <w:r w:rsidR="00547198" w:rsidRPr="00547198">
        <w:t>a light</w:t>
      </w:r>
      <w:r w:rsidR="00D41AFC">
        <w:t>-</w:t>
      </w:r>
      <w:r w:rsidR="00547198" w:rsidRPr="00547198">
        <w:t>handed form of regulation</w:t>
      </w:r>
      <w:r w:rsidR="00547198">
        <w:t>.</w:t>
      </w:r>
    </w:p>
    <w:p w14:paraId="2F679E8D" w14:textId="77777777" w:rsidR="000A6533" w:rsidRDefault="000A6533" w:rsidP="000A6533">
      <w:pPr>
        <w:pStyle w:val="BodyText"/>
      </w:pPr>
      <w:r>
        <w:t xml:space="preserve">It complements the </w:t>
      </w:r>
      <w:r w:rsidR="006213F7">
        <w:t xml:space="preserve">other </w:t>
      </w:r>
      <w:r>
        <w:t>measure</w:t>
      </w:r>
      <w:r w:rsidR="006213F7">
        <w:t>s</w:t>
      </w:r>
      <w:r>
        <w:t xml:space="preserve"> </w:t>
      </w:r>
      <w:r w:rsidR="006213F7">
        <w:t xml:space="preserve">designed to </w:t>
      </w:r>
      <w:r>
        <w:t>increas</w:t>
      </w:r>
      <w:r w:rsidR="006213F7">
        <w:t>e</w:t>
      </w:r>
      <w:r>
        <w:t xml:space="preserve"> the energy efficiency </w:t>
      </w:r>
      <w:r w:rsidR="006213F7">
        <w:t>of</w:t>
      </w:r>
      <w:r>
        <w:t xml:space="preserve"> new commercial buildings </w:t>
      </w:r>
      <w:r w:rsidR="006213F7">
        <w:t xml:space="preserve">as </w:t>
      </w:r>
      <w:r>
        <w:t>set out in the National Strategy for Energy Efficiency</w:t>
      </w:r>
      <w:r w:rsidR="00CB3EC7">
        <w:t xml:space="preserve">. </w:t>
      </w:r>
      <w:r>
        <w:t>It is also complementary to a significant number of programs enacted by the Commonwealth, State/Territory and local governments that target building energy efficiency</w:t>
      </w:r>
      <w:r w:rsidR="00CB3EC7">
        <w:t xml:space="preserve">. </w:t>
      </w:r>
      <w:r>
        <w:t>While there is partial overlap between the CBD program and a small number of other programs in terms of scope and/or objectives, there is no inefficient or wasteful duplication.</w:t>
      </w:r>
    </w:p>
    <w:p w14:paraId="353A5141" w14:textId="77777777" w:rsidR="000A6533" w:rsidRPr="00AE5E08" w:rsidRDefault="000A6533" w:rsidP="000A6533">
      <w:pPr>
        <w:pStyle w:val="BodyText"/>
      </w:pPr>
      <w:r>
        <w:t xml:space="preserve">With expected robust growth in the number of commercial buildings in major cities around the country (commensurate with projected population and economic growth) and an </w:t>
      </w:r>
      <w:r w:rsidR="006213F7">
        <w:t xml:space="preserve">increasingly </w:t>
      </w:r>
      <w:r>
        <w:t xml:space="preserve">urgent need to address the climate change challenge, the program is as relevant to Australia’s needs today and in the future as it was </w:t>
      </w:r>
      <w:r w:rsidR="00F55009">
        <w:t>at conception</w:t>
      </w:r>
      <w:r>
        <w:t>.</w:t>
      </w:r>
    </w:p>
    <w:p w14:paraId="194BEFC6" w14:textId="77777777" w:rsidR="000A6533" w:rsidRDefault="000A6533" w:rsidP="000A6533">
      <w:pPr>
        <w:pStyle w:val="Heading3"/>
      </w:pPr>
      <w:bookmarkStart w:id="679" w:name="_Toc415660928"/>
      <w:r>
        <w:t>Effectiveness of the CBD program</w:t>
      </w:r>
      <w:bookmarkEnd w:id="679"/>
    </w:p>
    <w:p w14:paraId="113A4B82" w14:textId="77777777" w:rsidR="00413FBE" w:rsidRDefault="00413FBE" w:rsidP="00413FBE">
      <w:pPr>
        <w:pStyle w:val="BodyText"/>
      </w:pPr>
      <w:r>
        <w:t>ACIL Allen’s cost-benefit analysis suggests that the CBD program has been successful in inducing a change in the behaviour of building owners, operators and tenants in regards to commercial building energy efficiency</w:t>
      </w:r>
      <w:r w:rsidR="00CB3EC7">
        <w:t xml:space="preserve">. </w:t>
      </w:r>
      <w:r>
        <w:t>In particular, the buildings in the mandatory 4</w:t>
      </w:r>
      <w:r w:rsidRPr="005F0932">
        <w:rPr>
          <w:vertAlign w:val="superscript"/>
        </w:rPr>
        <w:t>th</w:t>
      </w:r>
      <w:r>
        <w:t xml:space="preserve"> quartile have achieved a marked improvement in NABERS star ratings and a significant reduction in energy intensity</w:t>
      </w:r>
      <w:r w:rsidR="00CB3EC7">
        <w:t xml:space="preserve">. </w:t>
      </w:r>
      <w:r>
        <w:t>There also appear to be improvements attained by the mandatory 1</w:t>
      </w:r>
      <w:r w:rsidRPr="005F0932">
        <w:rPr>
          <w:vertAlign w:val="superscript"/>
        </w:rPr>
        <w:t>st</w:t>
      </w:r>
      <w:r>
        <w:t xml:space="preserve"> and 3</w:t>
      </w:r>
      <w:r w:rsidRPr="005F0932">
        <w:rPr>
          <w:vertAlign w:val="superscript"/>
        </w:rPr>
        <w:t>rd</w:t>
      </w:r>
      <w:r>
        <w:t xml:space="preserve"> quartiles as a result of the program</w:t>
      </w:r>
      <w:r w:rsidR="00CB3EC7">
        <w:t xml:space="preserve">. </w:t>
      </w:r>
      <w:r>
        <w:t>These improvements have enabled the program to achieve benefits in excess of costs to date of $4</w:t>
      </w:r>
      <w:r w:rsidR="002654E5">
        <w:t>4</w:t>
      </w:r>
      <w:r w:rsidR="00926DCC">
        <w:t xml:space="preserve"> </w:t>
      </w:r>
      <w:r w:rsidR="00E87956">
        <w:t>m</w:t>
      </w:r>
      <w:r w:rsidR="006213F7">
        <w:t>illion</w:t>
      </w:r>
      <w:r w:rsidR="00E87956">
        <w:t xml:space="preserve"> in present value terms</w:t>
      </w:r>
      <w:r w:rsidR="00606EE5">
        <w:t>,</w:t>
      </w:r>
      <w:r w:rsidR="00E87956">
        <w:t xml:space="preserve"> under a seven per cent real discount rate</w:t>
      </w:r>
      <w:r w:rsidR="00CB3EC7">
        <w:t xml:space="preserve">. </w:t>
      </w:r>
      <w:r w:rsidR="006213F7">
        <w:t xml:space="preserve">If workforce productivity gains were </w:t>
      </w:r>
      <w:r>
        <w:t>tak</w:t>
      </w:r>
      <w:r w:rsidR="006213F7">
        <w:t xml:space="preserve">en </w:t>
      </w:r>
      <w:r>
        <w:t>into account</w:t>
      </w:r>
      <w:r w:rsidR="006213F7">
        <w:t xml:space="preserve"> then the benefits would be even greater</w:t>
      </w:r>
      <w:r>
        <w:t>.</w:t>
      </w:r>
    </w:p>
    <w:p w14:paraId="046F8622" w14:textId="77777777" w:rsidR="002654E5" w:rsidRDefault="002654E5" w:rsidP="00413FBE">
      <w:pPr>
        <w:pStyle w:val="BodyText"/>
      </w:pPr>
      <w:r>
        <w:t>The Benefit-Cost Ratio of the program in the ‘realistic scenario’ is calculated to be 2.58 with a corresponding Internal Rate of Return of 46 per cent</w:t>
      </w:r>
      <w:r w:rsidR="00CB3EC7">
        <w:t xml:space="preserve">. </w:t>
      </w:r>
      <w:r>
        <w:t xml:space="preserve">Worker productivity benefits are estimated to be approximately $168m in present value terms, but </w:t>
      </w:r>
      <w:r w:rsidR="006B7C5C">
        <w:t xml:space="preserve">these </w:t>
      </w:r>
      <w:r>
        <w:t xml:space="preserve">have not been included in the net benefit numbers cited above because of the </w:t>
      </w:r>
      <w:r w:rsidR="006B7C5C">
        <w:t xml:space="preserve">higher level of </w:t>
      </w:r>
      <w:r>
        <w:t>uncertainty in the estimat</w:t>
      </w:r>
      <w:r w:rsidR="006B7C5C">
        <w:t>e of their magnitude</w:t>
      </w:r>
      <w:r>
        <w:t>.</w:t>
      </w:r>
    </w:p>
    <w:p w14:paraId="457979E7" w14:textId="77777777" w:rsidR="00413FBE" w:rsidRPr="007F73AD" w:rsidRDefault="00413FBE" w:rsidP="00413FBE">
      <w:pPr>
        <w:pStyle w:val="BodyText"/>
      </w:pPr>
      <w:r>
        <w:t xml:space="preserve">ACIL Allen’s analysis </w:t>
      </w:r>
      <w:r w:rsidR="002654E5">
        <w:t>of</w:t>
      </w:r>
      <w:r>
        <w:t xml:space="preserve"> the TLA component of the program </w:t>
      </w:r>
      <w:r w:rsidR="002654E5">
        <w:t xml:space="preserve">suggests that it </w:t>
      </w:r>
      <w:r>
        <w:t xml:space="preserve">has yet to </w:t>
      </w:r>
      <w:r w:rsidR="006B7C5C">
        <w:t xml:space="preserve">deliver </w:t>
      </w:r>
      <w:r>
        <w:t xml:space="preserve">significant </w:t>
      </w:r>
      <w:r w:rsidR="006B7C5C">
        <w:t>benefits</w:t>
      </w:r>
      <w:r w:rsidR="00CB3EC7">
        <w:t xml:space="preserve">. </w:t>
      </w:r>
      <w:r w:rsidR="006B7C5C">
        <w:t xml:space="preserve">We believe that is in part </w:t>
      </w:r>
      <w:r>
        <w:t xml:space="preserve">due to the newness of the TLA (compared with the </w:t>
      </w:r>
      <w:r w:rsidR="006B7C5C">
        <w:t xml:space="preserve">more </w:t>
      </w:r>
      <w:r>
        <w:t xml:space="preserve">well-established NABERS) and, consequently, the </w:t>
      </w:r>
      <w:r>
        <w:lastRenderedPageBreak/>
        <w:t>relatively small proportion of tenants who have taken advantage of the information generated by TLA assessments.</w:t>
      </w:r>
    </w:p>
    <w:p w14:paraId="60466B8E" w14:textId="77777777" w:rsidR="000A6533" w:rsidRDefault="000A6533" w:rsidP="000A6533">
      <w:pPr>
        <w:pStyle w:val="Heading3"/>
      </w:pPr>
      <w:bookmarkStart w:id="680" w:name="_Toc415660929"/>
      <w:r>
        <w:t>Interactions with other energy efficiency programs</w:t>
      </w:r>
      <w:bookmarkEnd w:id="680"/>
    </w:p>
    <w:p w14:paraId="08992239" w14:textId="77777777" w:rsidR="000A6533" w:rsidRDefault="00413FBE" w:rsidP="000A6533">
      <w:pPr>
        <w:pStyle w:val="BodyText"/>
      </w:pPr>
      <w:r>
        <w:t>ACIL Allen’s quantitative analysis of the CBD program</w:t>
      </w:r>
      <w:r w:rsidR="00E00254">
        <w:t>’s interactions</w:t>
      </w:r>
      <w:r>
        <w:t xml:space="preserve"> with the NSW Energy Saver Scheme (ESS) and Victorian Energy Efficiency Target (VEET) suggests that these programs are complementary</w:t>
      </w:r>
      <w:r w:rsidR="00CB3EC7">
        <w:t xml:space="preserve">. </w:t>
      </w:r>
      <w:r>
        <w:t xml:space="preserve">The CBD program is estimated to have reduced the cost of the </w:t>
      </w:r>
      <w:r w:rsidR="002654E5">
        <w:t>ESS</w:t>
      </w:r>
      <w:r>
        <w:t xml:space="preserve"> by </w:t>
      </w:r>
      <w:r w:rsidR="00E00254">
        <w:t xml:space="preserve">approximately </w:t>
      </w:r>
      <w:r>
        <w:t>$0.9 million per annum and the cost of the VEET scheme</w:t>
      </w:r>
      <w:r w:rsidR="002654E5">
        <w:t xml:space="preserve"> by </w:t>
      </w:r>
      <w:r w:rsidR="00E00254">
        <w:t xml:space="preserve">approximately </w:t>
      </w:r>
      <w:r w:rsidR="002654E5">
        <w:t>$0.5 million per annum.</w:t>
      </w:r>
    </w:p>
    <w:p w14:paraId="75C28CF1" w14:textId="77777777" w:rsidR="00307172" w:rsidRDefault="00307172" w:rsidP="004572F4">
      <w:pPr>
        <w:pStyle w:val="Heading2"/>
      </w:pPr>
      <w:bookmarkStart w:id="681" w:name="_Toc415660930"/>
      <w:r>
        <w:t>Likely impacts of continuing the program</w:t>
      </w:r>
      <w:bookmarkEnd w:id="681"/>
    </w:p>
    <w:p w14:paraId="43A5E825" w14:textId="77777777" w:rsidR="00307172" w:rsidRDefault="00307172" w:rsidP="00307172">
      <w:pPr>
        <w:pStyle w:val="Heading3"/>
      </w:pPr>
      <w:bookmarkStart w:id="682" w:name="_Toc415660931"/>
      <w:r>
        <w:t>NABERS</w:t>
      </w:r>
      <w:bookmarkEnd w:id="682"/>
    </w:p>
    <w:p w14:paraId="4EC7B12D" w14:textId="77777777" w:rsidR="00544F53" w:rsidRDefault="00544F53" w:rsidP="00307172">
      <w:pPr>
        <w:pStyle w:val="BodyText"/>
      </w:pPr>
      <w:r>
        <w:t xml:space="preserve">ACIL Allen’s </w:t>
      </w:r>
      <w:r w:rsidR="002D3877">
        <w:t>forward-looking</w:t>
      </w:r>
      <w:r>
        <w:t xml:space="preserve"> analysis </w:t>
      </w:r>
      <w:r w:rsidR="005F7F9C">
        <w:t xml:space="preserve">of the CBD program </w:t>
      </w:r>
      <w:r>
        <w:t xml:space="preserve">indicates that </w:t>
      </w:r>
      <w:r w:rsidR="006B7C5C">
        <w:t xml:space="preserve">it is likely that the NABERS component of the program </w:t>
      </w:r>
      <w:r>
        <w:t xml:space="preserve">will </w:t>
      </w:r>
      <w:r w:rsidR="006B7C5C">
        <w:t>continue to deliver</w:t>
      </w:r>
      <w:r>
        <w:t xml:space="preserve"> substantial net benefits</w:t>
      </w:r>
      <w:r w:rsidR="00CB3EC7">
        <w:t xml:space="preserve">. </w:t>
      </w:r>
      <w:r w:rsidR="005F7F9C">
        <w:t>Th</w:t>
      </w:r>
      <w:r w:rsidR="006B7C5C">
        <w:t>os</w:t>
      </w:r>
      <w:r w:rsidR="005F7F9C">
        <w:t>e net benefits (not including the value of GHG reductions) are estimated to be $53.3</w:t>
      </w:r>
      <w:r w:rsidR="006B7C5C">
        <w:t xml:space="preserve"> </w:t>
      </w:r>
      <w:r w:rsidR="005F7F9C">
        <w:t>m</w:t>
      </w:r>
      <w:r w:rsidR="006B7C5C">
        <w:t>illion</w:t>
      </w:r>
      <w:r w:rsidR="005F7F9C">
        <w:t xml:space="preserve"> in present value terms over the next five years</w:t>
      </w:r>
      <w:r w:rsidR="00606EE5">
        <w:t>,</w:t>
      </w:r>
      <w:r w:rsidR="005F7F9C">
        <w:t xml:space="preserve"> under a seven per cent real discount rate</w:t>
      </w:r>
      <w:r w:rsidR="00CB3EC7">
        <w:t xml:space="preserve">. </w:t>
      </w:r>
      <w:r w:rsidR="005F7F9C">
        <w:t xml:space="preserve">In addition, retaining the scheme will likely result in avoided GHG emissions of </w:t>
      </w:r>
      <w:r w:rsidR="00CA1BF3">
        <w:t>nearly 1,50</w:t>
      </w:r>
      <w:r w:rsidR="005F7F9C">
        <w:t>0</w:t>
      </w:r>
      <w:r w:rsidR="00CA1BF3">
        <w:t xml:space="preserve"> </w:t>
      </w:r>
      <w:r w:rsidR="005F7F9C">
        <w:t>ktCO</w:t>
      </w:r>
      <w:r w:rsidR="005F7F9C" w:rsidRPr="00A638B4">
        <w:rPr>
          <w:vertAlign w:val="subscript"/>
        </w:rPr>
        <w:t>2e</w:t>
      </w:r>
      <w:r w:rsidR="005F7F9C">
        <w:t>.</w:t>
      </w:r>
    </w:p>
    <w:p w14:paraId="5DE4EE1A" w14:textId="77777777" w:rsidR="00307172" w:rsidRDefault="00307172" w:rsidP="00307172">
      <w:pPr>
        <w:pStyle w:val="Heading3"/>
      </w:pPr>
      <w:bookmarkStart w:id="683" w:name="_Toc415660932"/>
      <w:r>
        <w:t>TLA</w:t>
      </w:r>
      <w:bookmarkEnd w:id="683"/>
    </w:p>
    <w:p w14:paraId="328F44B9" w14:textId="77777777" w:rsidR="00BD6E80" w:rsidRPr="00DB0E3E" w:rsidRDefault="00BD6E80" w:rsidP="00BD6E80">
      <w:pPr>
        <w:spacing w:line="280" w:lineRule="exact"/>
        <w:rPr>
          <w:rFonts w:ascii="Arial Narrow" w:hAnsi="Arial Narrow"/>
          <w:sz w:val="22"/>
          <w:szCs w:val="22"/>
          <w:lang w:eastAsia="en-AU"/>
        </w:rPr>
      </w:pPr>
      <w:r w:rsidRPr="00DB0E3E">
        <w:rPr>
          <w:rFonts w:ascii="Arial Narrow" w:hAnsi="Arial Narrow"/>
          <w:sz w:val="22"/>
          <w:szCs w:val="22"/>
          <w:lang w:eastAsia="en-AU"/>
        </w:rPr>
        <w:t>ACIL Allen estimated the Net Present Values for retaining the TLA under two cases</w:t>
      </w:r>
      <w:r w:rsidR="00CB3EC7" w:rsidRPr="00DB0E3E">
        <w:rPr>
          <w:rFonts w:ascii="Arial Narrow" w:hAnsi="Arial Narrow"/>
          <w:sz w:val="22"/>
          <w:szCs w:val="22"/>
          <w:lang w:eastAsia="en-AU"/>
        </w:rPr>
        <w:t>.</w:t>
      </w:r>
      <w:r w:rsidR="00CB3EC7">
        <w:rPr>
          <w:rFonts w:ascii="Arial Narrow" w:hAnsi="Arial Narrow"/>
          <w:sz w:val="22"/>
          <w:szCs w:val="22"/>
          <w:lang w:eastAsia="en-AU"/>
        </w:rPr>
        <w:t xml:space="preserve"> </w:t>
      </w:r>
      <w:r w:rsidRPr="00DB0E3E">
        <w:rPr>
          <w:rFonts w:ascii="Arial Narrow" w:hAnsi="Arial Narrow"/>
          <w:sz w:val="22"/>
          <w:szCs w:val="22"/>
          <w:lang w:eastAsia="en-AU"/>
        </w:rPr>
        <w:t>The first is based on retaining the TLA in its current form</w:t>
      </w:r>
      <w:r w:rsidR="00CB3EC7" w:rsidRPr="00DB0E3E">
        <w:rPr>
          <w:rFonts w:ascii="Arial Narrow" w:hAnsi="Arial Narrow"/>
          <w:sz w:val="22"/>
          <w:szCs w:val="22"/>
          <w:lang w:eastAsia="en-AU"/>
        </w:rPr>
        <w:t>.</w:t>
      </w:r>
      <w:r w:rsidR="00CB3EC7">
        <w:rPr>
          <w:rFonts w:ascii="Arial Narrow" w:hAnsi="Arial Narrow"/>
          <w:sz w:val="22"/>
          <w:szCs w:val="22"/>
          <w:lang w:eastAsia="en-AU"/>
        </w:rPr>
        <w:t xml:space="preserve"> </w:t>
      </w:r>
      <w:r w:rsidRPr="00DB0E3E">
        <w:rPr>
          <w:rFonts w:ascii="Arial Narrow" w:hAnsi="Arial Narrow"/>
          <w:sz w:val="22"/>
          <w:szCs w:val="22"/>
          <w:lang w:eastAsia="en-AU"/>
        </w:rPr>
        <w:t>The second is based on extending the validity period of the TLA from one year to five years</w:t>
      </w:r>
      <w:r w:rsidR="00CB3EC7" w:rsidRPr="00DB0E3E">
        <w:rPr>
          <w:rFonts w:ascii="Arial Narrow" w:hAnsi="Arial Narrow"/>
          <w:sz w:val="22"/>
          <w:szCs w:val="22"/>
          <w:lang w:eastAsia="en-AU"/>
        </w:rPr>
        <w:t>.</w:t>
      </w:r>
      <w:r w:rsidR="00CB3EC7">
        <w:rPr>
          <w:rFonts w:ascii="Arial Narrow" w:hAnsi="Arial Narrow"/>
          <w:sz w:val="22"/>
          <w:szCs w:val="22"/>
          <w:lang w:eastAsia="en-AU"/>
        </w:rPr>
        <w:t xml:space="preserve"> </w:t>
      </w:r>
      <w:r w:rsidRPr="00DB0E3E">
        <w:rPr>
          <w:rFonts w:ascii="Arial Narrow" w:hAnsi="Arial Narrow"/>
          <w:sz w:val="22"/>
          <w:szCs w:val="22"/>
          <w:lang w:eastAsia="en-AU"/>
        </w:rPr>
        <w:t>Extension of validity period is recommended as it is estimated to reduce industry burden (by approximately $2.0 million in PV terms)</w:t>
      </w:r>
      <w:r w:rsidR="00606EE5">
        <w:rPr>
          <w:rFonts w:ascii="Arial Narrow" w:hAnsi="Arial Narrow"/>
          <w:sz w:val="22"/>
          <w:szCs w:val="22"/>
          <w:lang w:eastAsia="en-AU"/>
        </w:rPr>
        <w:t>,</w:t>
      </w:r>
      <w:r w:rsidRPr="00DB0E3E">
        <w:rPr>
          <w:rFonts w:ascii="Arial Narrow" w:hAnsi="Arial Narrow"/>
          <w:sz w:val="22"/>
          <w:szCs w:val="22"/>
          <w:lang w:eastAsia="en-AU"/>
        </w:rPr>
        <w:t xml:space="preserve"> with negligible impact to the scheme’s effectiveness</w:t>
      </w:r>
      <w:r w:rsidR="00CB3EC7" w:rsidRPr="00DB0E3E">
        <w:rPr>
          <w:rFonts w:ascii="Arial Narrow" w:hAnsi="Arial Narrow"/>
          <w:sz w:val="22"/>
          <w:szCs w:val="22"/>
          <w:lang w:eastAsia="en-AU"/>
        </w:rPr>
        <w:t>.</w:t>
      </w:r>
      <w:r w:rsidR="00CB3EC7">
        <w:rPr>
          <w:rFonts w:ascii="Arial Narrow" w:hAnsi="Arial Narrow"/>
          <w:sz w:val="22"/>
          <w:szCs w:val="22"/>
          <w:lang w:eastAsia="en-AU"/>
        </w:rPr>
        <w:t xml:space="preserve"> </w:t>
      </w:r>
    </w:p>
    <w:p w14:paraId="3D4C288D" w14:textId="77777777" w:rsidR="001E15E7" w:rsidRDefault="005F7F9C" w:rsidP="00307172">
      <w:pPr>
        <w:pStyle w:val="BodyText"/>
      </w:pPr>
      <w:r>
        <w:t xml:space="preserve">ACIL Allen’s analysis suggests that retaining the TLA in its current form will generate a Net Present Value of </w:t>
      </w:r>
      <w:r w:rsidR="00DA4F72">
        <w:t xml:space="preserve">minus </w:t>
      </w:r>
      <w:r>
        <w:t>$3.9</w:t>
      </w:r>
      <w:r w:rsidR="006B7C5C">
        <w:t xml:space="preserve"> </w:t>
      </w:r>
      <w:r>
        <w:t>m</w:t>
      </w:r>
      <w:r w:rsidR="006B7C5C">
        <w:t>illion</w:t>
      </w:r>
      <w:r>
        <w:t xml:space="preserve"> over the next five years (under a seven per cent real discount rate) excluding the value of GHG reduct</w:t>
      </w:r>
      <w:r w:rsidR="001E15E7">
        <w:t>ion and a NPV of $6.9 million including the GHG benefits (at $23/tCO</w:t>
      </w:r>
      <w:r w:rsidR="001E15E7" w:rsidRPr="00A638B4">
        <w:rPr>
          <w:vertAlign w:val="subscript"/>
        </w:rPr>
        <w:t>2</w:t>
      </w:r>
      <w:r w:rsidR="009E791E">
        <w:t>-e</w:t>
      </w:r>
      <w:r w:rsidR="001E15E7">
        <w:t>).</w:t>
      </w:r>
    </w:p>
    <w:p w14:paraId="2DBC7DAB" w14:textId="77777777" w:rsidR="00BD6E80" w:rsidRDefault="00BD6E80" w:rsidP="00DB0E3E">
      <w:pPr>
        <w:spacing w:line="280" w:lineRule="exact"/>
      </w:pPr>
      <w:r w:rsidRPr="005611E3">
        <w:rPr>
          <w:rFonts w:ascii="Arial Narrow" w:hAnsi="Arial Narrow"/>
          <w:sz w:val="22"/>
          <w:szCs w:val="22"/>
          <w:lang w:eastAsia="en-AU"/>
        </w:rPr>
        <w:t>ACIL Allen’s analysis suggests that if the validity period of the TLA is extended to five years, these NPV estimates improve to minus $1.9 million excluding the value of GHG reduction, and $8.9 million including the GHG benefits (at $23/tCO</w:t>
      </w:r>
      <w:r w:rsidRPr="005611E3">
        <w:rPr>
          <w:rFonts w:ascii="Arial Narrow" w:hAnsi="Arial Narrow"/>
          <w:sz w:val="22"/>
          <w:szCs w:val="22"/>
          <w:vertAlign w:val="subscript"/>
          <w:lang w:eastAsia="en-AU"/>
        </w:rPr>
        <w:t>2</w:t>
      </w:r>
      <w:r w:rsidRPr="005611E3">
        <w:rPr>
          <w:rFonts w:ascii="Arial Narrow" w:hAnsi="Arial Narrow"/>
          <w:sz w:val="22"/>
          <w:szCs w:val="22"/>
          <w:lang w:eastAsia="en-AU"/>
        </w:rPr>
        <w:t>-e).</w:t>
      </w:r>
    </w:p>
    <w:p w14:paraId="332DD7CC" w14:textId="77777777" w:rsidR="00307172" w:rsidRDefault="006B7C5C" w:rsidP="00307172">
      <w:pPr>
        <w:pStyle w:val="BodyText"/>
      </w:pPr>
      <w:r>
        <w:t>However, t</w:t>
      </w:r>
      <w:r w:rsidR="001E15E7">
        <w:t>he net benefits</w:t>
      </w:r>
      <w:r w:rsidR="00CA1BF3">
        <w:t xml:space="preserve"> of retaining the TLA</w:t>
      </w:r>
      <w:r w:rsidR="001E15E7">
        <w:t xml:space="preserve"> </w:t>
      </w:r>
      <w:r>
        <w:t xml:space="preserve">are </w:t>
      </w:r>
      <w:r w:rsidR="001E15E7">
        <w:t xml:space="preserve">likely </w:t>
      </w:r>
      <w:r>
        <w:t xml:space="preserve">to </w:t>
      </w:r>
      <w:r w:rsidR="001E15E7">
        <w:t xml:space="preserve">be significantly higher if measures that accelerate awareness and </w:t>
      </w:r>
      <w:r>
        <w:t xml:space="preserve">understanding </w:t>
      </w:r>
      <w:r w:rsidR="001E15E7">
        <w:t xml:space="preserve">of </w:t>
      </w:r>
      <w:r>
        <w:t xml:space="preserve">the </w:t>
      </w:r>
      <w:r w:rsidR="001E15E7">
        <w:t xml:space="preserve">TLA by tenants and reduce compliance costs are adopted (see the recommendations in Section </w:t>
      </w:r>
      <w:r w:rsidR="00492194">
        <w:fldChar w:fldCharType="begin"/>
      </w:r>
      <w:r w:rsidR="001E15E7">
        <w:instrText xml:space="preserve"> REF _Ref409793046 \r \h </w:instrText>
      </w:r>
      <w:r w:rsidR="00492194">
        <w:fldChar w:fldCharType="separate"/>
      </w:r>
      <w:r w:rsidR="006A273E">
        <w:t>7.3.4</w:t>
      </w:r>
      <w:r w:rsidR="00492194">
        <w:fldChar w:fldCharType="end"/>
      </w:r>
      <w:r w:rsidR="001E15E7">
        <w:t>).</w:t>
      </w:r>
    </w:p>
    <w:p w14:paraId="00BC7C50" w14:textId="77777777" w:rsidR="00D01D25" w:rsidRDefault="00D01D25" w:rsidP="00D01D25">
      <w:pPr>
        <w:pStyle w:val="Heading3"/>
      </w:pPr>
      <w:bookmarkStart w:id="684" w:name="_Toc415660933"/>
      <w:r>
        <w:t>Energy and GHG reductions</w:t>
      </w:r>
      <w:bookmarkEnd w:id="684"/>
      <w:r>
        <w:t xml:space="preserve"> </w:t>
      </w:r>
    </w:p>
    <w:p w14:paraId="59F9BC50" w14:textId="77777777" w:rsidR="00D01D25" w:rsidRDefault="007A240C" w:rsidP="00D01D25">
      <w:pPr>
        <w:pStyle w:val="BodyText"/>
      </w:pPr>
      <w:r>
        <w:t>The benefits of retaining the CBD program accrue from reductions in energy consumption and GHG emissions</w:t>
      </w:r>
      <w:r w:rsidR="00CB3EC7">
        <w:t xml:space="preserve">. </w:t>
      </w:r>
      <w:r w:rsidR="00492194">
        <w:fldChar w:fldCharType="begin"/>
      </w:r>
      <w:r w:rsidR="00AB5DDA">
        <w:instrText xml:space="preserve"> REF _Ref411436854 \h </w:instrText>
      </w:r>
      <w:r w:rsidR="00492194">
        <w:fldChar w:fldCharType="separate"/>
      </w:r>
      <w:r w:rsidR="006A273E">
        <w:t xml:space="preserve">Table </w:t>
      </w:r>
      <w:r w:rsidR="006A273E">
        <w:rPr>
          <w:noProof/>
        </w:rPr>
        <w:t>24</w:t>
      </w:r>
      <w:r w:rsidR="00492194">
        <w:fldChar w:fldCharType="end"/>
      </w:r>
      <w:r w:rsidR="00D01D25">
        <w:t xml:space="preserve"> below compares energy and GHG reductions from continuing the program</w:t>
      </w:r>
      <w:r w:rsidR="00606EE5">
        <w:t>,</w:t>
      </w:r>
      <w:r w:rsidR="004B7E45">
        <w:t xml:space="preserve"> based on retaining the current 2,000 m</w:t>
      </w:r>
      <w:r w:rsidR="004B7E45" w:rsidRPr="00DB0E3E">
        <w:rPr>
          <w:vertAlign w:val="superscript"/>
        </w:rPr>
        <w:t>2</w:t>
      </w:r>
      <w:r w:rsidR="004B7E45">
        <w:t xml:space="preserve"> disclosure threshold and from lowering the threshold to 1,000 m</w:t>
      </w:r>
      <w:r w:rsidR="004B7E45" w:rsidRPr="00DB0E3E">
        <w:rPr>
          <w:vertAlign w:val="superscript"/>
        </w:rPr>
        <w:t>2</w:t>
      </w:r>
      <w:r w:rsidR="00D01D25">
        <w:t>.</w:t>
      </w:r>
    </w:p>
    <w:p w14:paraId="5CBA2C31" w14:textId="77777777" w:rsidR="00D01D25" w:rsidRDefault="00D01D25" w:rsidP="00D01D25">
      <w:pPr>
        <w:pStyle w:val="Caption"/>
        <w:rPr>
          <w:rStyle w:val="CaptionLabel"/>
          <w:rFonts w:asciiTheme="minorHAnsi" w:hAnsiTheme="minorHAnsi" w:cs="Times New Roman"/>
          <w:sz w:val="22"/>
          <w:szCs w:val="22"/>
          <w:lang w:eastAsia="en-AU"/>
        </w:rPr>
      </w:pPr>
      <w:bookmarkStart w:id="685" w:name="_Ref411436854"/>
      <w:bookmarkStart w:id="686" w:name="_Toc415661031"/>
      <w:r>
        <w:lastRenderedPageBreak/>
        <w:t xml:space="preserve">Table </w:t>
      </w:r>
      <w:r w:rsidR="00492194">
        <w:fldChar w:fldCharType="begin"/>
      </w:r>
      <w:r w:rsidR="0044208C">
        <w:instrText xml:space="preserve"> SEQ Table \* ARABIC </w:instrText>
      </w:r>
      <w:r w:rsidR="00492194">
        <w:fldChar w:fldCharType="separate"/>
      </w:r>
      <w:r w:rsidR="006A273E">
        <w:rPr>
          <w:noProof/>
        </w:rPr>
        <w:t>24</w:t>
      </w:r>
      <w:r w:rsidR="00492194">
        <w:rPr>
          <w:noProof/>
        </w:rPr>
        <w:fldChar w:fldCharType="end"/>
      </w:r>
      <w:bookmarkEnd w:id="685"/>
      <w:r w:rsidRPr="008357FB">
        <w:rPr>
          <w:rStyle w:val="CaptionLabel"/>
        </w:rPr>
        <w:tab/>
      </w:r>
      <w:r>
        <w:rPr>
          <w:b/>
          <w:color w:val="000000"/>
        </w:rPr>
        <w:t xml:space="preserve">Energy and GHG reduction </w:t>
      </w:r>
      <w:r w:rsidR="00AB5DDA">
        <w:rPr>
          <w:b/>
          <w:color w:val="000000"/>
        </w:rPr>
        <w:t>from continuing the program</w:t>
      </w:r>
      <w:bookmarkEnd w:id="686"/>
    </w:p>
    <w:tbl>
      <w:tblPr>
        <w:tblW w:w="7202" w:type="dxa"/>
        <w:tblInd w:w="28"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3516"/>
        <w:gridCol w:w="1914"/>
        <w:gridCol w:w="1772"/>
      </w:tblGrid>
      <w:tr w:rsidR="00D01D25" w14:paraId="5F3FBECE" w14:textId="77777777">
        <w:trPr>
          <w:cantSplit/>
        </w:trPr>
        <w:tc>
          <w:tcPr>
            <w:tcW w:w="3516" w:type="dxa"/>
            <w:tcBorders>
              <w:top w:val="nil"/>
            </w:tcBorders>
            <w:shd w:val="solid" w:color="9757A6" w:fill="auto"/>
            <w:vAlign w:val="center"/>
          </w:tcPr>
          <w:p w14:paraId="6D3E4504" w14:textId="77777777" w:rsidR="00D01D25" w:rsidRDefault="00D01D25" w:rsidP="0008364A">
            <w:pPr>
              <w:pStyle w:val="Tablecolumnheadings"/>
            </w:pPr>
            <w:r>
              <w:t>Item</w:t>
            </w:r>
          </w:p>
        </w:tc>
        <w:tc>
          <w:tcPr>
            <w:tcW w:w="1914" w:type="dxa"/>
            <w:tcBorders>
              <w:top w:val="nil"/>
            </w:tcBorders>
            <w:shd w:val="solid" w:color="9757A6" w:fill="auto"/>
            <w:vAlign w:val="center"/>
          </w:tcPr>
          <w:p w14:paraId="08EA95E7" w14:textId="77777777" w:rsidR="00D01D25" w:rsidRDefault="00DC43A0" w:rsidP="0095223F">
            <w:pPr>
              <w:pStyle w:val="Tablecolumnheadings"/>
              <w:jc w:val="center"/>
            </w:pPr>
            <w:r>
              <w:t>Retaining 2,000 m</w:t>
            </w:r>
            <w:r w:rsidRPr="00DB0E3E">
              <w:rPr>
                <w:vertAlign w:val="superscript"/>
              </w:rPr>
              <w:t>2</w:t>
            </w:r>
            <w:r>
              <w:t xml:space="preserve"> disclosure threshold</w:t>
            </w:r>
          </w:p>
        </w:tc>
        <w:tc>
          <w:tcPr>
            <w:tcW w:w="1772" w:type="dxa"/>
            <w:tcBorders>
              <w:top w:val="nil"/>
            </w:tcBorders>
            <w:shd w:val="solid" w:color="9757A6" w:fill="auto"/>
            <w:vAlign w:val="center"/>
          </w:tcPr>
          <w:p w14:paraId="2A8584AE" w14:textId="77777777" w:rsidR="00D01D25" w:rsidRDefault="00DC43A0" w:rsidP="00626CDA">
            <w:pPr>
              <w:pStyle w:val="Tablecolumnheadings"/>
              <w:jc w:val="center"/>
            </w:pPr>
            <w:r>
              <w:t>Lowering disclosure threshold to 1,000 m</w:t>
            </w:r>
            <w:r w:rsidRPr="00DB0E3E">
              <w:rPr>
                <w:vertAlign w:val="superscript"/>
              </w:rPr>
              <w:t>2</w:t>
            </w:r>
          </w:p>
        </w:tc>
      </w:tr>
      <w:tr w:rsidR="00A564C3" w14:paraId="2206CDAF" w14:textId="77777777">
        <w:trPr>
          <w:cantSplit/>
        </w:trPr>
        <w:tc>
          <w:tcPr>
            <w:tcW w:w="3516" w:type="dxa"/>
            <w:shd w:val="clear" w:color="auto" w:fill="auto"/>
            <w:vAlign w:val="center"/>
          </w:tcPr>
          <w:p w14:paraId="2B87DC7F" w14:textId="54A33D2E" w:rsidR="00A564C3" w:rsidRDefault="00A564C3" w:rsidP="00FD41DC">
            <w:pPr>
              <w:pStyle w:val="Tabletext"/>
            </w:pPr>
            <w:r>
              <w:t xml:space="preserve">Energy </w:t>
            </w:r>
            <w:proofErr w:type="spellStart"/>
            <w:r>
              <w:t>reduction</w:t>
            </w:r>
            <w:r w:rsidR="00564FD1">
              <w:rPr>
                <w:rStyle w:val="Notelabel"/>
              </w:rPr>
              <w:t>a</w:t>
            </w:r>
            <w:proofErr w:type="spellEnd"/>
            <w:r>
              <w:t xml:space="preserve"> from NABERS component</w:t>
            </w:r>
          </w:p>
        </w:tc>
        <w:tc>
          <w:tcPr>
            <w:tcW w:w="1914" w:type="dxa"/>
            <w:shd w:val="clear" w:color="auto" w:fill="auto"/>
          </w:tcPr>
          <w:p w14:paraId="1622D10D" w14:textId="77777777" w:rsidR="00A564C3" w:rsidRDefault="00A564C3" w:rsidP="00A564C3">
            <w:pPr>
              <w:pStyle w:val="Tabletext"/>
              <w:jc w:val="center"/>
            </w:pPr>
            <w:r w:rsidRPr="00AB5DDA">
              <w:t>12,122</w:t>
            </w:r>
            <w:r>
              <w:t xml:space="preserve"> TJ</w:t>
            </w:r>
          </w:p>
        </w:tc>
        <w:tc>
          <w:tcPr>
            <w:tcW w:w="1772" w:type="dxa"/>
            <w:vAlign w:val="bottom"/>
          </w:tcPr>
          <w:p w14:paraId="50BA9C30" w14:textId="77777777" w:rsidR="00A564C3" w:rsidRPr="0027527B" w:rsidRDefault="00514791">
            <w:pPr>
              <w:pStyle w:val="Tabletext"/>
              <w:jc w:val="center"/>
            </w:pPr>
            <w:r>
              <w:t>15</w:t>
            </w:r>
            <w:r w:rsidR="00CA1B10">
              <w:t>,</w:t>
            </w:r>
            <w:r>
              <w:t>806 TJ</w:t>
            </w:r>
          </w:p>
        </w:tc>
      </w:tr>
      <w:tr w:rsidR="00A564C3" w14:paraId="0DC90C12" w14:textId="77777777">
        <w:trPr>
          <w:cantSplit/>
        </w:trPr>
        <w:tc>
          <w:tcPr>
            <w:tcW w:w="3516" w:type="dxa"/>
            <w:tcBorders>
              <w:bottom w:val="single" w:sz="2" w:space="0" w:color="C0C0C0"/>
            </w:tcBorders>
            <w:shd w:val="clear" w:color="auto" w:fill="auto"/>
            <w:vAlign w:val="center"/>
          </w:tcPr>
          <w:p w14:paraId="7A0D69CB" w14:textId="156EF56A" w:rsidR="00A564C3" w:rsidRDefault="00A564C3" w:rsidP="00FD41DC">
            <w:pPr>
              <w:pStyle w:val="Tabletext"/>
            </w:pPr>
            <w:r>
              <w:t xml:space="preserve">Energy </w:t>
            </w:r>
            <w:proofErr w:type="spellStart"/>
            <w:r>
              <w:t>reduction</w:t>
            </w:r>
            <w:r w:rsidR="00564FD1">
              <w:rPr>
                <w:rStyle w:val="Notelabel"/>
              </w:rPr>
              <w:t>a</w:t>
            </w:r>
            <w:proofErr w:type="spellEnd"/>
            <w:r>
              <w:t xml:space="preserve"> from TLA component</w:t>
            </w:r>
          </w:p>
        </w:tc>
        <w:tc>
          <w:tcPr>
            <w:tcW w:w="1914" w:type="dxa"/>
            <w:tcBorders>
              <w:bottom w:val="single" w:sz="2" w:space="0" w:color="C0C0C0"/>
            </w:tcBorders>
            <w:shd w:val="clear" w:color="auto" w:fill="auto"/>
          </w:tcPr>
          <w:p w14:paraId="6FA08BED" w14:textId="77777777" w:rsidR="00A564C3" w:rsidRDefault="00A564C3" w:rsidP="00A564C3">
            <w:pPr>
              <w:pStyle w:val="Tabletext"/>
              <w:jc w:val="center"/>
            </w:pPr>
            <w:r w:rsidRPr="00AB5DDA">
              <w:t>679</w:t>
            </w:r>
            <w:r>
              <w:t xml:space="preserve"> </w:t>
            </w:r>
            <w:proofErr w:type="spellStart"/>
            <w:r>
              <w:t>GWh</w:t>
            </w:r>
            <w:proofErr w:type="spellEnd"/>
          </w:p>
        </w:tc>
        <w:tc>
          <w:tcPr>
            <w:tcW w:w="1772" w:type="dxa"/>
            <w:tcBorders>
              <w:bottom w:val="single" w:sz="2" w:space="0" w:color="C0C0C0"/>
            </w:tcBorders>
            <w:vAlign w:val="bottom"/>
          </w:tcPr>
          <w:p w14:paraId="7D24F49C" w14:textId="77777777" w:rsidR="00A564C3" w:rsidRPr="0027527B" w:rsidRDefault="00A564C3" w:rsidP="0095223F">
            <w:pPr>
              <w:pStyle w:val="Tabletext"/>
              <w:jc w:val="center"/>
            </w:pPr>
            <w:r w:rsidRPr="00DB0E3E">
              <w:t xml:space="preserve">679 </w:t>
            </w:r>
            <w:proofErr w:type="spellStart"/>
            <w:r>
              <w:t>GWh</w:t>
            </w:r>
            <w:proofErr w:type="spellEnd"/>
          </w:p>
        </w:tc>
      </w:tr>
      <w:tr w:rsidR="00A564C3" w14:paraId="4E0A3D04" w14:textId="77777777">
        <w:trPr>
          <w:cantSplit/>
        </w:trPr>
        <w:tc>
          <w:tcPr>
            <w:tcW w:w="3516" w:type="dxa"/>
            <w:tcBorders>
              <w:top w:val="single" w:sz="2" w:space="0" w:color="C0C0C0"/>
              <w:bottom w:val="single" w:sz="2" w:space="0" w:color="C0C0C0"/>
            </w:tcBorders>
            <w:shd w:val="clear" w:color="auto" w:fill="auto"/>
            <w:vAlign w:val="center"/>
          </w:tcPr>
          <w:p w14:paraId="74E0CAB4" w14:textId="77777777" w:rsidR="00A564C3" w:rsidRDefault="00A564C3" w:rsidP="00FD41DC">
            <w:pPr>
              <w:pStyle w:val="Tabletext"/>
            </w:pPr>
            <w:r>
              <w:rPr>
                <w:b/>
              </w:rPr>
              <w:t>Total energy reduction</w:t>
            </w:r>
            <w:r w:rsidR="0008364A">
              <w:rPr>
                <w:b/>
              </w:rPr>
              <w:t xml:space="preserve"> </w:t>
            </w:r>
            <w:r w:rsidR="00564FD1">
              <w:rPr>
                <w:rStyle w:val="Notelabel"/>
              </w:rPr>
              <w:t>a</w:t>
            </w:r>
          </w:p>
        </w:tc>
        <w:tc>
          <w:tcPr>
            <w:tcW w:w="1914" w:type="dxa"/>
            <w:tcBorders>
              <w:top w:val="single" w:sz="2" w:space="0" w:color="C0C0C0"/>
              <w:bottom w:val="single" w:sz="2" w:space="0" w:color="C0C0C0"/>
            </w:tcBorders>
            <w:shd w:val="clear" w:color="auto" w:fill="auto"/>
            <w:vAlign w:val="center"/>
          </w:tcPr>
          <w:p w14:paraId="6ECD561F" w14:textId="77777777" w:rsidR="00A564C3" w:rsidRPr="00487E6D" w:rsidRDefault="00514791" w:rsidP="00A564C3">
            <w:pPr>
              <w:pStyle w:val="Tabletext"/>
              <w:jc w:val="center"/>
              <w:rPr>
                <w:b/>
              </w:rPr>
            </w:pPr>
            <w:r>
              <w:rPr>
                <w:b/>
              </w:rPr>
              <w:t xml:space="preserve">14,565 TJ </w:t>
            </w:r>
            <w:proofErr w:type="spellStart"/>
            <w:r w:rsidR="00A564C3">
              <w:rPr>
                <w:b/>
              </w:rPr>
              <w:t>TJ</w:t>
            </w:r>
            <w:proofErr w:type="spellEnd"/>
          </w:p>
        </w:tc>
        <w:tc>
          <w:tcPr>
            <w:tcW w:w="1772" w:type="dxa"/>
            <w:tcBorders>
              <w:top w:val="single" w:sz="2" w:space="0" w:color="C0C0C0"/>
              <w:bottom w:val="single" w:sz="2" w:space="0" w:color="C0C0C0"/>
            </w:tcBorders>
            <w:vAlign w:val="bottom"/>
          </w:tcPr>
          <w:p w14:paraId="566DD17B" w14:textId="77777777" w:rsidR="00A564C3" w:rsidRPr="0095223F" w:rsidRDefault="00514791" w:rsidP="0095223F">
            <w:pPr>
              <w:pStyle w:val="Tabletext"/>
              <w:jc w:val="center"/>
              <w:rPr>
                <w:b/>
              </w:rPr>
            </w:pPr>
            <w:r>
              <w:rPr>
                <w:b/>
              </w:rPr>
              <w:t>18</w:t>
            </w:r>
            <w:r w:rsidR="00CA1B10">
              <w:rPr>
                <w:b/>
              </w:rPr>
              <w:t>,</w:t>
            </w:r>
            <w:r>
              <w:rPr>
                <w:b/>
              </w:rPr>
              <w:t xml:space="preserve">250 TJ </w:t>
            </w:r>
          </w:p>
        </w:tc>
      </w:tr>
      <w:tr w:rsidR="00A564C3" w14:paraId="0CC9EBDF" w14:textId="77777777">
        <w:trPr>
          <w:cantSplit/>
        </w:trPr>
        <w:tc>
          <w:tcPr>
            <w:tcW w:w="3516" w:type="dxa"/>
            <w:tcBorders>
              <w:top w:val="single" w:sz="2" w:space="0" w:color="C0C0C0"/>
              <w:bottom w:val="single" w:sz="2" w:space="0" w:color="C0C0C0"/>
            </w:tcBorders>
            <w:shd w:val="clear" w:color="auto" w:fill="auto"/>
            <w:vAlign w:val="center"/>
          </w:tcPr>
          <w:p w14:paraId="79D39A6A" w14:textId="77777777" w:rsidR="00A564C3" w:rsidRPr="00836ACA" w:rsidRDefault="00A564C3" w:rsidP="00A564C3">
            <w:pPr>
              <w:pStyle w:val="Tabletext"/>
            </w:pPr>
            <w:r>
              <w:t>GHG reduction from NABERS component</w:t>
            </w:r>
          </w:p>
        </w:tc>
        <w:tc>
          <w:tcPr>
            <w:tcW w:w="1914" w:type="dxa"/>
            <w:tcBorders>
              <w:top w:val="single" w:sz="2" w:space="0" w:color="C0C0C0"/>
              <w:bottom w:val="single" w:sz="2" w:space="0" w:color="C0C0C0"/>
            </w:tcBorders>
            <w:shd w:val="clear" w:color="auto" w:fill="auto"/>
            <w:vAlign w:val="center"/>
          </w:tcPr>
          <w:p w14:paraId="45D7DE27" w14:textId="77777777" w:rsidR="00A564C3" w:rsidRPr="00836ACA" w:rsidRDefault="00A564C3" w:rsidP="00A564C3">
            <w:pPr>
              <w:pStyle w:val="Tabletext"/>
              <w:jc w:val="center"/>
            </w:pPr>
            <w:r w:rsidRPr="0087197B">
              <w:t>2,504</w:t>
            </w:r>
            <w:r>
              <w:t xml:space="preserve"> tCO</w:t>
            </w:r>
            <w:r w:rsidRPr="00DB0E3E">
              <w:rPr>
                <w:vertAlign w:val="subscript"/>
              </w:rPr>
              <w:t>2</w:t>
            </w:r>
            <w:r>
              <w:t>-e</w:t>
            </w:r>
          </w:p>
        </w:tc>
        <w:tc>
          <w:tcPr>
            <w:tcW w:w="1772" w:type="dxa"/>
            <w:tcBorders>
              <w:top w:val="single" w:sz="2" w:space="0" w:color="C0C0C0"/>
              <w:bottom w:val="single" w:sz="2" w:space="0" w:color="C0C0C0"/>
            </w:tcBorders>
            <w:vAlign w:val="bottom"/>
          </w:tcPr>
          <w:p w14:paraId="05724B93" w14:textId="77777777" w:rsidR="00A564C3" w:rsidRPr="00836ACA" w:rsidRDefault="00514791" w:rsidP="0095223F">
            <w:pPr>
              <w:pStyle w:val="Tabletext"/>
              <w:jc w:val="center"/>
            </w:pPr>
            <w:r>
              <w:t>3</w:t>
            </w:r>
            <w:r w:rsidR="00CA1B10">
              <w:t>,</w:t>
            </w:r>
            <w:r>
              <w:t xml:space="preserve">212 </w:t>
            </w:r>
            <w:r w:rsidR="00A564C3">
              <w:t>tCO</w:t>
            </w:r>
            <w:r w:rsidR="00A564C3" w:rsidRPr="00835F5A">
              <w:rPr>
                <w:vertAlign w:val="subscript"/>
              </w:rPr>
              <w:t>2</w:t>
            </w:r>
            <w:r w:rsidR="00A564C3">
              <w:t>-e</w:t>
            </w:r>
          </w:p>
        </w:tc>
      </w:tr>
      <w:tr w:rsidR="00A564C3" w14:paraId="41E58463" w14:textId="77777777">
        <w:trPr>
          <w:cantSplit/>
        </w:trPr>
        <w:tc>
          <w:tcPr>
            <w:tcW w:w="3516" w:type="dxa"/>
            <w:tcBorders>
              <w:top w:val="single" w:sz="2" w:space="0" w:color="C0C0C0"/>
              <w:bottom w:val="single" w:sz="2" w:space="0" w:color="C0C0C0"/>
            </w:tcBorders>
            <w:shd w:val="clear" w:color="auto" w:fill="auto"/>
            <w:vAlign w:val="center"/>
          </w:tcPr>
          <w:p w14:paraId="396A7698" w14:textId="77777777" w:rsidR="00A564C3" w:rsidRPr="00836ACA" w:rsidRDefault="00A564C3" w:rsidP="0095223F">
            <w:pPr>
              <w:pStyle w:val="Tabletext"/>
            </w:pPr>
            <w:r>
              <w:t>GHG reduction from TLA component</w:t>
            </w:r>
          </w:p>
        </w:tc>
        <w:tc>
          <w:tcPr>
            <w:tcW w:w="1914" w:type="dxa"/>
            <w:tcBorders>
              <w:top w:val="single" w:sz="2" w:space="0" w:color="C0C0C0"/>
              <w:bottom w:val="single" w:sz="2" w:space="0" w:color="C0C0C0"/>
            </w:tcBorders>
            <w:shd w:val="clear" w:color="auto" w:fill="auto"/>
            <w:vAlign w:val="center"/>
          </w:tcPr>
          <w:p w14:paraId="445481FB" w14:textId="77777777" w:rsidR="00A564C3" w:rsidRPr="00836ACA" w:rsidRDefault="00A564C3" w:rsidP="00A564C3">
            <w:pPr>
              <w:pStyle w:val="Tabletext"/>
              <w:jc w:val="center"/>
            </w:pPr>
            <w:r>
              <w:t>612 tCO</w:t>
            </w:r>
            <w:r w:rsidRPr="00835F5A">
              <w:rPr>
                <w:vertAlign w:val="subscript"/>
              </w:rPr>
              <w:t>2</w:t>
            </w:r>
            <w:r>
              <w:t>-e</w:t>
            </w:r>
          </w:p>
        </w:tc>
        <w:tc>
          <w:tcPr>
            <w:tcW w:w="1772" w:type="dxa"/>
            <w:tcBorders>
              <w:top w:val="single" w:sz="2" w:space="0" w:color="C0C0C0"/>
              <w:bottom w:val="single" w:sz="2" w:space="0" w:color="C0C0C0"/>
            </w:tcBorders>
            <w:vAlign w:val="bottom"/>
          </w:tcPr>
          <w:p w14:paraId="790B4F13" w14:textId="77777777" w:rsidR="00A564C3" w:rsidRPr="00836ACA" w:rsidRDefault="00A564C3" w:rsidP="0095223F">
            <w:pPr>
              <w:pStyle w:val="Tabletext"/>
              <w:jc w:val="center"/>
            </w:pPr>
            <w:r w:rsidRPr="00DB0E3E">
              <w:t xml:space="preserve">612 </w:t>
            </w:r>
            <w:r>
              <w:t>tCO</w:t>
            </w:r>
            <w:r w:rsidRPr="00835F5A">
              <w:rPr>
                <w:vertAlign w:val="subscript"/>
              </w:rPr>
              <w:t>2</w:t>
            </w:r>
            <w:r>
              <w:t>-e</w:t>
            </w:r>
          </w:p>
        </w:tc>
      </w:tr>
      <w:tr w:rsidR="00A564C3" w14:paraId="3643E6BC" w14:textId="77777777">
        <w:trPr>
          <w:cantSplit/>
        </w:trPr>
        <w:tc>
          <w:tcPr>
            <w:tcW w:w="3516" w:type="dxa"/>
            <w:tcBorders>
              <w:top w:val="single" w:sz="2" w:space="0" w:color="C0C0C0"/>
              <w:bottom w:val="single" w:sz="2" w:space="0" w:color="999999"/>
            </w:tcBorders>
            <w:shd w:val="clear" w:color="auto" w:fill="auto"/>
            <w:vAlign w:val="center"/>
          </w:tcPr>
          <w:p w14:paraId="1D14A6CE" w14:textId="77777777" w:rsidR="00A564C3" w:rsidRPr="00836ACA" w:rsidRDefault="00A564C3" w:rsidP="00A564C3">
            <w:pPr>
              <w:pStyle w:val="Tabletext"/>
            </w:pPr>
            <w:r>
              <w:rPr>
                <w:b/>
              </w:rPr>
              <w:t>Total GHG reduction</w:t>
            </w:r>
          </w:p>
        </w:tc>
        <w:tc>
          <w:tcPr>
            <w:tcW w:w="1914" w:type="dxa"/>
            <w:tcBorders>
              <w:top w:val="single" w:sz="2" w:space="0" w:color="C0C0C0"/>
              <w:bottom w:val="single" w:sz="2" w:space="0" w:color="999999"/>
            </w:tcBorders>
            <w:shd w:val="clear" w:color="auto" w:fill="auto"/>
            <w:vAlign w:val="center"/>
          </w:tcPr>
          <w:p w14:paraId="3C4FE256" w14:textId="77777777" w:rsidR="00A564C3" w:rsidRPr="00DB0E3E" w:rsidRDefault="00A564C3" w:rsidP="0095223F">
            <w:pPr>
              <w:pStyle w:val="Tabletext"/>
              <w:jc w:val="center"/>
              <w:rPr>
                <w:b/>
              </w:rPr>
            </w:pPr>
            <w:r w:rsidRPr="00DB0E3E">
              <w:rPr>
                <w:b/>
              </w:rPr>
              <w:t>3,116 tCO2-e</w:t>
            </w:r>
          </w:p>
        </w:tc>
        <w:tc>
          <w:tcPr>
            <w:tcW w:w="1772" w:type="dxa"/>
            <w:tcBorders>
              <w:top w:val="single" w:sz="2" w:space="0" w:color="C0C0C0"/>
              <w:bottom w:val="single" w:sz="2" w:space="0" w:color="999999"/>
            </w:tcBorders>
            <w:vAlign w:val="bottom"/>
          </w:tcPr>
          <w:p w14:paraId="5FAACB3E" w14:textId="77777777" w:rsidR="00A564C3" w:rsidRPr="0095223F" w:rsidRDefault="00514791" w:rsidP="00626CDA">
            <w:pPr>
              <w:pStyle w:val="Tabletext"/>
              <w:jc w:val="center"/>
              <w:rPr>
                <w:b/>
              </w:rPr>
            </w:pPr>
            <w:r>
              <w:rPr>
                <w:b/>
              </w:rPr>
              <w:t>3</w:t>
            </w:r>
            <w:r w:rsidR="00CA1B10">
              <w:rPr>
                <w:b/>
              </w:rPr>
              <w:t>,</w:t>
            </w:r>
            <w:r>
              <w:rPr>
                <w:b/>
              </w:rPr>
              <w:t xml:space="preserve">824 </w:t>
            </w:r>
            <w:r w:rsidR="00A564C3" w:rsidRPr="00DB0E3E">
              <w:rPr>
                <w:b/>
              </w:rPr>
              <w:t>tCO</w:t>
            </w:r>
            <w:r w:rsidR="00A564C3" w:rsidRPr="00DB0E3E">
              <w:rPr>
                <w:b/>
                <w:vertAlign w:val="subscript"/>
              </w:rPr>
              <w:t>2</w:t>
            </w:r>
            <w:r w:rsidR="00A564C3" w:rsidRPr="00DB0E3E">
              <w:rPr>
                <w:b/>
              </w:rPr>
              <w:t>-e</w:t>
            </w:r>
          </w:p>
        </w:tc>
      </w:tr>
    </w:tbl>
    <w:p w14:paraId="65F792A3" w14:textId="77777777" w:rsidR="007A240C" w:rsidRDefault="007A240C" w:rsidP="0008364A">
      <w:pPr>
        <w:pStyle w:val="Note"/>
      </w:pPr>
      <w:proofErr w:type="spellStart"/>
      <w:r>
        <w:rPr>
          <w:rStyle w:val="Notelabel"/>
        </w:rPr>
        <w:t>a</w:t>
      </w:r>
      <w:proofErr w:type="spellEnd"/>
      <w:r>
        <w:t xml:space="preserve"> Energy reductions refers to the amount of reduced end use energy consumption by buildings (in the former of lower electricity and gas drawn from distribution grids </w:t>
      </w:r>
      <w:r w:rsidR="002D4772">
        <w:t xml:space="preserve">and </w:t>
      </w:r>
      <w:r>
        <w:t>reduced combustion of diesel)</w:t>
      </w:r>
      <w:r w:rsidR="00CB3EC7">
        <w:t xml:space="preserve">. </w:t>
      </w:r>
      <w:r w:rsidR="002D4772">
        <w:t>I</w:t>
      </w:r>
      <w:r>
        <w:t>t does not represent reduced primary fuel use (e.g</w:t>
      </w:r>
      <w:r w:rsidR="00CB3EC7">
        <w:t xml:space="preserve">. </w:t>
      </w:r>
      <w:r>
        <w:t>reduced coal and gas used in generators</w:t>
      </w:r>
      <w:r w:rsidR="008731E7">
        <w:t xml:space="preserve"> etc.</w:t>
      </w:r>
      <w:r>
        <w:t>).</w:t>
      </w:r>
    </w:p>
    <w:p w14:paraId="65C156F9" w14:textId="5CC9A5F8" w:rsidR="00BE1C6D" w:rsidRDefault="00BE1C6D" w:rsidP="00BE1C6D">
      <w:pPr>
        <w:pStyle w:val="Note"/>
      </w:pPr>
      <w:r>
        <w:rPr>
          <w:i/>
        </w:rPr>
        <w:t>Note:</w:t>
      </w:r>
      <w:r>
        <w:t xml:space="preserve"> The </w:t>
      </w:r>
      <w:r w:rsidR="00E76CE5">
        <w:t xml:space="preserve">projections </w:t>
      </w:r>
      <w:r>
        <w:t>of GHG and energy reduction above assume a 5</w:t>
      </w:r>
      <w:r w:rsidR="00606EE5">
        <w:t>-</w:t>
      </w:r>
      <w:r>
        <w:t xml:space="preserve">year program duration </w:t>
      </w:r>
      <w:r w:rsidR="00F94252">
        <w:t xml:space="preserve">(2015 to 2019) </w:t>
      </w:r>
      <w:r>
        <w:t>and are estimated over the period 2015 to 2028</w:t>
      </w:r>
      <w:r w:rsidR="00CB3EC7">
        <w:t xml:space="preserve">. </w:t>
      </w:r>
      <w:r>
        <w:t xml:space="preserve">The estimates corresponding to the TLA component do not take into account measures </w:t>
      </w:r>
      <w:r w:rsidR="001E7438">
        <w:t xml:space="preserve">to </w:t>
      </w:r>
      <w:r>
        <w:t xml:space="preserve">increase awareness </w:t>
      </w:r>
      <w:r w:rsidR="001E7438">
        <w:t xml:space="preserve">and </w:t>
      </w:r>
      <w:r>
        <w:t>adoption of TLA by tenants</w:t>
      </w:r>
      <w:r w:rsidR="00CB3EC7">
        <w:t xml:space="preserve">. </w:t>
      </w:r>
      <w:r>
        <w:t>Such measures would further improve energy and GHG reduction from the TLA component.</w:t>
      </w:r>
    </w:p>
    <w:p w14:paraId="45326D8B" w14:textId="77777777" w:rsidR="00D01D25" w:rsidRPr="00B347D7" w:rsidRDefault="00D01D25" w:rsidP="00D01D25">
      <w:pPr>
        <w:pStyle w:val="Source"/>
      </w:pPr>
      <w:r w:rsidRPr="00B347D7">
        <w:t xml:space="preserve">Source: </w:t>
      </w:r>
      <w:r>
        <w:t>ACIL Allen</w:t>
      </w:r>
    </w:p>
    <w:p w14:paraId="3AA1343B" w14:textId="77777777" w:rsidR="00307172" w:rsidRDefault="00307172" w:rsidP="00307172">
      <w:pPr>
        <w:pStyle w:val="Heading3"/>
      </w:pPr>
      <w:bookmarkStart w:id="687" w:name="_Toc411610408"/>
      <w:bookmarkStart w:id="688" w:name="_Toc415660934"/>
      <w:bookmarkEnd w:id="687"/>
      <w:r>
        <w:t>Interaction with the ERF</w:t>
      </w:r>
      <w:bookmarkEnd w:id="688"/>
    </w:p>
    <w:p w14:paraId="555D80E4" w14:textId="77777777" w:rsidR="009B2107" w:rsidRDefault="009B2107" w:rsidP="009B2107">
      <w:pPr>
        <w:pStyle w:val="BodyText"/>
      </w:pPr>
      <w:r>
        <w:t>The CBD program is expected to be complementary to the ERF rather than duplicative</w:t>
      </w:r>
      <w:r w:rsidR="00CB3EC7">
        <w:t xml:space="preserve">. </w:t>
      </w:r>
      <w:r>
        <w:t>This is mainly because the purpose of ERF is to provide funding for emissions reduction projects, whereas the focus of the CBD is to provide information to potential tenants and buyers</w:t>
      </w:r>
      <w:r w:rsidR="00CB3EC7">
        <w:t xml:space="preserve">. </w:t>
      </w:r>
    </w:p>
    <w:p w14:paraId="7F269346" w14:textId="77777777" w:rsidR="004E345E" w:rsidRPr="00307172" w:rsidRDefault="009B2107" w:rsidP="009B2107">
      <w:pPr>
        <w:pStyle w:val="BodyText"/>
      </w:pPr>
      <w:r>
        <w:t>As such, CBD remains a low-cost, high-value program that drives significant energy efficiency improvements within the commercial office sector.</w:t>
      </w:r>
    </w:p>
    <w:p w14:paraId="05ECEC94" w14:textId="77777777" w:rsidR="003C55D2" w:rsidRDefault="003C55D2" w:rsidP="004572F4">
      <w:pPr>
        <w:pStyle w:val="Heading2"/>
      </w:pPr>
      <w:bookmarkStart w:id="689" w:name="_Toc415660935"/>
      <w:r>
        <w:t>Potential program changes and improvements</w:t>
      </w:r>
      <w:bookmarkEnd w:id="689"/>
    </w:p>
    <w:p w14:paraId="6D3C9EE3" w14:textId="77777777" w:rsidR="003C55D2" w:rsidRDefault="00307172" w:rsidP="00307172">
      <w:pPr>
        <w:pStyle w:val="Heading3"/>
      </w:pPr>
      <w:bookmarkStart w:id="690" w:name="_Toc415660936"/>
      <w:r>
        <w:t>Extension to smaller buildings</w:t>
      </w:r>
      <w:bookmarkEnd w:id="690"/>
    </w:p>
    <w:p w14:paraId="49A8625A" w14:textId="77777777" w:rsidR="00307172" w:rsidRDefault="00307172" w:rsidP="00307172">
      <w:pPr>
        <w:pStyle w:val="BodyText"/>
      </w:pPr>
      <w:r>
        <w:t>ACIL Allen’s analysis suggests there is merit in lowering the threshold for mandatory disclosure from 2,000</w:t>
      </w:r>
      <w:r w:rsidR="00606EE5">
        <w:t xml:space="preserve"> </w:t>
      </w:r>
      <w:r>
        <w:t>m</w:t>
      </w:r>
      <w:r w:rsidRPr="00307172">
        <w:rPr>
          <w:vertAlign w:val="superscript"/>
        </w:rPr>
        <w:t>2</w:t>
      </w:r>
      <w:r>
        <w:t xml:space="preserve"> to 1,000</w:t>
      </w:r>
      <w:r w:rsidR="00606EE5">
        <w:t xml:space="preserve"> </w:t>
      </w:r>
      <w:r>
        <w:t>m</w:t>
      </w:r>
      <w:r w:rsidRPr="00307172">
        <w:rPr>
          <w:vertAlign w:val="superscript"/>
        </w:rPr>
        <w:t>2</w:t>
      </w:r>
      <w:r w:rsidR="00CB3EC7">
        <w:t xml:space="preserve">. </w:t>
      </w:r>
      <w:r w:rsidR="00E87956">
        <w:t xml:space="preserve">The projected net benefits of lowering the disclosure threshold is estimated </w:t>
      </w:r>
      <w:r w:rsidR="004E345E">
        <w:t xml:space="preserve">to be </w:t>
      </w:r>
      <w:r w:rsidR="00E87956">
        <w:t>$</w:t>
      </w:r>
      <w:r w:rsidR="009B2107">
        <w:t xml:space="preserve">24 </w:t>
      </w:r>
      <w:r w:rsidR="00E87956">
        <w:t>m</w:t>
      </w:r>
      <w:r w:rsidR="004E345E">
        <w:t>illion</w:t>
      </w:r>
      <w:r w:rsidR="00E87956">
        <w:t xml:space="preserve"> in present value terms under a seven per cent real discount rate</w:t>
      </w:r>
      <w:r w:rsidR="00CB3EC7">
        <w:t xml:space="preserve">. </w:t>
      </w:r>
      <w:r w:rsidR="004E345E">
        <w:t xml:space="preserve">This is </w:t>
      </w:r>
      <w:r w:rsidR="00E87956">
        <w:t xml:space="preserve">based on </w:t>
      </w:r>
      <w:r w:rsidR="009B2107">
        <w:t xml:space="preserve">an </w:t>
      </w:r>
      <w:r w:rsidR="00E87956">
        <w:t>estimate</w:t>
      </w:r>
      <w:r w:rsidR="009B2107">
        <w:t>d</w:t>
      </w:r>
      <w:r w:rsidR="00E87956">
        <w:t xml:space="preserve"> </w:t>
      </w:r>
      <w:r w:rsidR="009B2107">
        <w:t>1.5</w:t>
      </w:r>
      <w:r w:rsidR="00E87956">
        <w:t xml:space="preserve"> million m</w:t>
      </w:r>
      <w:r w:rsidR="00E87956" w:rsidRPr="00E87956">
        <w:rPr>
          <w:vertAlign w:val="superscript"/>
        </w:rPr>
        <w:t>2</w:t>
      </w:r>
      <w:r w:rsidR="00E87956">
        <w:t xml:space="preserve"> of additional floor space would be captured by the CBD program</w:t>
      </w:r>
      <w:r w:rsidR="004E345E">
        <w:t xml:space="preserve"> if the threshold was reduced to 1,000m</w:t>
      </w:r>
      <w:r w:rsidR="004E345E" w:rsidRPr="00A638B4">
        <w:rPr>
          <w:vertAlign w:val="superscript"/>
        </w:rPr>
        <w:t>2</w:t>
      </w:r>
      <w:r w:rsidR="00E87956">
        <w:t>.</w:t>
      </w:r>
    </w:p>
    <w:p w14:paraId="5BD1E226" w14:textId="77777777" w:rsidR="00307172" w:rsidRDefault="00307172" w:rsidP="00307172">
      <w:pPr>
        <w:pStyle w:val="Heading3"/>
      </w:pPr>
      <w:bookmarkStart w:id="691" w:name="_Toc415660937"/>
      <w:r>
        <w:t>Extension to other building types</w:t>
      </w:r>
      <w:bookmarkEnd w:id="691"/>
    </w:p>
    <w:p w14:paraId="1DDDA246" w14:textId="77777777" w:rsidR="00307172" w:rsidRDefault="00E87956" w:rsidP="00E87956">
      <w:pPr>
        <w:pStyle w:val="BodyText"/>
      </w:pPr>
      <w:r>
        <w:t>ACIL Allen does not recommend that mandatory disclosure be extended to other types of commercial buildings at this time.</w:t>
      </w:r>
    </w:p>
    <w:p w14:paraId="5AA7226E" w14:textId="77777777" w:rsidR="0024440C" w:rsidRDefault="0024440C" w:rsidP="00E87956">
      <w:pPr>
        <w:pStyle w:val="BodyText"/>
      </w:pPr>
      <w:r>
        <w:rPr>
          <w:rFonts w:ascii="Arial Narrow" w:hAnsi="Arial Narrow"/>
        </w:rPr>
        <w:t>At present, the</w:t>
      </w:r>
      <w:r w:rsidRPr="006E18E6">
        <w:rPr>
          <w:rFonts w:ascii="Arial Narrow" w:hAnsi="Arial Narrow"/>
        </w:rPr>
        <w:t xml:space="preserve"> NABERS </w:t>
      </w:r>
      <w:r>
        <w:rPr>
          <w:rFonts w:ascii="Arial Narrow" w:hAnsi="Arial Narrow"/>
        </w:rPr>
        <w:t>rating tool for data centres is still relatively new and not yet widely embraced by industry</w:t>
      </w:r>
      <w:r w:rsidR="00CB3EC7">
        <w:rPr>
          <w:rFonts w:ascii="Arial Narrow" w:hAnsi="Arial Narrow"/>
        </w:rPr>
        <w:t xml:space="preserve">. </w:t>
      </w:r>
      <w:r>
        <w:rPr>
          <w:rFonts w:ascii="Arial Narrow" w:hAnsi="Arial Narrow"/>
        </w:rPr>
        <w:t>In addition, some data centre operators</w:t>
      </w:r>
      <w:r w:rsidRPr="006E18E6">
        <w:rPr>
          <w:rFonts w:ascii="Arial Narrow" w:hAnsi="Arial Narrow"/>
        </w:rPr>
        <w:t xml:space="preserve"> m</w:t>
      </w:r>
      <w:r>
        <w:rPr>
          <w:rFonts w:ascii="Arial Narrow" w:hAnsi="Arial Narrow"/>
        </w:rPr>
        <w:t>ight</w:t>
      </w:r>
      <w:r w:rsidRPr="006E18E6">
        <w:rPr>
          <w:rFonts w:ascii="Arial Narrow" w:hAnsi="Arial Narrow"/>
        </w:rPr>
        <w:t xml:space="preserve"> be unwilling allow access to energy consumption data due to the commercial sensitivity of that information.</w:t>
      </w:r>
    </w:p>
    <w:p w14:paraId="58E0CF58" w14:textId="1C178777" w:rsidR="00484EA1" w:rsidRDefault="00484EA1" w:rsidP="00E87956">
      <w:pPr>
        <w:pStyle w:val="BodyText"/>
      </w:pPr>
      <w:r>
        <w:t>ACIL Allen believes that information on energy efficiency revealed to tenants of retail buildings will not be act</w:t>
      </w:r>
      <w:r w:rsidR="005A141E">
        <w:t>ed</w:t>
      </w:r>
      <w:r>
        <w:t xml:space="preserve"> on as </w:t>
      </w:r>
      <w:r w:rsidRPr="00484EA1">
        <w:t>site size</w:t>
      </w:r>
      <w:r w:rsidR="005A141E">
        <w:t>,</w:t>
      </w:r>
      <w:r w:rsidRPr="00484EA1">
        <w:t xml:space="preserve"> configuration, location</w:t>
      </w:r>
      <w:r w:rsidR="00606EE5">
        <w:t>,</w:t>
      </w:r>
      <w:r w:rsidRPr="00484EA1">
        <w:t xml:space="preserve"> </w:t>
      </w:r>
      <w:r w:rsidR="005A141E">
        <w:t>and</w:t>
      </w:r>
      <w:r w:rsidRPr="00484EA1">
        <w:t xml:space="preserve"> rental price and conditions are likely to matter far more to </w:t>
      </w:r>
      <w:r w:rsidR="005A141E">
        <w:t>tenants</w:t>
      </w:r>
      <w:r w:rsidR="005A141E" w:rsidRPr="00484EA1">
        <w:t xml:space="preserve"> </w:t>
      </w:r>
      <w:r w:rsidR="00A61EA5">
        <w:t>than energy costs</w:t>
      </w:r>
      <w:r w:rsidR="00606EE5">
        <w:t>,</w:t>
      </w:r>
      <w:r w:rsidR="00A61EA5">
        <w:t xml:space="preserve"> </w:t>
      </w:r>
      <w:r w:rsidRPr="00484EA1">
        <w:t>as the</w:t>
      </w:r>
      <w:r w:rsidR="005A141E">
        <w:t xml:space="preserve"> latter</w:t>
      </w:r>
      <w:r w:rsidRPr="00484EA1">
        <w:t xml:space="preserve"> are the key determinants of a tenant’s profitability</w:t>
      </w:r>
      <w:r>
        <w:t>.</w:t>
      </w:r>
    </w:p>
    <w:p w14:paraId="437F46B3" w14:textId="77777777" w:rsidR="00484EA1" w:rsidRDefault="00484EA1" w:rsidP="00E87956">
      <w:pPr>
        <w:pStyle w:val="BodyText"/>
      </w:pPr>
      <w:r>
        <w:t xml:space="preserve">In regards to hotel buildings, there is </w:t>
      </w:r>
      <w:r w:rsidRPr="00484EA1">
        <w:t>no split incentive problem if hotel operators are also owners of the hotel buildings</w:t>
      </w:r>
      <w:r w:rsidR="00CB3EC7" w:rsidRPr="00484EA1">
        <w:t>.</w:t>
      </w:r>
      <w:r w:rsidR="00CB3EC7">
        <w:t xml:space="preserve"> </w:t>
      </w:r>
      <w:r w:rsidRPr="00484EA1">
        <w:t xml:space="preserve">Even if they do not own the buildings, </w:t>
      </w:r>
      <w:r w:rsidR="005A141E" w:rsidRPr="00484EA1">
        <w:t>the</w:t>
      </w:r>
      <w:r w:rsidR="005A141E">
        <w:t>y</w:t>
      </w:r>
      <w:r w:rsidR="005A141E" w:rsidRPr="00484EA1">
        <w:t xml:space="preserve"> </w:t>
      </w:r>
      <w:r w:rsidRPr="00484EA1">
        <w:t xml:space="preserve">have a natural incentive to seek out buildings that are more energy efficient and have lower </w:t>
      </w:r>
      <w:r w:rsidRPr="00484EA1">
        <w:lastRenderedPageBreak/>
        <w:t xml:space="preserve">energy costs, </w:t>
      </w:r>
      <w:r w:rsidR="005A141E">
        <w:t>assuming</w:t>
      </w:r>
      <w:r w:rsidR="005A141E" w:rsidRPr="00484EA1">
        <w:t xml:space="preserve"> </w:t>
      </w:r>
      <w:r w:rsidRPr="00484EA1">
        <w:t xml:space="preserve">all other building characteristics </w:t>
      </w:r>
      <w:r w:rsidR="005A141E">
        <w:t>are similar</w:t>
      </w:r>
      <w:r w:rsidR="00CB3EC7" w:rsidRPr="00484EA1">
        <w:t>.</w:t>
      </w:r>
      <w:r w:rsidR="00CB3EC7">
        <w:t xml:space="preserve"> </w:t>
      </w:r>
      <w:r>
        <w:t xml:space="preserve">Potential tenants’ demands for an energy rating are likely to </w:t>
      </w:r>
      <w:r w:rsidR="005A141E">
        <w:t xml:space="preserve">accepted </w:t>
      </w:r>
      <w:r>
        <w:t>by building owners because assessment costs are very small in comparison to the value of a typical transaction.</w:t>
      </w:r>
    </w:p>
    <w:p w14:paraId="04C811CE" w14:textId="77777777" w:rsidR="00484EA1" w:rsidRDefault="00484EA1" w:rsidP="00484EA1">
      <w:pPr>
        <w:pStyle w:val="Heading3"/>
      </w:pPr>
      <w:bookmarkStart w:id="692" w:name="_Toc415660938"/>
      <w:r>
        <w:t>Cost recovery</w:t>
      </w:r>
      <w:bookmarkEnd w:id="692"/>
    </w:p>
    <w:p w14:paraId="0A5FB7F9" w14:textId="77777777" w:rsidR="00484EA1" w:rsidRDefault="00A61EA5" w:rsidP="00E87956">
      <w:pPr>
        <w:pStyle w:val="BodyText"/>
      </w:pPr>
      <w:r>
        <w:t xml:space="preserve">ACIL Allen does not have a </w:t>
      </w:r>
      <w:r w:rsidR="003C5133">
        <w:t>recommendation on the recovery of the costs incurred by the Department in administering the CBD program</w:t>
      </w:r>
      <w:r w:rsidR="00CB3EC7">
        <w:t xml:space="preserve">. </w:t>
      </w:r>
      <w:r w:rsidR="005A141E">
        <w:t>A</w:t>
      </w:r>
      <w:r w:rsidR="003C5133">
        <w:t xml:space="preserve"> two-tier BEEC pricing scheme is likely to be perceived </w:t>
      </w:r>
      <w:r w:rsidR="005A141E">
        <w:t>as</w:t>
      </w:r>
      <w:r w:rsidR="003C5133">
        <w:t xml:space="preserve"> fairer than a single flat fee</w:t>
      </w:r>
      <w:r w:rsidR="00CB3EC7">
        <w:t xml:space="preserve">. </w:t>
      </w:r>
      <w:r w:rsidR="005A141E">
        <w:t>However, it is less transparent and would be more complex to administer</w:t>
      </w:r>
      <w:r w:rsidR="00CB3EC7">
        <w:t xml:space="preserve">. </w:t>
      </w:r>
      <w:r w:rsidR="005A141E">
        <w:t>A single flat fee is more transparent</w:t>
      </w:r>
      <w:r w:rsidR="003C5133">
        <w:t xml:space="preserve"> and is likely to result in a more predictable revenue stream</w:t>
      </w:r>
      <w:r w:rsidR="00CB3EC7">
        <w:t xml:space="preserve">. </w:t>
      </w:r>
      <w:r w:rsidR="003C5133">
        <w:t xml:space="preserve">Maintaining the status quo is extremely simple and transparent but </w:t>
      </w:r>
      <w:r w:rsidR="003F0699">
        <w:t xml:space="preserve">it may </w:t>
      </w:r>
      <w:r w:rsidR="009943AB">
        <w:t>not be financially sustainable over the longer term.</w:t>
      </w:r>
    </w:p>
    <w:p w14:paraId="15217E69" w14:textId="77777777" w:rsidR="00307172" w:rsidRDefault="00307172" w:rsidP="00307172">
      <w:pPr>
        <w:pStyle w:val="Heading3"/>
      </w:pPr>
      <w:bookmarkStart w:id="693" w:name="_Ref409793046"/>
      <w:bookmarkStart w:id="694" w:name="_Toc415660939"/>
      <w:r>
        <w:t xml:space="preserve">Changes to </w:t>
      </w:r>
      <w:r w:rsidR="003F0699">
        <w:t xml:space="preserve">the </w:t>
      </w:r>
      <w:r>
        <w:t>TLA</w:t>
      </w:r>
      <w:bookmarkEnd w:id="693"/>
      <w:bookmarkEnd w:id="694"/>
    </w:p>
    <w:p w14:paraId="40FB4967" w14:textId="77777777" w:rsidR="00307172" w:rsidRDefault="00A66099" w:rsidP="00E87956">
      <w:pPr>
        <w:pStyle w:val="BodyText"/>
      </w:pPr>
      <w:r>
        <w:t xml:space="preserve">ACIL Allen believes that much can be done to accelerate awareness and appreciation of </w:t>
      </w:r>
      <w:r w:rsidR="003F0699">
        <w:t xml:space="preserve">the </w:t>
      </w:r>
      <w:r>
        <w:t>TLA by tenants</w:t>
      </w:r>
      <w:r w:rsidR="00CB3EC7">
        <w:t xml:space="preserve">. </w:t>
      </w:r>
      <w:r w:rsidR="003F0699">
        <w:t>We</w:t>
      </w:r>
      <w:r>
        <w:t xml:space="preserve"> recommend the following:</w:t>
      </w:r>
    </w:p>
    <w:p w14:paraId="6A71AA4C" w14:textId="77777777" w:rsidR="008F4774" w:rsidRDefault="009A670E" w:rsidP="00FF347F">
      <w:pPr>
        <w:pStyle w:val="ListNumber"/>
        <w:numPr>
          <w:ilvl w:val="0"/>
          <w:numId w:val="36"/>
        </w:numPr>
      </w:pPr>
      <w:r>
        <w:t>S</w:t>
      </w:r>
      <w:r w:rsidR="00A66099">
        <w:t xml:space="preserve">ome information on tenancy lighting performance </w:t>
      </w:r>
      <w:r>
        <w:t xml:space="preserve">should </w:t>
      </w:r>
      <w:r w:rsidR="00A66099">
        <w:t>be provided when advertising for sale or lease</w:t>
      </w:r>
      <w:r w:rsidR="008F4774">
        <w:t>.</w:t>
      </w:r>
    </w:p>
    <w:p w14:paraId="68D2041D" w14:textId="77777777" w:rsidR="008F4774" w:rsidRDefault="00A66099" w:rsidP="002B77C2">
      <w:pPr>
        <w:pStyle w:val="ListDash2"/>
      </w:pPr>
      <w:r>
        <w:t>Where a single functional space is being leased, this could simply be the power density and control system capacity for that space</w:t>
      </w:r>
      <w:r w:rsidR="00CB3EC7">
        <w:t xml:space="preserve">. </w:t>
      </w:r>
      <w:r>
        <w:t>Where a number of functional spaces or the entire building is being sold or leased, an ‘aggregate’ measure will need to be devised that is meaningful and useful to the tenant</w:t>
      </w:r>
      <w:r w:rsidR="00CB3EC7">
        <w:t xml:space="preserve">. </w:t>
      </w:r>
      <w:r w:rsidR="00FF347F" w:rsidRPr="00FF347F">
        <w:t xml:space="preserve">An aggregate measure is preferred over listing TLA information for all functional spaces </w:t>
      </w:r>
      <w:r w:rsidR="00616065">
        <w:t xml:space="preserve">for simplicity </w:t>
      </w:r>
      <w:r w:rsidR="00FF347F" w:rsidRPr="00FF347F">
        <w:t>and because there is limited space in some media, such as billboards</w:t>
      </w:r>
      <w:r w:rsidR="00CB3EC7" w:rsidRPr="00FF347F">
        <w:t>.</w:t>
      </w:r>
      <w:r w:rsidR="008F4774">
        <w:t xml:space="preserve"> </w:t>
      </w:r>
      <w:r>
        <w:t>This information should include an indication of the potential ‘dollar difference’ in operating costs compared with</w:t>
      </w:r>
      <w:r w:rsidR="008F4774">
        <w:t xml:space="preserve"> the</w:t>
      </w:r>
      <w:r>
        <w:t xml:space="preserve"> benchmark performance of similar buildings</w:t>
      </w:r>
      <w:r w:rsidR="008F4774">
        <w:t>.</w:t>
      </w:r>
    </w:p>
    <w:p w14:paraId="033BC44C" w14:textId="5BF4CA6A" w:rsidR="00A66099" w:rsidRDefault="00FF347F" w:rsidP="002B77C2">
      <w:pPr>
        <w:pStyle w:val="ListDash2"/>
      </w:pPr>
      <w:r w:rsidRPr="00FF347F">
        <w:t>Stakeholders noted that the ability to devise a meaningful aggregate figure, potential confusion with NABERS if star ratings are also used to represent tenancy lighting performance</w:t>
      </w:r>
      <w:r w:rsidR="009A670E">
        <w:t>,</w:t>
      </w:r>
      <w:r w:rsidRPr="00FF347F">
        <w:t xml:space="preserve"> and limited understanding of power density by tenants</w:t>
      </w:r>
      <w:r w:rsidR="009A670E">
        <w:t>,</w:t>
      </w:r>
      <w:r w:rsidRPr="00FF347F">
        <w:t xml:space="preserve"> as potential challenges with this proposal.</w:t>
      </w:r>
    </w:p>
    <w:p w14:paraId="26E63CDA" w14:textId="77777777" w:rsidR="00A66099" w:rsidRDefault="00A66099" w:rsidP="003F0699">
      <w:pPr>
        <w:pStyle w:val="ListNumber"/>
        <w:numPr>
          <w:ilvl w:val="0"/>
          <w:numId w:val="36"/>
        </w:numPr>
      </w:pPr>
      <w:r>
        <w:t>The TLA certificate should have provision to include a proposed (and binding) commitment of tenancy lighting performance for new tenancies</w:t>
      </w:r>
      <w:r w:rsidR="00CB3EC7">
        <w:t xml:space="preserve">. </w:t>
      </w:r>
      <w:r>
        <w:t>This information should be prominent on the TLA certificate.</w:t>
      </w:r>
    </w:p>
    <w:p w14:paraId="69B9353C" w14:textId="77777777" w:rsidR="00A66099" w:rsidRDefault="00A66099" w:rsidP="00E87956">
      <w:pPr>
        <w:pStyle w:val="BodyText"/>
      </w:pPr>
      <w:r>
        <w:t>ACIL Allen also believes that the validity period for the TLA should be extended from one year to five years</w:t>
      </w:r>
      <w:r w:rsidR="00CB3EC7">
        <w:t xml:space="preserve">. </w:t>
      </w:r>
      <w:r>
        <w:t>This is because tenancy lighting performance is unlikely to change unless lighting systems are changed, which generally only occurs during a period of vacancy prior to a new tenant occupying the space</w:t>
      </w:r>
      <w:r w:rsidR="00CB3EC7">
        <w:t xml:space="preserve">. </w:t>
      </w:r>
      <w:r>
        <w:t xml:space="preserve">Therefore, requiring building owners </w:t>
      </w:r>
      <w:r w:rsidR="003F0699">
        <w:t xml:space="preserve">who </w:t>
      </w:r>
      <w:r>
        <w:t xml:space="preserve">wish to maintain </w:t>
      </w:r>
      <w:r w:rsidR="003F0699">
        <w:t xml:space="preserve">an up to date </w:t>
      </w:r>
      <w:r>
        <w:t xml:space="preserve">BEEC to re-assess lighting systems annually </w:t>
      </w:r>
      <w:r w:rsidR="003F0699">
        <w:t xml:space="preserve">imposes an </w:t>
      </w:r>
      <w:r>
        <w:t>unnecessary cost</w:t>
      </w:r>
      <w:r w:rsidR="003F0699">
        <w:t xml:space="preserve"> on them</w:t>
      </w:r>
      <w:r>
        <w:t>.</w:t>
      </w:r>
    </w:p>
    <w:p w14:paraId="013C3EEE" w14:textId="6E935A7D" w:rsidR="00A66099" w:rsidRDefault="00A66099" w:rsidP="00E87956">
      <w:pPr>
        <w:pStyle w:val="BodyText"/>
      </w:pPr>
      <w:r>
        <w:t>ACIL Allen’s analysis suggests that an extension of the validity period from one year to five years increases the net benefits of the TLA by approximately $2</w:t>
      </w:r>
      <w:r w:rsidR="00FD253A">
        <w:t xml:space="preserve"> </w:t>
      </w:r>
      <w:r>
        <w:t>m</w:t>
      </w:r>
      <w:r w:rsidR="00FD253A">
        <w:t>illion</w:t>
      </w:r>
      <w:r>
        <w:t xml:space="preserve"> in present value terms.</w:t>
      </w:r>
      <w:r w:rsidR="008F4774">
        <w:t xml:space="preserve"> While the cost of raising awareness and appreciation of the TLA has not been quantified, the benefits are estimated to be $4.2 million in present value terms.</w:t>
      </w:r>
    </w:p>
    <w:p w14:paraId="7F46D4CC" w14:textId="77777777" w:rsidR="007B0F90" w:rsidRDefault="007B0F90" w:rsidP="00DB0E3E">
      <w:pPr>
        <w:pStyle w:val="Heading3"/>
      </w:pPr>
      <w:bookmarkStart w:id="695" w:name="_Toc415660940"/>
      <w:r>
        <w:lastRenderedPageBreak/>
        <w:t>Ongoing process improvements</w:t>
      </w:r>
      <w:bookmarkEnd w:id="695"/>
    </w:p>
    <w:p w14:paraId="132D303D" w14:textId="1ACF5AFE" w:rsidR="00FD04FD" w:rsidRDefault="007B0F90" w:rsidP="007B0F90">
      <w:pPr>
        <w:spacing w:line="280" w:lineRule="exact"/>
        <w:rPr>
          <w:rFonts w:ascii="Arial Narrow" w:hAnsi="Arial Narrow"/>
          <w:sz w:val="22"/>
          <w:szCs w:val="22"/>
          <w:lang w:eastAsia="en-AU"/>
        </w:rPr>
      </w:pPr>
      <w:r w:rsidRPr="00DB0E3E">
        <w:rPr>
          <w:rFonts w:ascii="Arial Narrow" w:hAnsi="Arial Narrow"/>
          <w:sz w:val="22"/>
          <w:szCs w:val="22"/>
          <w:lang w:eastAsia="en-AU"/>
        </w:rPr>
        <w:t>There are well-established mechanisms for making ongoing improvements to the CBD program</w:t>
      </w:r>
      <w:r w:rsidR="00CB3EC7" w:rsidRPr="00DB0E3E">
        <w:rPr>
          <w:rFonts w:ascii="Arial Narrow" w:hAnsi="Arial Narrow"/>
          <w:sz w:val="22"/>
          <w:szCs w:val="22"/>
          <w:lang w:eastAsia="en-AU"/>
        </w:rPr>
        <w:t>.</w:t>
      </w:r>
      <w:r w:rsidR="00CB3EC7">
        <w:rPr>
          <w:rFonts w:ascii="Arial Narrow" w:hAnsi="Arial Narrow"/>
          <w:sz w:val="22"/>
          <w:szCs w:val="22"/>
          <w:lang w:eastAsia="en-AU"/>
        </w:rPr>
        <w:t xml:space="preserve"> </w:t>
      </w:r>
      <w:r w:rsidRPr="00DB0E3E">
        <w:rPr>
          <w:rFonts w:ascii="Arial Narrow" w:hAnsi="Arial Narrow"/>
          <w:sz w:val="22"/>
          <w:szCs w:val="22"/>
          <w:lang w:eastAsia="en-AU"/>
        </w:rPr>
        <w:t>These include measures for improving the administrative efficiency of the program and the NABERS assessment process</w:t>
      </w:r>
      <w:r w:rsidR="00CB3EC7" w:rsidRPr="00DB0E3E">
        <w:rPr>
          <w:rFonts w:ascii="Arial Narrow" w:hAnsi="Arial Narrow"/>
          <w:sz w:val="22"/>
          <w:szCs w:val="22"/>
          <w:lang w:eastAsia="en-AU"/>
        </w:rPr>
        <w:t>.</w:t>
      </w:r>
      <w:r w:rsidR="00CB3EC7">
        <w:rPr>
          <w:rFonts w:ascii="Arial Narrow" w:hAnsi="Arial Narrow"/>
          <w:sz w:val="22"/>
          <w:szCs w:val="22"/>
          <w:lang w:eastAsia="en-AU"/>
        </w:rPr>
        <w:t xml:space="preserve"> </w:t>
      </w:r>
      <w:r w:rsidRPr="00DB0E3E">
        <w:rPr>
          <w:rFonts w:ascii="Arial Narrow" w:hAnsi="Arial Narrow"/>
          <w:sz w:val="22"/>
          <w:szCs w:val="22"/>
          <w:lang w:eastAsia="en-AU"/>
        </w:rPr>
        <w:t xml:space="preserve">For example, the NSW Office of Environment and Heritage has implemented multiple automatic checks that have streamlined the work of assessors </w:t>
      </w:r>
      <w:r w:rsidR="00FD04FD">
        <w:rPr>
          <w:rFonts w:ascii="Arial Narrow" w:hAnsi="Arial Narrow"/>
          <w:sz w:val="22"/>
          <w:szCs w:val="22"/>
          <w:lang w:eastAsia="en-AU"/>
        </w:rPr>
        <w:t xml:space="preserve">and has allowed property assessors to choose the start date of the new </w:t>
      </w:r>
      <w:r w:rsidR="00757921">
        <w:rPr>
          <w:rFonts w:ascii="Arial Narrow" w:hAnsi="Arial Narrow"/>
          <w:sz w:val="22"/>
          <w:szCs w:val="22"/>
          <w:lang w:eastAsia="en-AU"/>
        </w:rPr>
        <w:t xml:space="preserve">NABERS </w:t>
      </w:r>
      <w:r w:rsidR="00FD04FD">
        <w:rPr>
          <w:rFonts w:ascii="Arial Narrow" w:hAnsi="Arial Narrow"/>
          <w:sz w:val="22"/>
          <w:szCs w:val="22"/>
          <w:lang w:eastAsia="en-AU"/>
        </w:rPr>
        <w:t xml:space="preserve">rating (so that </w:t>
      </w:r>
      <w:r w:rsidR="00757921">
        <w:rPr>
          <w:rFonts w:ascii="Arial Narrow" w:hAnsi="Arial Narrow"/>
          <w:sz w:val="22"/>
          <w:szCs w:val="22"/>
          <w:lang w:eastAsia="en-AU"/>
        </w:rPr>
        <w:t>building owners</w:t>
      </w:r>
      <w:r w:rsidR="00FD04FD">
        <w:rPr>
          <w:rFonts w:ascii="Arial Narrow" w:hAnsi="Arial Narrow"/>
          <w:sz w:val="22"/>
          <w:szCs w:val="22"/>
          <w:lang w:eastAsia="en-AU"/>
        </w:rPr>
        <w:t xml:space="preserve"> are able to fully utilise the 12-mont</w:t>
      </w:r>
      <w:r w:rsidR="00757921">
        <w:rPr>
          <w:rFonts w:ascii="Arial Narrow" w:hAnsi="Arial Narrow"/>
          <w:sz w:val="22"/>
          <w:szCs w:val="22"/>
          <w:lang w:eastAsia="en-AU"/>
        </w:rPr>
        <w:t xml:space="preserve">h validity period of the </w:t>
      </w:r>
      <w:r w:rsidR="00FD04FD">
        <w:rPr>
          <w:rFonts w:ascii="Arial Narrow" w:hAnsi="Arial Narrow"/>
          <w:sz w:val="22"/>
          <w:szCs w:val="22"/>
          <w:lang w:eastAsia="en-AU"/>
        </w:rPr>
        <w:t>rating).</w:t>
      </w:r>
    </w:p>
    <w:p w14:paraId="4B5B5551" w14:textId="6C7C071A" w:rsidR="00E24DE4" w:rsidRPr="00E24DE4" w:rsidRDefault="00E24DE4" w:rsidP="00E24DE4">
      <w:pPr>
        <w:spacing w:line="280" w:lineRule="exact"/>
        <w:rPr>
          <w:rFonts w:ascii="Arial Narrow" w:hAnsi="Arial Narrow"/>
          <w:sz w:val="22"/>
          <w:szCs w:val="22"/>
          <w:lang w:eastAsia="en-AU"/>
        </w:rPr>
      </w:pPr>
      <w:r>
        <w:rPr>
          <w:rFonts w:ascii="Arial Narrow" w:hAnsi="Arial Narrow"/>
          <w:sz w:val="22"/>
          <w:szCs w:val="22"/>
          <w:lang w:eastAsia="en-AU"/>
        </w:rPr>
        <w:t xml:space="preserve">The Department of Industry and Science </w:t>
      </w:r>
      <w:r w:rsidR="00FD04FD">
        <w:rPr>
          <w:rFonts w:ascii="Arial Narrow" w:hAnsi="Arial Narrow"/>
          <w:sz w:val="22"/>
          <w:szCs w:val="22"/>
          <w:lang w:eastAsia="en-AU"/>
        </w:rPr>
        <w:t xml:space="preserve">also </w:t>
      </w:r>
      <w:r>
        <w:rPr>
          <w:rFonts w:ascii="Arial Narrow" w:hAnsi="Arial Narrow"/>
          <w:sz w:val="22"/>
          <w:szCs w:val="22"/>
          <w:lang w:eastAsia="en-AU"/>
        </w:rPr>
        <w:t xml:space="preserve">conducts ongoing process and system improvements based on </w:t>
      </w:r>
      <w:r w:rsidR="00EB5A60">
        <w:rPr>
          <w:rFonts w:ascii="Arial Narrow" w:hAnsi="Arial Narrow"/>
          <w:sz w:val="22"/>
          <w:szCs w:val="22"/>
          <w:lang w:eastAsia="en-AU"/>
        </w:rPr>
        <w:t xml:space="preserve">CBD </w:t>
      </w:r>
      <w:r>
        <w:rPr>
          <w:rFonts w:ascii="Arial Narrow" w:hAnsi="Arial Narrow"/>
          <w:sz w:val="22"/>
          <w:szCs w:val="22"/>
          <w:lang w:eastAsia="en-AU"/>
        </w:rPr>
        <w:t>program data and stakeholder feedback</w:t>
      </w:r>
      <w:r w:rsidR="00FD04FD">
        <w:rPr>
          <w:rFonts w:ascii="Arial Narrow" w:hAnsi="Arial Narrow"/>
          <w:sz w:val="22"/>
          <w:szCs w:val="22"/>
          <w:lang w:eastAsia="en-AU"/>
        </w:rPr>
        <w:t>, including enhancing the TLA rules based on advice from CBD accredited assessors and implementing improvements to the CBD IT system.</w:t>
      </w:r>
    </w:p>
    <w:p w14:paraId="3AF6926A" w14:textId="77777777" w:rsidR="007B0F90" w:rsidRPr="00DB0E3E" w:rsidRDefault="007B0F90" w:rsidP="007B0F90">
      <w:pPr>
        <w:spacing w:line="280" w:lineRule="exact"/>
        <w:rPr>
          <w:rFonts w:ascii="Arial Narrow" w:hAnsi="Arial Narrow"/>
          <w:sz w:val="22"/>
          <w:szCs w:val="22"/>
          <w:lang w:eastAsia="en-AU"/>
        </w:rPr>
      </w:pPr>
      <w:r w:rsidRPr="00DB0E3E">
        <w:rPr>
          <w:rFonts w:ascii="Arial Narrow" w:hAnsi="Arial Narrow"/>
          <w:sz w:val="22"/>
          <w:szCs w:val="22"/>
          <w:lang w:eastAsia="en-AU"/>
        </w:rPr>
        <w:t>ACIL Allen recommends that these process improvements should continue.</w:t>
      </w:r>
    </w:p>
    <w:p w14:paraId="205BB843" w14:textId="77777777" w:rsidR="00A66099" w:rsidRDefault="009B30B8" w:rsidP="00DB0E3E">
      <w:pPr>
        <w:pStyle w:val="Heading3"/>
      </w:pPr>
      <w:bookmarkStart w:id="696" w:name="_Toc411610416"/>
      <w:bookmarkStart w:id="697" w:name="_Toc415660941"/>
      <w:bookmarkEnd w:id="696"/>
      <w:r>
        <w:t>Closing data gaps</w:t>
      </w:r>
      <w:bookmarkEnd w:id="697"/>
    </w:p>
    <w:p w14:paraId="79B8AE50" w14:textId="77777777" w:rsidR="009B30B8" w:rsidRDefault="009B30B8" w:rsidP="009B30B8">
      <w:pPr>
        <w:pStyle w:val="BodyText"/>
      </w:pPr>
      <w:r>
        <w:t>Future evaluations of energy efficiency programs</w:t>
      </w:r>
      <w:r w:rsidR="0067496C">
        <w:t>,</w:t>
      </w:r>
      <w:r>
        <w:t xml:space="preserve"> such as the CBD program</w:t>
      </w:r>
      <w:r w:rsidR="0067496C">
        <w:t>,</w:t>
      </w:r>
      <w:r>
        <w:t xml:space="preserve"> would benefit from </w:t>
      </w:r>
      <w:r w:rsidR="000F25C4">
        <w:t xml:space="preserve">improved </w:t>
      </w:r>
      <w:r>
        <w:t xml:space="preserve">data relating to </w:t>
      </w:r>
      <w:r w:rsidR="00B379DF">
        <w:t>pay-off</w:t>
      </w:r>
      <w:r>
        <w:t>s of energy efficiency upgrades and potential benefits from improved productivity.</w:t>
      </w:r>
    </w:p>
    <w:p w14:paraId="7E3DEA19" w14:textId="7964B712" w:rsidR="005A68C3" w:rsidRDefault="005A68C3" w:rsidP="009B30B8">
      <w:pPr>
        <w:pStyle w:val="BodyText"/>
      </w:pPr>
      <w:r>
        <w:t xml:space="preserve">There </w:t>
      </w:r>
      <w:r w:rsidR="00595061">
        <w:t xml:space="preserve">are multiple </w:t>
      </w:r>
      <w:r>
        <w:t>approaches to addressing these data gaps</w:t>
      </w:r>
      <w:r w:rsidR="00CB3EC7">
        <w:t xml:space="preserve">. </w:t>
      </w:r>
      <w:r w:rsidR="00595061">
        <w:t>Additional d</w:t>
      </w:r>
      <w:r>
        <w:t>ata collection through the application process for NABERS, TLA or BEEC certificates is not recommended as this would increase regulatory burden to building owners</w:t>
      </w:r>
      <w:r w:rsidR="00CB3EC7">
        <w:t xml:space="preserve">. </w:t>
      </w:r>
      <w:r w:rsidR="00595061">
        <w:t>Rather, independent research engaging targeted stakeholders from the industry could be considered.</w:t>
      </w:r>
    </w:p>
    <w:p w14:paraId="284AC389" w14:textId="77777777" w:rsidR="00A66099" w:rsidRDefault="00A66099" w:rsidP="00E87956">
      <w:pPr>
        <w:pStyle w:val="BodyText"/>
      </w:pPr>
    </w:p>
    <w:p w14:paraId="573C1B63" w14:textId="77777777" w:rsidR="00307172" w:rsidRDefault="00307172" w:rsidP="00E37B03">
      <w:pPr>
        <w:pStyle w:val="ListDash"/>
        <w:numPr>
          <w:ilvl w:val="0"/>
          <w:numId w:val="0"/>
        </w:numPr>
        <w:ind w:left="284" w:hanging="284"/>
      </w:pPr>
    </w:p>
    <w:p w14:paraId="37F37CC8" w14:textId="77777777" w:rsidR="00220BB7" w:rsidRDefault="00220BB7" w:rsidP="004572F4">
      <w:pPr>
        <w:pStyle w:val="Heading1"/>
      </w:pPr>
      <w:bookmarkStart w:id="698" w:name="_Toc415660942"/>
      <w:r>
        <w:lastRenderedPageBreak/>
        <w:t>References</w:t>
      </w:r>
      <w:bookmarkEnd w:id="698"/>
    </w:p>
    <w:p w14:paraId="1306DA01" w14:textId="77777777" w:rsidR="00E00254" w:rsidRDefault="00E00254" w:rsidP="00E00254">
      <w:pPr>
        <w:pStyle w:val="BodyText"/>
      </w:pPr>
      <w:r>
        <w:t xml:space="preserve">Allen Consulting Group (2008), </w:t>
      </w:r>
      <w:r w:rsidRPr="00180C06">
        <w:rPr>
          <w:i/>
        </w:rPr>
        <w:t>Mandatory Disclosure of Commercial Office Building Energy Efficiency Consultation Regulation Impact Statement</w:t>
      </w:r>
      <w:r>
        <w:rPr>
          <w:i/>
        </w:rPr>
        <w:t xml:space="preserve">, </w:t>
      </w:r>
      <w:r w:rsidRPr="00180C06">
        <w:t>Canberra:</w:t>
      </w:r>
      <w:r>
        <w:rPr>
          <w:i/>
        </w:rPr>
        <w:t xml:space="preserve"> </w:t>
      </w:r>
      <w:r>
        <w:t>Department of the Environment, Water, Heritage and the Arts.</w:t>
      </w:r>
    </w:p>
    <w:p w14:paraId="08E60792" w14:textId="77777777" w:rsidR="00E00254" w:rsidRDefault="00E00254" w:rsidP="00E00254">
      <w:pPr>
        <w:pStyle w:val="BodyText"/>
      </w:pPr>
      <w:r>
        <w:t xml:space="preserve">Australian Government Department of Environment (2014), </w:t>
      </w:r>
      <w:r w:rsidRPr="005E5755">
        <w:rPr>
          <w:i/>
        </w:rPr>
        <w:t>National Greenhouse Accounts Factors</w:t>
      </w:r>
      <w:r w:rsidR="00CB3EC7">
        <w:t xml:space="preserve">. </w:t>
      </w:r>
      <w:r>
        <w:t>Canberra: Department of Environment.</w:t>
      </w:r>
    </w:p>
    <w:p w14:paraId="7BBD3025" w14:textId="77777777" w:rsidR="00E00254" w:rsidRDefault="00E00254" w:rsidP="00E00254">
      <w:pPr>
        <w:pStyle w:val="BodyText"/>
      </w:pPr>
      <w:r>
        <w:t>Australian Government Department of Finance and Deregulation (2009),</w:t>
      </w:r>
      <w:r w:rsidRPr="00EA52DB">
        <w:rPr>
          <w:i/>
        </w:rPr>
        <w:t xml:space="preserve"> Australian Government Office Occupancy Report, 2009</w:t>
      </w:r>
      <w:r>
        <w:t>.</w:t>
      </w:r>
    </w:p>
    <w:p w14:paraId="23ECFFEB" w14:textId="77777777" w:rsidR="00E00254" w:rsidRDefault="00E00254" w:rsidP="00E00254">
      <w:pPr>
        <w:pStyle w:val="BodyText"/>
      </w:pPr>
      <w:proofErr w:type="spellStart"/>
      <w:r>
        <w:t>Bennear</w:t>
      </w:r>
      <w:proofErr w:type="spellEnd"/>
      <w:r>
        <w:t xml:space="preserve">, L., </w:t>
      </w:r>
      <w:proofErr w:type="spellStart"/>
      <w:r>
        <w:t>Stavins</w:t>
      </w:r>
      <w:proofErr w:type="spellEnd"/>
      <w:r>
        <w:t>, R</w:t>
      </w:r>
      <w:r w:rsidR="00CB3EC7">
        <w:t xml:space="preserve">. </w:t>
      </w:r>
      <w:r>
        <w:t xml:space="preserve">(2007), </w:t>
      </w:r>
      <w:r w:rsidRPr="00C65A03">
        <w:rPr>
          <w:i/>
        </w:rPr>
        <w:t>Second-Best Theory and the Use of Multiple Policy Instruments”, Environmental and Resource Economics</w:t>
      </w:r>
      <w:r>
        <w:t>, 37, 1, May, pp</w:t>
      </w:r>
      <w:r w:rsidR="00CB3EC7">
        <w:t xml:space="preserve">. </w:t>
      </w:r>
      <w:r>
        <w:t>111-129.</w:t>
      </w:r>
    </w:p>
    <w:p w14:paraId="5622933E" w14:textId="77777777" w:rsidR="00E00254" w:rsidRDefault="00E00254" w:rsidP="00E00254">
      <w:pPr>
        <w:pStyle w:val="BodyText"/>
      </w:pPr>
      <w:r>
        <w:t>C</w:t>
      </w:r>
      <w:r w:rsidR="008074C7">
        <w:t xml:space="preserve">entre for </w:t>
      </w:r>
      <w:r>
        <w:t>I</w:t>
      </w:r>
      <w:r w:rsidR="008074C7">
        <w:t xml:space="preserve">ndependent </w:t>
      </w:r>
      <w:r>
        <w:t>E</w:t>
      </w:r>
      <w:r w:rsidR="008074C7">
        <w:t>conomics (CIE)</w:t>
      </w:r>
      <w:r>
        <w:t xml:space="preserve"> (2009), </w:t>
      </w:r>
      <w:r w:rsidRPr="009119A1">
        <w:rPr>
          <w:i/>
        </w:rPr>
        <w:t>Consultation Regulation Impact Statement: Proposal to Revise the Energy Efficiency Requirements in the Building Code of Australia for Commercial Buildings – Classes 3 and 5 to 9</w:t>
      </w:r>
      <w:r>
        <w:rPr>
          <w:i/>
        </w:rPr>
        <w:t>,</w:t>
      </w:r>
      <w:r>
        <w:t xml:space="preserve"> Canberra: </w:t>
      </w:r>
      <w:r w:rsidRPr="009119A1">
        <w:t xml:space="preserve">The Australian Building Codes Board </w:t>
      </w:r>
      <w:r>
        <w:t>(ABCB).</w:t>
      </w:r>
    </w:p>
    <w:p w14:paraId="07778632" w14:textId="77777777" w:rsidR="00E00254" w:rsidRDefault="00E00254" w:rsidP="00E00254">
      <w:pPr>
        <w:pStyle w:val="BodyText"/>
      </w:pPr>
      <w:proofErr w:type="spellStart"/>
      <w:r>
        <w:t>ClimateWorks</w:t>
      </w:r>
      <w:proofErr w:type="spellEnd"/>
      <w:r>
        <w:t xml:space="preserve"> (2013), </w:t>
      </w:r>
      <w:r w:rsidRPr="00C65A03">
        <w:rPr>
          <w:i/>
        </w:rPr>
        <w:t>Tracking Progress Towards a Low Carbon Economy</w:t>
      </w:r>
      <w:r>
        <w:t xml:space="preserve">, Melbourne: </w:t>
      </w:r>
      <w:proofErr w:type="spellStart"/>
      <w:r>
        <w:t>ClimateWorks</w:t>
      </w:r>
      <w:proofErr w:type="spellEnd"/>
      <w:r>
        <w:t xml:space="preserve"> Australia.</w:t>
      </w:r>
    </w:p>
    <w:p w14:paraId="0F63E962" w14:textId="77777777" w:rsidR="00E00254" w:rsidRDefault="00E00254" w:rsidP="00E00254">
      <w:pPr>
        <w:pStyle w:val="BodyText"/>
      </w:pPr>
      <w:proofErr w:type="spellStart"/>
      <w:r>
        <w:t>Eichholtz</w:t>
      </w:r>
      <w:proofErr w:type="spellEnd"/>
      <w:r>
        <w:t xml:space="preserve">, P., </w:t>
      </w:r>
      <w:proofErr w:type="spellStart"/>
      <w:r>
        <w:t>Kok</w:t>
      </w:r>
      <w:proofErr w:type="spellEnd"/>
      <w:r>
        <w:t>, N</w:t>
      </w:r>
      <w:r w:rsidR="00CB3EC7">
        <w:t xml:space="preserve">. </w:t>
      </w:r>
      <w:r>
        <w:t>and Quigley, J.M</w:t>
      </w:r>
      <w:r w:rsidR="00CB3EC7">
        <w:t xml:space="preserve">. </w:t>
      </w:r>
      <w:r>
        <w:t xml:space="preserve">(2010), </w:t>
      </w:r>
      <w:r w:rsidRPr="00EA1908">
        <w:rPr>
          <w:i/>
        </w:rPr>
        <w:t>Doing well by doing good</w:t>
      </w:r>
      <w:r w:rsidR="00CB3EC7" w:rsidRPr="00EA1908">
        <w:rPr>
          <w:i/>
        </w:rPr>
        <w:t>?</w:t>
      </w:r>
      <w:r w:rsidR="00CB3EC7">
        <w:rPr>
          <w:i/>
        </w:rPr>
        <w:t xml:space="preserve"> </w:t>
      </w:r>
      <w:r w:rsidRPr="00EA1908">
        <w:rPr>
          <w:i/>
        </w:rPr>
        <w:t>Green office buildings</w:t>
      </w:r>
      <w:r>
        <w:t xml:space="preserve">, </w:t>
      </w:r>
      <w:r w:rsidRPr="00DB0E3E">
        <w:rPr>
          <w:i/>
        </w:rPr>
        <w:t>American Economic Review</w:t>
      </w:r>
      <w:r>
        <w:t>, Vol</w:t>
      </w:r>
      <w:r w:rsidR="00CB3EC7">
        <w:t xml:space="preserve">. </w:t>
      </w:r>
      <w:r>
        <w:t>100 No</w:t>
      </w:r>
      <w:r w:rsidR="00CB3EC7">
        <w:t xml:space="preserve">. </w:t>
      </w:r>
      <w:r>
        <w:t>5, pp</w:t>
      </w:r>
      <w:r w:rsidR="00CB3EC7">
        <w:t xml:space="preserve">. </w:t>
      </w:r>
      <w:r>
        <w:t>2492-2509.</w:t>
      </w:r>
    </w:p>
    <w:p w14:paraId="06FD1771" w14:textId="77777777" w:rsidR="00E00254" w:rsidRDefault="00E00254" w:rsidP="00E00254">
      <w:pPr>
        <w:pStyle w:val="BodyText"/>
      </w:pPr>
      <w:r>
        <w:t>Fischer, C., Newell, R</w:t>
      </w:r>
      <w:r w:rsidR="00CB3EC7">
        <w:t xml:space="preserve">. </w:t>
      </w:r>
      <w:r>
        <w:t xml:space="preserve">(2008), </w:t>
      </w:r>
      <w:r w:rsidRPr="00C65A03">
        <w:rPr>
          <w:i/>
        </w:rPr>
        <w:t>Environmental and Technology Policies for Climate Mitigation</w:t>
      </w:r>
      <w:r>
        <w:t xml:space="preserve">, </w:t>
      </w:r>
      <w:r w:rsidRPr="00DB0E3E">
        <w:rPr>
          <w:i/>
        </w:rPr>
        <w:t>Journal of Environmental Economics and Management</w:t>
      </w:r>
      <w:r>
        <w:t>, 55, 2, March, pp</w:t>
      </w:r>
      <w:r w:rsidR="00CB3EC7">
        <w:t xml:space="preserve">. </w:t>
      </w:r>
      <w:r>
        <w:t>142-162.</w:t>
      </w:r>
    </w:p>
    <w:p w14:paraId="3678FE6D" w14:textId="77777777" w:rsidR="00E00254" w:rsidRDefault="00E00254" w:rsidP="00E00254">
      <w:pPr>
        <w:pStyle w:val="BodyText"/>
      </w:pPr>
      <w:proofErr w:type="spellStart"/>
      <w:r>
        <w:t>Fuerst</w:t>
      </w:r>
      <w:proofErr w:type="spellEnd"/>
      <w:r>
        <w:t>, F</w:t>
      </w:r>
      <w:r w:rsidR="00CB3EC7">
        <w:t xml:space="preserve">. </w:t>
      </w:r>
      <w:r>
        <w:t>and McAllister, P</w:t>
      </w:r>
      <w:r w:rsidR="00CB3EC7">
        <w:t xml:space="preserve">. </w:t>
      </w:r>
      <w:r>
        <w:t xml:space="preserve">(2011a), </w:t>
      </w:r>
      <w:r w:rsidRPr="00B87514">
        <w:rPr>
          <w:i/>
        </w:rPr>
        <w:t>Eco-</w:t>
      </w:r>
      <w:proofErr w:type="spellStart"/>
      <w:r w:rsidRPr="00B87514">
        <w:rPr>
          <w:i/>
        </w:rPr>
        <w:t>labeling</w:t>
      </w:r>
      <w:proofErr w:type="spellEnd"/>
      <w:r w:rsidRPr="00B87514">
        <w:rPr>
          <w:i/>
        </w:rPr>
        <w:t xml:space="preserve"> in commercial office markets: do LEED and Energy Star offices obtain multiple premiums?</w:t>
      </w:r>
      <w:r>
        <w:t xml:space="preserve">, </w:t>
      </w:r>
      <w:r w:rsidRPr="00DB0E3E">
        <w:rPr>
          <w:i/>
        </w:rPr>
        <w:t>Ecological Economics</w:t>
      </w:r>
      <w:r>
        <w:t>, Vol</w:t>
      </w:r>
      <w:r w:rsidR="00CB3EC7">
        <w:t xml:space="preserve">. </w:t>
      </w:r>
      <w:r>
        <w:t>70 No</w:t>
      </w:r>
      <w:r w:rsidR="00CB3EC7">
        <w:t xml:space="preserve">. </w:t>
      </w:r>
      <w:r>
        <w:t>6, pp</w:t>
      </w:r>
      <w:r w:rsidR="00CB3EC7">
        <w:t xml:space="preserve">. </w:t>
      </w:r>
      <w:r>
        <w:t>1220-1230.</w:t>
      </w:r>
    </w:p>
    <w:p w14:paraId="5AC57429" w14:textId="77777777" w:rsidR="00E00254" w:rsidRDefault="00E00254" w:rsidP="00E00254">
      <w:pPr>
        <w:pStyle w:val="BodyText"/>
      </w:pPr>
      <w:proofErr w:type="spellStart"/>
      <w:r>
        <w:t>Fuerst</w:t>
      </w:r>
      <w:proofErr w:type="spellEnd"/>
      <w:r>
        <w:t>, F</w:t>
      </w:r>
      <w:r w:rsidR="00CB3EC7">
        <w:t xml:space="preserve">. </w:t>
      </w:r>
      <w:r>
        <w:t>and McAllister, P</w:t>
      </w:r>
      <w:r w:rsidR="00CB3EC7">
        <w:t xml:space="preserve">. </w:t>
      </w:r>
      <w:r>
        <w:t xml:space="preserve">(2011b), </w:t>
      </w:r>
      <w:r w:rsidR="00E957D7">
        <w:t>“</w:t>
      </w:r>
      <w:r w:rsidRPr="00DB0E3E">
        <w:t>Green noise or green value</w:t>
      </w:r>
      <w:r w:rsidR="00CB3EC7" w:rsidRPr="00DB0E3E">
        <w:t>?</w:t>
      </w:r>
      <w:r w:rsidR="00CB3EC7">
        <w:t xml:space="preserve"> </w:t>
      </w:r>
      <w:r w:rsidRPr="00DB0E3E">
        <w:t>Measuring the effects of environmental certification on office values</w:t>
      </w:r>
      <w:r w:rsidR="00E957D7">
        <w:t>”</w:t>
      </w:r>
      <w:r>
        <w:rPr>
          <w:i/>
        </w:rPr>
        <w:t>,</w:t>
      </w:r>
      <w:r w:rsidRPr="00AE74F4">
        <w:rPr>
          <w:i/>
        </w:rPr>
        <w:t xml:space="preserve"> </w:t>
      </w:r>
      <w:r w:rsidRPr="00DB0E3E">
        <w:rPr>
          <w:i/>
        </w:rPr>
        <w:t>Real Estate Economics</w:t>
      </w:r>
      <w:r>
        <w:t>, Vol</w:t>
      </w:r>
      <w:r w:rsidR="00CB3EC7">
        <w:t xml:space="preserve">. </w:t>
      </w:r>
      <w:r>
        <w:t>39 No</w:t>
      </w:r>
      <w:r w:rsidR="00CB3EC7">
        <w:t xml:space="preserve">. </w:t>
      </w:r>
      <w:r>
        <w:t>1, pp</w:t>
      </w:r>
      <w:r w:rsidR="00CB3EC7">
        <w:t xml:space="preserve">. </w:t>
      </w:r>
      <w:r>
        <w:t>45-69.</w:t>
      </w:r>
    </w:p>
    <w:p w14:paraId="64063D8E" w14:textId="77777777" w:rsidR="00E00254" w:rsidRDefault="00E00254" w:rsidP="00E00254">
      <w:pPr>
        <w:pStyle w:val="BodyText"/>
      </w:pPr>
      <w:proofErr w:type="spellStart"/>
      <w:r>
        <w:t>Goulder</w:t>
      </w:r>
      <w:proofErr w:type="spellEnd"/>
      <w:r>
        <w:t>, L., Parry, I</w:t>
      </w:r>
      <w:r w:rsidR="00CB3EC7">
        <w:t xml:space="preserve">. </w:t>
      </w:r>
      <w:r>
        <w:t xml:space="preserve">(2008), </w:t>
      </w:r>
      <w:r w:rsidRPr="00C65A03">
        <w:rPr>
          <w:i/>
        </w:rPr>
        <w:t>Instrument Choice in Environmental Policy</w:t>
      </w:r>
      <w:r>
        <w:t>, Review of Environmental Economics and Policy, 2, 2, Summer, pp</w:t>
      </w:r>
      <w:r w:rsidR="00CB3EC7">
        <w:t xml:space="preserve">. </w:t>
      </w:r>
      <w:r>
        <w:t>152-174.</w:t>
      </w:r>
    </w:p>
    <w:p w14:paraId="5E7469AB" w14:textId="0D108CC5" w:rsidR="00AC12FD" w:rsidRPr="003F5F13" w:rsidRDefault="00AC12FD" w:rsidP="00E00254">
      <w:pPr>
        <w:pStyle w:val="BodyText"/>
        <w:rPr>
          <w:i/>
        </w:rPr>
      </w:pPr>
      <w:r>
        <w:t xml:space="preserve">Grosvenor </w:t>
      </w:r>
      <w:r w:rsidR="00205A01">
        <w:t>M</w:t>
      </w:r>
      <w:r>
        <w:t xml:space="preserve">anagement </w:t>
      </w:r>
      <w:r w:rsidR="00205A01">
        <w:t>C</w:t>
      </w:r>
      <w:r>
        <w:t xml:space="preserve">onsulting (2013), </w:t>
      </w:r>
      <w:r>
        <w:rPr>
          <w:i/>
        </w:rPr>
        <w:t>Review of the Operational Efficiency of the Commercial Building Disclosure Program,</w:t>
      </w:r>
      <w:r w:rsidRPr="00AC12FD">
        <w:t xml:space="preserve"> </w:t>
      </w:r>
      <w:r w:rsidRPr="003F5F13">
        <w:t xml:space="preserve">Canberra: Department </w:t>
      </w:r>
      <w:r w:rsidR="002B77C2">
        <w:t>of Resources, Energy and Tourism.</w:t>
      </w:r>
    </w:p>
    <w:p w14:paraId="3306B357" w14:textId="77777777" w:rsidR="00E00254" w:rsidRDefault="00E00254" w:rsidP="00E00254">
      <w:pPr>
        <w:pStyle w:val="BodyText"/>
      </w:pPr>
      <w:r>
        <w:t>IPD (2014)</w:t>
      </w:r>
      <w:r w:rsidR="00CB3EC7">
        <w:t xml:space="preserve">. </w:t>
      </w:r>
      <w:r w:rsidRPr="00780F54">
        <w:rPr>
          <w:i/>
        </w:rPr>
        <w:t>IPD / Department of Industry NABERS Energy Office Market Analysis: Latest Key Findings Period Ending December 2013</w:t>
      </w:r>
      <w:r>
        <w:t>.</w:t>
      </w:r>
    </w:p>
    <w:p w14:paraId="231AF1DD" w14:textId="77777777" w:rsidR="00E00254" w:rsidRDefault="00E00254" w:rsidP="00E00254">
      <w:pPr>
        <w:pStyle w:val="BodyText"/>
      </w:pPr>
      <w:r>
        <w:t xml:space="preserve">Jaffe, A., Newell, R., </w:t>
      </w:r>
      <w:proofErr w:type="spellStart"/>
      <w:r>
        <w:t>Stavins</w:t>
      </w:r>
      <w:proofErr w:type="spellEnd"/>
      <w:r>
        <w:t>, R</w:t>
      </w:r>
      <w:r w:rsidR="00CB3EC7">
        <w:t xml:space="preserve">. </w:t>
      </w:r>
      <w:r>
        <w:t xml:space="preserve">(2005), </w:t>
      </w:r>
      <w:r w:rsidRPr="00C65A03">
        <w:rPr>
          <w:i/>
        </w:rPr>
        <w:t>A Tale of Two Market Failures: Technology and Environmental Policy</w:t>
      </w:r>
      <w:r>
        <w:t>, Ecological Economics, Volume 54, Issues 2–3, 1 August 2005, pp 164–174.</w:t>
      </w:r>
    </w:p>
    <w:p w14:paraId="5BBD7C48" w14:textId="77777777" w:rsidR="00A77055" w:rsidRDefault="00A77055" w:rsidP="00E00254">
      <w:pPr>
        <w:pStyle w:val="BodyText"/>
      </w:pPr>
      <w:r>
        <w:t>Katz, G</w:t>
      </w:r>
      <w:r w:rsidR="00CB3EC7">
        <w:t xml:space="preserve">. </w:t>
      </w:r>
      <w:r>
        <w:t>et al</w:t>
      </w:r>
      <w:r w:rsidR="00CB3EC7">
        <w:t xml:space="preserve">. </w:t>
      </w:r>
      <w:r>
        <w:t>(2003)</w:t>
      </w:r>
      <w:r w:rsidR="00CB3EC7">
        <w:t xml:space="preserve">. </w:t>
      </w:r>
      <w:r w:rsidRPr="00DB0E3E">
        <w:rPr>
          <w:i/>
        </w:rPr>
        <w:t>The Costs and Financial Benefits of Green Buildings: A Report to California’s Sustainable Building Task Force</w:t>
      </w:r>
      <w:r>
        <w:t>, October.</w:t>
      </w:r>
    </w:p>
    <w:p w14:paraId="0F55BD90" w14:textId="77777777" w:rsidR="00E00254" w:rsidRDefault="00E00254" w:rsidP="00E00254">
      <w:pPr>
        <w:pStyle w:val="BodyText"/>
      </w:pPr>
      <w:r>
        <w:lastRenderedPageBreak/>
        <w:t>Miller, N., Spivey, J</w:t>
      </w:r>
      <w:r w:rsidR="00CB3EC7">
        <w:t xml:space="preserve">. </w:t>
      </w:r>
      <w:r>
        <w:t xml:space="preserve">and </w:t>
      </w:r>
      <w:proofErr w:type="spellStart"/>
      <w:r>
        <w:t>Florance</w:t>
      </w:r>
      <w:proofErr w:type="spellEnd"/>
      <w:r>
        <w:t>, A</w:t>
      </w:r>
      <w:r w:rsidR="00CB3EC7">
        <w:t xml:space="preserve">. </w:t>
      </w:r>
      <w:r>
        <w:t xml:space="preserve">(2008), </w:t>
      </w:r>
      <w:r w:rsidRPr="00EA1908">
        <w:rPr>
          <w:i/>
        </w:rPr>
        <w:t>Does green pay off?</w:t>
      </w:r>
      <w:r>
        <w:t xml:space="preserve">, </w:t>
      </w:r>
      <w:r w:rsidRPr="00DB0E3E">
        <w:rPr>
          <w:i/>
        </w:rPr>
        <w:t>Journal of Real Estate Portfolio Management</w:t>
      </w:r>
      <w:r>
        <w:t>, Vol</w:t>
      </w:r>
      <w:r w:rsidR="00CB3EC7">
        <w:t xml:space="preserve">. </w:t>
      </w:r>
      <w:r>
        <w:t>14 No</w:t>
      </w:r>
      <w:r w:rsidR="00CB3EC7">
        <w:t xml:space="preserve">. </w:t>
      </w:r>
      <w:r>
        <w:t>4, pp</w:t>
      </w:r>
      <w:r w:rsidR="00CB3EC7">
        <w:t xml:space="preserve">. </w:t>
      </w:r>
      <w:r>
        <w:t>385-399.</w:t>
      </w:r>
    </w:p>
    <w:p w14:paraId="6755E3E6" w14:textId="77777777" w:rsidR="00E00254" w:rsidRDefault="00E00254" w:rsidP="00E00254">
      <w:pPr>
        <w:pStyle w:val="BodyText"/>
      </w:pPr>
      <w:r>
        <w:t>Miller, N</w:t>
      </w:r>
      <w:r w:rsidR="00CB3EC7">
        <w:t xml:space="preserve">. </w:t>
      </w:r>
      <w:r>
        <w:t>G., Pogue, D., Gough, Q</w:t>
      </w:r>
      <w:r w:rsidR="00CB3EC7">
        <w:t xml:space="preserve">. </w:t>
      </w:r>
      <w:r>
        <w:t>D., Davis, S</w:t>
      </w:r>
      <w:r w:rsidR="00CB3EC7">
        <w:t xml:space="preserve">. </w:t>
      </w:r>
      <w:r>
        <w:t xml:space="preserve">M., (2009), </w:t>
      </w:r>
      <w:r w:rsidRPr="00EA52DB">
        <w:rPr>
          <w:i/>
        </w:rPr>
        <w:t>Green Buildings and Productivity</w:t>
      </w:r>
      <w:r>
        <w:t xml:space="preserve">, </w:t>
      </w:r>
      <w:r w:rsidRPr="00DB0E3E">
        <w:rPr>
          <w:i/>
        </w:rPr>
        <w:t>Journal of Sustainable Real Estate</w:t>
      </w:r>
      <w:r>
        <w:t>, Vol</w:t>
      </w:r>
      <w:r w:rsidR="00CB3EC7">
        <w:t xml:space="preserve">. </w:t>
      </w:r>
      <w:r>
        <w:t>1, No</w:t>
      </w:r>
      <w:r w:rsidR="00CB3EC7">
        <w:t xml:space="preserve">. </w:t>
      </w:r>
      <w:r>
        <w:t>1, Fall 2009.</w:t>
      </w:r>
    </w:p>
    <w:p w14:paraId="6514DD4C" w14:textId="77777777" w:rsidR="00E00254" w:rsidRDefault="00E00254" w:rsidP="00E00254">
      <w:pPr>
        <w:pStyle w:val="BodyText"/>
      </w:pPr>
      <w:r>
        <w:t xml:space="preserve">NSW Office of Environment and Heritage (NSW OEH) (2014), </w:t>
      </w:r>
      <w:r w:rsidRPr="005E5755">
        <w:rPr>
          <w:i/>
        </w:rPr>
        <w:t>NSW Government Resource Efficiency Policy</w:t>
      </w:r>
      <w:r>
        <w:t>, Sydney: NSW OEH.</w:t>
      </w:r>
    </w:p>
    <w:p w14:paraId="6C7A9847" w14:textId="77777777" w:rsidR="00E00254" w:rsidRDefault="00E00254" w:rsidP="00E00254">
      <w:pPr>
        <w:pStyle w:val="BodyText"/>
      </w:pPr>
      <w:proofErr w:type="spellStart"/>
      <w:r>
        <w:t>pitt&amp;sherry</w:t>
      </w:r>
      <w:proofErr w:type="spellEnd"/>
      <w:r>
        <w:t xml:space="preserve"> (2012), </w:t>
      </w:r>
      <w:r w:rsidRPr="00C65A03">
        <w:rPr>
          <w:i/>
        </w:rPr>
        <w:t>Baseline Energy Consumption and Greenhouse Gas Emissions In Commercial Buildings in Australia</w:t>
      </w:r>
      <w:r>
        <w:t>, Canberra: Department of Climate Change and Energy Efficiency, Australian Government Department of the Environment, Water, Heritage and the Arts, Commonwealth of Australia.</w:t>
      </w:r>
    </w:p>
    <w:p w14:paraId="3630DCAC" w14:textId="77777777" w:rsidR="00E00254" w:rsidRDefault="00E00254" w:rsidP="00E00254">
      <w:pPr>
        <w:pStyle w:val="BodyText"/>
      </w:pPr>
      <w:proofErr w:type="spellStart"/>
      <w:r>
        <w:t>Pivo</w:t>
      </w:r>
      <w:proofErr w:type="spellEnd"/>
      <w:r>
        <w:t>, G</w:t>
      </w:r>
      <w:r w:rsidR="00CB3EC7">
        <w:t xml:space="preserve">. </w:t>
      </w:r>
      <w:r>
        <w:t>and Fisher, J.D</w:t>
      </w:r>
      <w:r w:rsidR="00CB3EC7">
        <w:t xml:space="preserve">. </w:t>
      </w:r>
      <w:r>
        <w:t xml:space="preserve">(2010), </w:t>
      </w:r>
      <w:r w:rsidRPr="00B87514">
        <w:rPr>
          <w:i/>
        </w:rPr>
        <w:t>Income, value, and returns in socially responsible office properties</w:t>
      </w:r>
      <w:r>
        <w:t xml:space="preserve">, </w:t>
      </w:r>
      <w:r w:rsidRPr="00DB0E3E">
        <w:rPr>
          <w:i/>
        </w:rPr>
        <w:t>Journal of Real Estate Research</w:t>
      </w:r>
      <w:r>
        <w:t>, Vol</w:t>
      </w:r>
      <w:r w:rsidR="00CB3EC7">
        <w:t xml:space="preserve">. </w:t>
      </w:r>
      <w:r>
        <w:t>32 No</w:t>
      </w:r>
      <w:r w:rsidR="00CB3EC7">
        <w:t xml:space="preserve">. </w:t>
      </w:r>
      <w:r>
        <w:t>3, pp</w:t>
      </w:r>
      <w:r w:rsidR="00CB3EC7">
        <w:t xml:space="preserve">. </w:t>
      </w:r>
      <w:r>
        <w:t>243-270.</w:t>
      </w:r>
    </w:p>
    <w:p w14:paraId="0B8E7626" w14:textId="77777777" w:rsidR="00E00254" w:rsidRDefault="00E00254" w:rsidP="00E00254">
      <w:pPr>
        <w:pStyle w:val="BodyText"/>
      </w:pPr>
      <w:r>
        <w:t xml:space="preserve">Productivity Commission (2008), </w:t>
      </w:r>
      <w:r w:rsidRPr="00C65A03">
        <w:rPr>
          <w:i/>
        </w:rPr>
        <w:t>What Role for Policies to Supplement an Emissions Trading Scheme</w:t>
      </w:r>
      <w:r w:rsidR="00CB3EC7" w:rsidRPr="00C65A03">
        <w:rPr>
          <w:i/>
        </w:rPr>
        <w:t>?</w:t>
      </w:r>
      <w:r w:rsidR="00CB3EC7">
        <w:rPr>
          <w:i/>
        </w:rPr>
        <w:t xml:space="preserve"> </w:t>
      </w:r>
      <w:r w:rsidRPr="00C65A03">
        <w:rPr>
          <w:i/>
        </w:rPr>
        <w:t xml:space="preserve">Submission to the </w:t>
      </w:r>
      <w:proofErr w:type="spellStart"/>
      <w:r w:rsidRPr="00C65A03">
        <w:rPr>
          <w:i/>
        </w:rPr>
        <w:t>Garnaut</w:t>
      </w:r>
      <w:proofErr w:type="spellEnd"/>
      <w:r w:rsidRPr="00C65A03">
        <w:rPr>
          <w:i/>
        </w:rPr>
        <w:t xml:space="preserve"> Climate Change Review</w:t>
      </w:r>
      <w:r>
        <w:t>, Canberra: Commonwealth of Australia.</w:t>
      </w:r>
    </w:p>
    <w:p w14:paraId="7357441A" w14:textId="77777777" w:rsidR="00E00254" w:rsidRDefault="00E00254" w:rsidP="00E00254">
      <w:pPr>
        <w:pStyle w:val="BodyText"/>
      </w:pPr>
      <w:proofErr w:type="spellStart"/>
      <w:r>
        <w:t>Reichardt</w:t>
      </w:r>
      <w:proofErr w:type="spellEnd"/>
      <w:r>
        <w:t xml:space="preserve">, A., </w:t>
      </w:r>
      <w:proofErr w:type="spellStart"/>
      <w:r>
        <w:t>Fuerst</w:t>
      </w:r>
      <w:proofErr w:type="spellEnd"/>
      <w:r>
        <w:t xml:space="preserve">, F., </w:t>
      </w:r>
      <w:proofErr w:type="spellStart"/>
      <w:r>
        <w:t>Rottke</w:t>
      </w:r>
      <w:proofErr w:type="spellEnd"/>
      <w:r>
        <w:t>, N.B</w:t>
      </w:r>
      <w:r w:rsidR="00CB3EC7">
        <w:t xml:space="preserve">. </w:t>
      </w:r>
      <w:r>
        <w:t xml:space="preserve">and </w:t>
      </w:r>
      <w:proofErr w:type="spellStart"/>
      <w:r>
        <w:t>Zietz</w:t>
      </w:r>
      <w:proofErr w:type="spellEnd"/>
      <w:r>
        <w:t>, J</w:t>
      </w:r>
      <w:r w:rsidR="00CB3EC7">
        <w:t xml:space="preserve">. </w:t>
      </w:r>
      <w:r>
        <w:t xml:space="preserve">(2012), </w:t>
      </w:r>
      <w:r w:rsidRPr="00B87514">
        <w:rPr>
          <w:i/>
        </w:rPr>
        <w:t>Sustainable building certification and the rent premium: a panel data approach</w:t>
      </w:r>
      <w:r>
        <w:t xml:space="preserve">, </w:t>
      </w:r>
      <w:r w:rsidRPr="00DB0E3E">
        <w:rPr>
          <w:i/>
        </w:rPr>
        <w:t>Journal of Real Estate Research</w:t>
      </w:r>
      <w:r>
        <w:t>, Vol</w:t>
      </w:r>
      <w:r w:rsidR="00CB3EC7">
        <w:t xml:space="preserve">. </w:t>
      </w:r>
      <w:r>
        <w:t>34 No</w:t>
      </w:r>
      <w:r w:rsidR="00CB3EC7">
        <w:t xml:space="preserve">. </w:t>
      </w:r>
      <w:r>
        <w:t>1, pp</w:t>
      </w:r>
      <w:r w:rsidR="00CB3EC7">
        <w:t xml:space="preserve">. </w:t>
      </w:r>
      <w:r>
        <w:t>99-126.</w:t>
      </w:r>
    </w:p>
    <w:p w14:paraId="75DC9167" w14:textId="77777777" w:rsidR="006A5ABF" w:rsidRDefault="006A5ABF" w:rsidP="00E00254">
      <w:pPr>
        <w:pStyle w:val="BodyText"/>
      </w:pPr>
      <w:r>
        <w:t>Singh</w:t>
      </w:r>
      <w:r w:rsidR="00E957D7">
        <w:t>,</w:t>
      </w:r>
      <w:r>
        <w:t xml:space="preserve"> A</w:t>
      </w:r>
      <w:r w:rsidR="00CB3EC7">
        <w:t xml:space="preserve">. </w:t>
      </w:r>
      <w:r>
        <w:t>et al</w:t>
      </w:r>
      <w:r w:rsidR="00CB3EC7">
        <w:t xml:space="preserve">. </w:t>
      </w:r>
      <w:r>
        <w:t>(2009)</w:t>
      </w:r>
      <w:r w:rsidR="00CB3EC7">
        <w:t xml:space="preserve">. </w:t>
      </w:r>
      <w:r w:rsidRPr="00DB0E3E">
        <w:rPr>
          <w:i/>
        </w:rPr>
        <w:t>Life Cycle Cost Analysis of Occupant Well-Being and Productivity in LEED Offices</w:t>
      </w:r>
      <w:r>
        <w:t>, a paper published by Michigan State University School of Planning, Design and Construction, May.</w:t>
      </w:r>
    </w:p>
    <w:p w14:paraId="29C31547" w14:textId="77777777" w:rsidR="00E00254" w:rsidRDefault="00E00254" w:rsidP="00E00254">
      <w:pPr>
        <w:pStyle w:val="BodyText"/>
      </w:pPr>
      <w:r>
        <w:t>Stern, N</w:t>
      </w:r>
      <w:r w:rsidR="00CB3EC7">
        <w:t xml:space="preserve">. </w:t>
      </w:r>
      <w:r>
        <w:t xml:space="preserve">(2007), </w:t>
      </w:r>
      <w:r w:rsidRPr="00C65A03">
        <w:rPr>
          <w:i/>
        </w:rPr>
        <w:t>The Economics of Climate Change: The Stern Review</w:t>
      </w:r>
      <w:r>
        <w:t>, Cambridge: Cambridge University Press.</w:t>
      </w:r>
    </w:p>
    <w:p w14:paraId="3C141E2F" w14:textId="77777777" w:rsidR="00E00254" w:rsidRDefault="00E00254" w:rsidP="00E00254">
      <w:pPr>
        <w:pStyle w:val="BodyText"/>
      </w:pPr>
      <w:r>
        <w:t xml:space="preserve">Victorian Department of Treasury and Finance (2013), </w:t>
      </w:r>
      <w:r w:rsidRPr="005E5755">
        <w:rPr>
          <w:i/>
        </w:rPr>
        <w:t>Greener Government Buildings (GGB) Program Report</w:t>
      </w:r>
      <w:r>
        <w:t>.</w:t>
      </w:r>
    </w:p>
    <w:p w14:paraId="6AD6BF4C" w14:textId="77777777" w:rsidR="00E00254" w:rsidRDefault="00E00254" w:rsidP="00E00254">
      <w:pPr>
        <w:pStyle w:val="BodyText"/>
      </w:pPr>
      <w:r>
        <w:t xml:space="preserve">Wiley, J., </w:t>
      </w:r>
      <w:proofErr w:type="spellStart"/>
      <w:r>
        <w:t>Benefield</w:t>
      </w:r>
      <w:proofErr w:type="spellEnd"/>
      <w:r>
        <w:t>, J</w:t>
      </w:r>
      <w:r w:rsidR="00CB3EC7">
        <w:t xml:space="preserve">. </w:t>
      </w:r>
      <w:r>
        <w:t>and Johnson, K</w:t>
      </w:r>
      <w:r w:rsidR="00CB3EC7">
        <w:t xml:space="preserve">. </w:t>
      </w:r>
      <w:r>
        <w:t xml:space="preserve">(2010), </w:t>
      </w:r>
      <w:r w:rsidRPr="00B87514">
        <w:rPr>
          <w:i/>
        </w:rPr>
        <w:t>Green design and the market for commercial office space</w:t>
      </w:r>
      <w:r>
        <w:t xml:space="preserve">, </w:t>
      </w:r>
      <w:r w:rsidRPr="00DB0E3E">
        <w:rPr>
          <w:i/>
        </w:rPr>
        <w:t>The Journal of Real Estate Finance and Economics</w:t>
      </w:r>
      <w:r>
        <w:t>, Vol</w:t>
      </w:r>
      <w:r w:rsidR="00CB3EC7">
        <w:t xml:space="preserve">. </w:t>
      </w:r>
      <w:r>
        <w:t>41 No</w:t>
      </w:r>
      <w:r w:rsidR="00CB3EC7">
        <w:t xml:space="preserve">. </w:t>
      </w:r>
      <w:r>
        <w:t>2, pp</w:t>
      </w:r>
      <w:r w:rsidR="00CB3EC7">
        <w:t xml:space="preserve">. </w:t>
      </w:r>
      <w:r>
        <w:t>228-243.</w:t>
      </w:r>
    </w:p>
    <w:p w14:paraId="4B75B8BA" w14:textId="77777777" w:rsidR="00CC41A6" w:rsidRDefault="00CC41A6" w:rsidP="00E00254">
      <w:pPr>
        <w:pStyle w:val="BodyText"/>
      </w:pPr>
    </w:p>
    <w:p w14:paraId="7E3C839E" w14:textId="77777777" w:rsidR="00CC41A6" w:rsidRDefault="00CC41A6" w:rsidP="00E00254">
      <w:pPr>
        <w:pStyle w:val="BodyText"/>
        <w:sectPr w:rsidR="00CC41A6">
          <w:footerReference w:type="default" r:id="rId63"/>
          <w:pgSz w:w="11907" w:h="16839" w:code="9"/>
          <w:pgMar w:top="1134" w:right="850" w:bottom="709" w:left="3118" w:header="709" w:footer="567" w:gutter="567"/>
          <w:pgNumType w:start="1"/>
          <w:cols w:space="720"/>
          <w:docGrid w:linePitch="326"/>
        </w:sectPr>
      </w:pPr>
    </w:p>
    <w:p w14:paraId="7292529C" w14:textId="77777777" w:rsidR="00CC41A6" w:rsidRDefault="00CC41A6" w:rsidP="00CC41A6">
      <w:pPr>
        <w:pStyle w:val="Heading7"/>
      </w:pPr>
      <w:bookmarkStart w:id="699" w:name="_Toc414882111"/>
      <w:r w:rsidRPr="00CC41A6">
        <w:lastRenderedPageBreak/>
        <w:t>Cost benefit analysis assumptions</w:t>
      </w:r>
      <w:bookmarkEnd w:id="699"/>
      <w:r w:rsidRPr="00CC41A6">
        <w:t xml:space="preserve"> </w:t>
      </w:r>
    </w:p>
    <w:p w14:paraId="72782195" w14:textId="77777777" w:rsidR="001953A7" w:rsidRDefault="001953A7" w:rsidP="001953A7">
      <w:pPr>
        <w:pStyle w:val="Heading8"/>
        <w:numPr>
          <w:ilvl w:val="7"/>
          <w:numId w:val="20"/>
        </w:numPr>
      </w:pPr>
      <w:bookmarkStart w:id="700" w:name="_Ref406763526"/>
      <w:bookmarkStart w:id="701" w:name="_Ref408832308"/>
      <w:r>
        <w:t>Program costs (costs to government)</w:t>
      </w:r>
    </w:p>
    <w:p w14:paraId="05AD3529" w14:textId="77777777" w:rsidR="001953A7" w:rsidRDefault="001953A7" w:rsidP="001953A7">
      <w:pPr>
        <w:pStyle w:val="Heading9"/>
        <w:numPr>
          <w:ilvl w:val="8"/>
          <w:numId w:val="20"/>
        </w:numPr>
      </w:pPr>
      <w:r>
        <w:t>Program costs to date</w:t>
      </w:r>
    </w:p>
    <w:p w14:paraId="60DD2C40" w14:textId="77777777" w:rsidR="00DD31C2" w:rsidRDefault="00DD31C2" w:rsidP="00DD31C2">
      <w:pPr>
        <w:pStyle w:val="BodyText"/>
      </w:pPr>
      <w:r>
        <w:t>The costs to government have been derived from estimates provided by the Department</w:t>
      </w:r>
      <w:r w:rsidR="00CB3EC7">
        <w:t xml:space="preserve">. </w:t>
      </w:r>
      <w:r w:rsidR="00531B40">
        <w:t xml:space="preserve">The Department estimates </w:t>
      </w:r>
      <w:r>
        <w:t>include an estimate of the number of Full Time Equivalent (FTE) employees and non-staff costs involved in operating the program.</w:t>
      </w:r>
    </w:p>
    <w:p w14:paraId="1FF78299" w14:textId="77777777" w:rsidR="00DD31C2" w:rsidRDefault="00DD31C2" w:rsidP="00DD31C2">
      <w:pPr>
        <w:pStyle w:val="BodyText"/>
      </w:pPr>
      <w:r>
        <w:t>An estimated 14 FTEs were required to administer the program in 2012-13</w:t>
      </w:r>
      <w:r w:rsidR="00CB3EC7">
        <w:t xml:space="preserve">. </w:t>
      </w:r>
      <w:r>
        <w:t xml:space="preserve">The assumed average annual cost per FTE is $100,000 (including on-costs) for a total employee cost of </w:t>
      </w:r>
      <w:r w:rsidRPr="003F5F13">
        <w:t>$1.4 million</w:t>
      </w:r>
      <w:r w:rsidR="00CB3EC7" w:rsidRPr="00205A01">
        <w:t xml:space="preserve">. </w:t>
      </w:r>
      <w:r w:rsidRPr="00205A01">
        <w:t>Non</w:t>
      </w:r>
      <w:r>
        <w:t xml:space="preserve">-staff costs were estimated to </w:t>
      </w:r>
      <w:r w:rsidRPr="00205A01">
        <w:t xml:space="preserve">be </w:t>
      </w:r>
      <w:r w:rsidRPr="003F5F13">
        <w:t>$0.6 million</w:t>
      </w:r>
      <w:r w:rsidR="00CB3EC7" w:rsidRPr="003F5F13">
        <w:t>.</w:t>
      </w:r>
      <w:r w:rsidR="00CB3EC7">
        <w:rPr>
          <w:b/>
        </w:rPr>
        <w:t xml:space="preserve"> </w:t>
      </w:r>
      <w:r w:rsidRPr="001B1EA3">
        <w:t>Non-staff costs</w:t>
      </w:r>
      <w:r>
        <w:t xml:space="preserve"> include:</w:t>
      </w:r>
    </w:p>
    <w:p w14:paraId="7559D7E8" w14:textId="77777777" w:rsidR="00DD31C2" w:rsidRDefault="00E5227A" w:rsidP="00DD31C2">
      <w:pPr>
        <w:pStyle w:val="ListDash"/>
      </w:pPr>
      <w:r>
        <w:t>i</w:t>
      </w:r>
      <w:r w:rsidR="00DD31C2">
        <w:t xml:space="preserve">nformation and </w:t>
      </w:r>
      <w:r>
        <w:t>c</w:t>
      </w:r>
      <w:r w:rsidR="00DD31C2">
        <w:t xml:space="preserve">ommunication </w:t>
      </w:r>
      <w:r>
        <w:t>t</w:t>
      </w:r>
      <w:r w:rsidR="00DD31C2">
        <w:t>echnology (ICT) maintenance</w:t>
      </w:r>
    </w:p>
    <w:p w14:paraId="12BCE58E" w14:textId="77777777" w:rsidR="00DD31C2" w:rsidRDefault="00E5227A" w:rsidP="00DD31C2">
      <w:pPr>
        <w:pStyle w:val="ListDash"/>
      </w:pPr>
      <w:r>
        <w:t>m</w:t>
      </w:r>
      <w:r w:rsidR="00DD31C2" w:rsidRPr="00A575CF">
        <w:t xml:space="preserve">onitoring &amp; </w:t>
      </w:r>
      <w:r>
        <w:t>e</w:t>
      </w:r>
      <w:r w:rsidR="00DD31C2" w:rsidRPr="00A575CF">
        <w:t>valuation</w:t>
      </w:r>
    </w:p>
    <w:p w14:paraId="73BF3F3E" w14:textId="77777777" w:rsidR="00DD31C2" w:rsidRDefault="00E5227A" w:rsidP="00DD31C2">
      <w:pPr>
        <w:pStyle w:val="ListDash"/>
      </w:pPr>
      <w:r>
        <w:t>s</w:t>
      </w:r>
      <w:r w:rsidR="00DD31C2" w:rsidRPr="00A575CF">
        <w:t xml:space="preserve">pecialist </w:t>
      </w:r>
      <w:r>
        <w:t>l</w:t>
      </w:r>
      <w:r w:rsidR="00DD31C2" w:rsidRPr="00A575CF">
        <w:t xml:space="preserve">egal </w:t>
      </w:r>
      <w:r>
        <w:t>a</w:t>
      </w:r>
      <w:r w:rsidR="00DD31C2" w:rsidRPr="00A575CF">
        <w:t>dvice</w:t>
      </w:r>
    </w:p>
    <w:p w14:paraId="0AEA1261" w14:textId="77777777" w:rsidR="00DD31C2" w:rsidRDefault="00E5227A" w:rsidP="00DD31C2">
      <w:pPr>
        <w:pStyle w:val="ListDash"/>
      </w:pPr>
      <w:r>
        <w:t>a</w:t>
      </w:r>
      <w:r w:rsidR="00DD31C2" w:rsidRPr="00A575CF">
        <w:t>uditing</w:t>
      </w:r>
    </w:p>
    <w:p w14:paraId="50CFD998" w14:textId="77777777" w:rsidR="00DD31C2" w:rsidRDefault="00E5227A" w:rsidP="00DD31C2">
      <w:pPr>
        <w:pStyle w:val="ListDash"/>
      </w:pPr>
      <w:r>
        <w:t>t</w:t>
      </w:r>
      <w:r w:rsidR="00DD31C2" w:rsidRPr="00A575CF">
        <w:t>raining</w:t>
      </w:r>
    </w:p>
    <w:p w14:paraId="50DB8B90" w14:textId="77777777" w:rsidR="00DD31C2" w:rsidRDefault="00E5227A" w:rsidP="00DD31C2">
      <w:pPr>
        <w:pStyle w:val="ListDash"/>
      </w:pPr>
      <w:r>
        <w:t>d</w:t>
      </w:r>
      <w:r w:rsidR="00DD31C2" w:rsidRPr="00A575CF">
        <w:t xml:space="preserve">ata </w:t>
      </w:r>
      <w:r>
        <w:t>p</w:t>
      </w:r>
      <w:r w:rsidR="00DD31C2" w:rsidRPr="00A575CF">
        <w:t>urchase</w:t>
      </w:r>
    </w:p>
    <w:p w14:paraId="1185EA02" w14:textId="77777777" w:rsidR="00DD31C2" w:rsidRDefault="00E5227A" w:rsidP="00DD31C2">
      <w:pPr>
        <w:pStyle w:val="ListDash"/>
      </w:pPr>
      <w:r>
        <w:t>c</w:t>
      </w:r>
      <w:r w:rsidR="00DD31C2" w:rsidRPr="00A575CF">
        <w:t>ommunications</w:t>
      </w:r>
      <w:r w:rsidR="00DD31C2">
        <w:t>.</w:t>
      </w:r>
    </w:p>
    <w:p w14:paraId="596F0845" w14:textId="77777777" w:rsidR="00DD31C2" w:rsidRPr="00205A01" w:rsidRDefault="00DD31C2" w:rsidP="00DD31C2">
      <w:pPr>
        <w:pStyle w:val="BodyText"/>
      </w:pPr>
      <w:r>
        <w:t xml:space="preserve">This results in a total annual program cost estimate of </w:t>
      </w:r>
      <w:r w:rsidRPr="003F5F13">
        <w:t>$2.0 million</w:t>
      </w:r>
      <w:r w:rsidR="00CB3EC7" w:rsidRPr="00205A01">
        <w:t xml:space="preserve">. </w:t>
      </w:r>
    </w:p>
    <w:p w14:paraId="139D2C17" w14:textId="77777777" w:rsidR="001953A7" w:rsidRDefault="001953A7" w:rsidP="001953A7">
      <w:pPr>
        <w:pStyle w:val="Heading9"/>
        <w:numPr>
          <w:ilvl w:val="8"/>
          <w:numId w:val="20"/>
        </w:numPr>
      </w:pPr>
      <w:r>
        <w:t xml:space="preserve"> Program costs from continuing the program</w:t>
      </w:r>
    </w:p>
    <w:p w14:paraId="0FB12CD9" w14:textId="77777777" w:rsidR="00DD31C2" w:rsidRDefault="00DD31C2" w:rsidP="00DD31C2">
      <w:pPr>
        <w:pStyle w:val="BodyText"/>
      </w:pPr>
      <w:r>
        <w:t xml:space="preserve">The </w:t>
      </w:r>
      <w:r w:rsidR="002D3877">
        <w:t>forward-looking</w:t>
      </w:r>
      <w:r>
        <w:t xml:space="preserve"> costs of continuing the program have been estimated at </w:t>
      </w:r>
      <w:r w:rsidRPr="00104113">
        <w:t>$1.5 million</w:t>
      </w:r>
      <w:r>
        <w:t xml:space="preserve"> per year</w:t>
      </w:r>
      <w:r w:rsidR="00CB3EC7">
        <w:t xml:space="preserve">. </w:t>
      </w:r>
      <w:r>
        <w:t xml:space="preserve">This is based on </w:t>
      </w:r>
      <w:r w:rsidR="00152D86">
        <w:t xml:space="preserve">the </w:t>
      </w:r>
      <w:r>
        <w:t>Department</w:t>
      </w:r>
      <w:r w:rsidR="00152D86">
        <w:t xml:space="preserve">’s revised </w:t>
      </w:r>
      <w:r>
        <w:t>estimates and reflect expected efficiency savings going forward.</w:t>
      </w:r>
    </w:p>
    <w:p w14:paraId="1B12470B" w14:textId="77777777" w:rsidR="001953A7" w:rsidRDefault="001953A7" w:rsidP="001953A7">
      <w:pPr>
        <w:pStyle w:val="Heading8"/>
        <w:numPr>
          <w:ilvl w:val="7"/>
          <w:numId w:val="20"/>
        </w:numPr>
      </w:pPr>
      <w:r>
        <w:t xml:space="preserve">Industry burden </w:t>
      </w:r>
    </w:p>
    <w:p w14:paraId="273C2C0B" w14:textId="77777777" w:rsidR="00DD31C2" w:rsidRDefault="00DD31C2" w:rsidP="00DD31C2">
      <w:pPr>
        <w:pStyle w:val="BodyText"/>
      </w:pPr>
      <w:r>
        <w:t>The industry burden refers to the incremental costs incurred by industry stakeholders affected by the program</w:t>
      </w:r>
      <w:r w:rsidR="00CB3EC7">
        <w:t xml:space="preserve">. </w:t>
      </w:r>
      <w:r>
        <w:t>These comprise:</w:t>
      </w:r>
    </w:p>
    <w:p w14:paraId="4A725A91" w14:textId="77777777" w:rsidR="00DD31C2" w:rsidRDefault="009C36E6" w:rsidP="00DD31C2">
      <w:pPr>
        <w:pStyle w:val="ListDash"/>
      </w:pPr>
      <w:r>
        <w:t>t</w:t>
      </w:r>
      <w:r w:rsidR="00DD31C2">
        <w:t>he costs to prepare for and obtain incremental NABERS rating</w:t>
      </w:r>
      <w:r>
        <w:t xml:space="preserve"> (only those ratings which would not have otherwise occurred in the absence of mandatory disclosure)</w:t>
      </w:r>
    </w:p>
    <w:p w14:paraId="20094BD6" w14:textId="77777777" w:rsidR="00DD31C2" w:rsidRDefault="009C36E6" w:rsidP="00DD31C2">
      <w:pPr>
        <w:pStyle w:val="ListDash"/>
      </w:pPr>
      <w:r>
        <w:t>t</w:t>
      </w:r>
      <w:r w:rsidR="00DD31C2">
        <w:t>he costs of lodging incremental NABERS ratings with the NABERS scheme administrator, the NSW Office of Environment and Heritage (OEH)</w:t>
      </w:r>
    </w:p>
    <w:p w14:paraId="1FAF1E72" w14:textId="77777777" w:rsidR="00DD31C2" w:rsidRDefault="009C36E6" w:rsidP="00DD31C2">
      <w:pPr>
        <w:pStyle w:val="ListDash"/>
      </w:pPr>
      <w:r>
        <w:t>t</w:t>
      </w:r>
      <w:r w:rsidR="00DD31C2">
        <w:t>he costs to prepare for and obtain a TLA assessment.</w:t>
      </w:r>
    </w:p>
    <w:p w14:paraId="1C2FBCC1" w14:textId="77777777" w:rsidR="00DD31C2" w:rsidRDefault="00DD31C2" w:rsidP="00DD31C2">
      <w:pPr>
        <w:pStyle w:val="BodyText"/>
      </w:pPr>
      <w:r>
        <w:t>Estimates of the industry burden have been derived from analysis prepared by the Department and discussions with CBD accredited energy performance assessors.</w:t>
      </w:r>
    </w:p>
    <w:p w14:paraId="6E68FA92" w14:textId="77777777" w:rsidR="001953A7" w:rsidRDefault="001953A7" w:rsidP="001953A7">
      <w:pPr>
        <w:pStyle w:val="Heading9"/>
        <w:numPr>
          <w:ilvl w:val="8"/>
          <w:numId w:val="20"/>
        </w:numPr>
      </w:pPr>
      <w:r>
        <w:t>Industry burden to date</w:t>
      </w:r>
    </w:p>
    <w:p w14:paraId="4C61B7A9" w14:textId="77777777" w:rsidR="00DD31C2" w:rsidRDefault="00152D86" w:rsidP="00DD31C2">
      <w:pPr>
        <w:pStyle w:val="BodyText"/>
      </w:pPr>
      <w:r>
        <w:t xml:space="preserve">The </w:t>
      </w:r>
      <w:r w:rsidR="00DD31C2">
        <w:t>Department</w:t>
      </w:r>
      <w:r>
        <w:t>’s</w:t>
      </w:r>
      <w:r w:rsidR="00DD31C2">
        <w:t xml:space="preserve"> analysis estimates the total (gross) cost for all businesses to comply with the BEED legislation </w:t>
      </w:r>
      <w:r w:rsidR="00DD31C2" w:rsidRPr="00205A01">
        <w:t xml:space="preserve">at </w:t>
      </w:r>
      <w:r w:rsidR="00DD31C2" w:rsidRPr="003F5F13">
        <w:t>$6.6 million</w:t>
      </w:r>
      <w:r w:rsidR="00DD31C2" w:rsidRPr="00205A01">
        <w:t xml:space="preserve"> per</w:t>
      </w:r>
      <w:r w:rsidR="00DD31C2">
        <w:t xml:space="preserve"> year (including both NABERS and TLA costs</w:t>
      </w:r>
      <w:r w:rsidR="009E217F">
        <w:t>,</w:t>
      </w:r>
      <w:r w:rsidR="00DD31C2">
        <w:t xml:space="preserve"> but excluding NSW OEH lodgement fees)</w:t>
      </w:r>
      <w:r w:rsidR="00CB3EC7">
        <w:t xml:space="preserve">. </w:t>
      </w:r>
      <w:r w:rsidR="00DD31C2">
        <w:t xml:space="preserve">To arrive at a net figure, the analysis estimates and subtracts the business as usual costs (those that would </w:t>
      </w:r>
      <w:r w:rsidR="00DD31C2">
        <w:lastRenderedPageBreak/>
        <w:t>have occurred without BEED legislation)</w:t>
      </w:r>
      <w:r w:rsidR="00CB3EC7">
        <w:t xml:space="preserve">. </w:t>
      </w:r>
      <w:r w:rsidR="00430265">
        <w:t xml:space="preserve">In the analysis, the </w:t>
      </w:r>
      <w:r w:rsidR="00DD31C2">
        <w:t xml:space="preserve">counterfactual burden is estimated based on an assumed average NABERS assessment cost </w:t>
      </w:r>
      <w:r w:rsidR="00DD31C2" w:rsidRPr="00205A01">
        <w:t xml:space="preserve">of </w:t>
      </w:r>
      <w:r w:rsidR="00DD31C2" w:rsidRPr="003F5F13">
        <w:t>$3,800 per rating</w:t>
      </w:r>
      <w:r w:rsidR="00DD31C2" w:rsidRPr="003F5F13">
        <w:rPr>
          <w:rStyle w:val="FootnoteReference"/>
        </w:rPr>
        <w:footnoteReference w:id="47"/>
      </w:r>
      <w:r w:rsidR="00DD31C2">
        <w:t xml:space="preserve"> and an assumed counterfactual 342 ratings (the number of unique ratings in 2009 with a rated area for more than 2,000 m</w:t>
      </w:r>
      <w:r w:rsidR="00DD31C2" w:rsidRPr="00487E6D">
        <w:rPr>
          <w:vertAlign w:val="superscript"/>
        </w:rPr>
        <w:t>2</w:t>
      </w:r>
      <w:r w:rsidR="00DD31C2">
        <w:t>).</w:t>
      </w:r>
    </w:p>
    <w:p w14:paraId="5BCFBBB7" w14:textId="77777777" w:rsidR="00DD31C2" w:rsidRDefault="00DD31C2" w:rsidP="00DD31C2">
      <w:pPr>
        <w:pStyle w:val="BodyText"/>
      </w:pPr>
      <w:r>
        <w:t xml:space="preserve">A similar approach has been used in this </w:t>
      </w:r>
      <w:r w:rsidR="007F75F3">
        <w:t xml:space="preserve">study </w:t>
      </w:r>
      <w:r>
        <w:t>to estimate the industry burden of the program to date, however the assumed counterfactual ratings are grown at the trend rate of growth between 2006 and 2009 (inclusive) over the period 2010 to 2014.</w:t>
      </w:r>
    </w:p>
    <w:p w14:paraId="4B6135D8" w14:textId="77777777" w:rsidR="00DD31C2" w:rsidRDefault="00DD31C2" w:rsidP="00DD31C2">
      <w:pPr>
        <w:pStyle w:val="BodyText"/>
      </w:pPr>
      <w:r>
        <w:t xml:space="preserve">A NSW OEH lodgement fee </w:t>
      </w:r>
      <w:r w:rsidRPr="00205A01">
        <w:t xml:space="preserve">of </w:t>
      </w:r>
      <w:r w:rsidRPr="003F5F13">
        <w:t>$980 per rating</w:t>
      </w:r>
      <w:r w:rsidRPr="003F5F13">
        <w:rPr>
          <w:rStyle w:val="FootnoteReference"/>
        </w:rPr>
        <w:footnoteReference w:id="48"/>
      </w:r>
      <w:r w:rsidRPr="00205A01">
        <w:t xml:space="preserve"> is applied</w:t>
      </w:r>
      <w:r>
        <w:t xml:space="preserve"> to the incremental ratings and are assumed to reflect the incremental resource cost</w:t>
      </w:r>
      <w:r w:rsidR="00B602B7">
        <w:t>s</w:t>
      </w:r>
      <w:r>
        <w:t xml:space="preserve"> of administering the NABERS scheme</w:t>
      </w:r>
      <w:r w:rsidR="00CB3EC7">
        <w:t xml:space="preserve">. </w:t>
      </w:r>
      <w:r>
        <w:t xml:space="preserve">The resulting total annual industry burden estimates are provided in </w:t>
      </w:r>
      <w:r w:rsidR="00492194">
        <w:rPr>
          <w:b/>
        </w:rPr>
        <w:fldChar w:fldCharType="begin"/>
      </w:r>
      <w:r w:rsidR="00B602B7">
        <w:instrText xml:space="preserve"> REF _Ref409628874 \h </w:instrText>
      </w:r>
      <w:r w:rsidR="00492194">
        <w:rPr>
          <w:b/>
        </w:rPr>
      </w:r>
      <w:r w:rsidR="00492194">
        <w:rPr>
          <w:b/>
        </w:rPr>
        <w:fldChar w:fldCharType="separate"/>
      </w:r>
      <w:r w:rsidR="006A273E">
        <w:t xml:space="preserve">Table </w:t>
      </w:r>
      <w:r w:rsidR="006A273E" w:rsidRPr="006A273E">
        <w:rPr>
          <w:noProof/>
          <w:lang w:val="en-US"/>
        </w:rPr>
        <w:t>A</w:t>
      </w:r>
      <w:r w:rsidR="006A273E">
        <w:rPr>
          <w:noProof/>
        </w:rPr>
        <w:t>1</w:t>
      </w:r>
      <w:r w:rsidR="00492194">
        <w:rPr>
          <w:b/>
        </w:rPr>
        <w:fldChar w:fldCharType="end"/>
      </w:r>
      <w:r>
        <w:t>.</w:t>
      </w:r>
    </w:p>
    <w:p w14:paraId="6B5B7B8E" w14:textId="77777777" w:rsidR="00DD31C2" w:rsidRPr="00857D65" w:rsidRDefault="00DD31C2" w:rsidP="00DD31C2">
      <w:pPr>
        <w:pStyle w:val="Caption"/>
        <w:rPr>
          <w:rStyle w:val="CaptionLabel"/>
          <w:rFonts w:asciiTheme="minorHAnsi" w:hAnsiTheme="minorHAnsi" w:cs="Times New Roman"/>
          <w:sz w:val="22"/>
          <w:szCs w:val="22"/>
          <w:lang w:eastAsia="en-AU"/>
        </w:rPr>
      </w:pPr>
      <w:bookmarkStart w:id="702" w:name="_Ref409628874"/>
      <w:bookmarkStart w:id="703" w:name="_Toc415661032"/>
      <w:r>
        <w:t xml:space="preserve">Table </w:t>
      </w:r>
      <w:r w:rsidR="00366ADF">
        <w:fldChar w:fldCharType="begin"/>
      </w:r>
      <w:r w:rsidR="00366ADF">
        <w:instrText xml:space="preserve"> STYLEREF 7 \s \* MERGEFORMAT </w:instrText>
      </w:r>
      <w:r w:rsidR="00366ADF">
        <w:fldChar w:fldCharType="separate"/>
      </w:r>
      <w:r w:rsidR="006A273E" w:rsidRPr="006A273E">
        <w:rPr>
          <w:noProof/>
          <w:lang w:val="en-US"/>
        </w:rPr>
        <w:t>A</w:t>
      </w:r>
      <w:r w:rsidR="00366ADF">
        <w:rPr>
          <w:noProof/>
          <w:lang w:val="en-US"/>
        </w:rPr>
        <w:fldChar w:fldCharType="end"/>
      </w:r>
      <w:r w:rsidR="00492194">
        <w:fldChar w:fldCharType="begin"/>
      </w:r>
      <w:r w:rsidR="0044208C">
        <w:instrText xml:space="preserve"> SEQ Table \s 7\* ARABIC </w:instrText>
      </w:r>
      <w:r w:rsidR="00492194">
        <w:fldChar w:fldCharType="separate"/>
      </w:r>
      <w:r w:rsidR="006A273E">
        <w:rPr>
          <w:noProof/>
        </w:rPr>
        <w:t>1</w:t>
      </w:r>
      <w:r w:rsidR="00492194">
        <w:rPr>
          <w:noProof/>
        </w:rPr>
        <w:fldChar w:fldCharType="end"/>
      </w:r>
      <w:bookmarkEnd w:id="702"/>
      <w:r w:rsidRPr="0044456F">
        <w:tab/>
      </w:r>
      <w:r>
        <w:rPr>
          <w:rStyle w:val="CaptionLabel"/>
        </w:rPr>
        <w:t>Industry burden of CBD program to date</w:t>
      </w:r>
      <w:bookmarkEnd w:id="703"/>
    </w:p>
    <w:tbl>
      <w:tblPr>
        <w:tblW w:w="4999" w:type="pct"/>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2912"/>
        <w:gridCol w:w="931"/>
        <w:gridCol w:w="931"/>
        <w:gridCol w:w="931"/>
        <w:gridCol w:w="931"/>
        <w:gridCol w:w="932"/>
      </w:tblGrid>
      <w:tr w:rsidR="00DD31C2" w14:paraId="6B7D2F78" w14:textId="77777777">
        <w:trPr>
          <w:cantSplit/>
        </w:trPr>
        <w:tc>
          <w:tcPr>
            <w:tcW w:w="2835" w:type="dxa"/>
            <w:tcBorders>
              <w:top w:val="nil"/>
            </w:tcBorders>
            <w:shd w:val="solid" w:color="9757A6" w:fill="auto"/>
            <w:vAlign w:val="center"/>
          </w:tcPr>
          <w:p w14:paraId="2F9FD97E" w14:textId="77777777" w:rsidR="00DD31C2" w:rsidRDefault="00DD31C2" w:rsidP="00DD31C2">
            <w:pPr>
              <w:pStyle w:val="Tablecolumnheadings"/>
            </w:pPr>
            <w:r>
              <w:t>Item</w:t>
            </w:r>
          </w:p>
        </w:tc>
        <w:tc>
          <w:tcPr>
            <w:tcW w:w="907" w:type="dxa"/>
            <w:tcBorders>
              <w:top w:val="nil"/>
            </w:tcBorders>
            <w:shd w:val="solid" w:color="9757A6" w:fill="auto"/>
            <w:vAlign w:val="center"/>
          </w:tcPr>
          <w:p w14:paraId="226787A0" w14:textId="77777777" w:rsidR="00DD31C2" w:rsidRDefault="00DD31C2" w:rsidP="00DD31C2">
            <w:pPr>
              <w:pStyle w:val="Tablecolumnheadings"/>
              <w:jc w:val="center"/>
            </w:pPr>
            <w:r>
              <w:t>2010</w:t>
            </w:r>
          </w:p>
        </w:tc>
        <w:tc>
          <w:tcPr>
            <w:tcW w:w="907" w:type="dxa"/>
            <w:tcBorders>
              <w:top w:val="nil"/>
            </w:tcBorders>
            <w:shd w:val="solid" w:color="9757A6" w:fill="auto"/>
            <w:vAlign w:val="center"/>
          </w:tcPr>
          <w:p w14:paraId="78CAB839" w14:textId="77777777" w:rsidR="00DD31C2" w:rsidRDefault="00DD31C2" w:rsidP="00DD31C2">
            <w:pPr>
              <w:pStyle w:val="Tablecolumnheadings"/>
              <w:jc w:val="center"/>
            </w:pPr>
            <w:r>
              <w:t>2011</w:t>
            </w:r>
          </w:p>
        </w:tc>
        <w:tc>
          <w:tcPr>
            <w:tcW w:w="907" w:type="dxa"/>
            <w:tcBorders>
              <w:top w:val="nil"/>
            </w:tcBorders>
            <w:shd w:val="solid" w:color="9757A6" w:fill="auto"/>
            <w:vAlign w:val="center"/>
          </w:tcPr>
          <w:p w14:paraId="140A5E44" w14:textId="77777777" w:rsidR="00DD31C2" w:rsidRDefault="00DD31C2" w:rsidP="00DD31C2">
            <w:pPr>
              <w:pStyle w:val="Tablecolumnheadings"/>
              <w:jc w:val="center"/>
            </w:pPr>
            <w:r>
              <w:t>2012</w:t>
            </w:r>
          </w:p>
        </w:tc>
        <w:tc>
          <w:tcPr>
            <w:tcW w:w="907" w:type="dxa"/>
            <w:tcBorders>
              <w:top w:val="nil"/>
            </w:tcBorders>
            <w:shd w:val="solid" w:color="9757A6" w:fill="auto"/>
            <w:vAlign w:val="center"/>
          </w:tcPr>
          <w:p w14:paraId="6CCF1E68" w14:textId="77777777" w:rsidR="00DD31C2" w:rsidRDefault="00DD31C2" w:rsidP="00DD31C2">
            <w:pPr>
              <w:pStyle w:val="Tablecolumnheadings"/>
              <w:jc w:val="center"/>
            </w:pPr>
            <w:r>
              <w:t>2013</w:t>
            </w:r>
          </w:p>
        </w:tc>
        <w:tc>
          <w:tcPr>
            <w:tcW w:w="908" w:type="dxa"/>
            <w:tcBorders>
              <w:top w:val="nil"/>
            </w:tcBorders>
            <w:shd w:val="solid" w:color="9757A6" w:fill="auto"/>
            <w:vAlign w:val="center"/>
          </w:tcPr>
          <w:p w14:paraId="60CE7577" w14:textId="77777777" w:rsidR="00DD31C2" w:rsidRDefault="00DD31C2" w:rsidP="00DD31C2">
            <w:pPr>
              <w:pStyle w:val="Tablecolumnheadings"/>
              <w:jc w:val="center"/>
            </w:pPr>
            <w:r>
              <w:t>2014</w:t>
            </w:r>
          </w:p>
        </w:tc>
      </w:tr>
      <w:tr w:rsidR="00DD31C2" w14:paraId="76F26BB7" w14:textId="77777777">
        <w:trPr>
          <w:cantSplit/>
        </w:trPr>
        <w:tc>
          <w:tcPr>
            <w:tcW w:w="2835" w:type="dxa"/>
            <w:shd w:val="clear" w:color="auto" w:fill="auto"/>
            <w:vAlign w:val="center"/>
          </w:tcPr>
          <w:p w14:paraId="3C92F53F" w14:textId="77777777" w:rsidR="00DD31C2" w:rsidRDefault="00DD31C2" w:rsidP="00DD31C2">
            <w:pPr>
              <w:pStyle w:val="Tabletext"/>
            </w:pPr>
            <w:r>
              <w:t>Industry burden ($m)</w:t>
            </w:r>
          </w:p>
        </w:tc>
        <w:tc>
          <w:tcPr>
            <w:tcW w:w="907" w:type="dxa"/>
            <w:shd w:val="clear" w:color="auto" w:fill="auto"/>
            <w:vAlign w:val="center"/>
          </w:tcPr>
          <w:p w14:paraId="6CD74607" w14:textId="77777777" w:rsidR="00DD31C2" w:rsidRDefault="00DD31C2" w:rsidP="00DD31C2">
            <w:pPr>
              <w:pStyle w:val="Tabletext"/>
              <w:jc w:val="center"/>
            </w:pPr>
            <w:r>
              <w:t>5.5</w:t>
            </w:r>
          </w:p>
        </w:tc>
        <w:tc>
          <w:tcPr>
            <w:tcW w:w="907" w:type="dxa"/>
            <w:shd w:val="clear" w:color="auto" w:fill="auto"/>
            <w:vAlign w:val="center"/>
          </w:tcPr>
          <w:p w14:paraId="19A67A13" w14:textId="77777777" w:rsidR="00DD31C2" w:rsidRDefault="00DD31C2" w:rsidP="00DD31C2">
            <w:pPr>
              <w:pStyle w:val="Tabletext"/>
              <w:jc w:val="center"/>
            </w:pPr>
            <w:r>
              <w:t>5.4</w:t>
            </w:r>
          </w:p>
        </w:tc>
        <w:tc>
          <w:tcPr>
            <w:tcW w:w="907" w:type="dxa"/>
            <w:shd w:val="clear" w:color="auto" w:fill="auto"/>
            <w:vAlign w:val="center"/>
          </w:tcPr>
          <w:p w14:paraId="22A5E460" w14:textId="77777777" w:rsidR="00DD31C2" w:rsidRDefault="00DD31C2" w:rsidP="00DD31C2">
            <w:pPr>
              <w:pStyle w:val="Tabletext"/>
              <w:jc w:val="center"/>
            </w:pPr>
            <w:r>
              <w:t>5.3</w:t>
            </w:r>
          </w:p>
        </w:tc>
        <w:tc>
          <w:tcPr>
            <w:tcW w:w="907" w:type="dxa"/>
            <w:shd w:val="clear" w:color="auto" w:fill="auto"/>
            <w:vAlign w:val="center"/>
          </w:tcPr>
          <w:p w14:paraId="5136F690" w14:textId="77777777" w:rsidR="00DD31C2" w:rsidRDefault="00DD31C2" w:rsidP="00DD31C2">
            <w:pPr>
              <w:pStyle w:val="Tabletext"/>
              <w:jc w:val="center"/>
            </w:pPr>
            <w:r>
              <w:t>5.1</w:t>
            </w:r>
          </w:p>
        </w:tc>
        <w:tc>
          <w:tcPr>
            <w:tcW w:w="908" w:type="dxa"/>
            <w:shd w:val="clear" w:color="auto" w:fill="auto"/>
            <w:vAlign w:val="center"/>
          </w:tcPr>
          <w:p w14:paraId="449DDB49" w14:textId="77777777" w:rsidR="00DD31C2" w:rsidRDefault="00DD31C2" w:rsidP="00DD31C2">
            <w:pPr>
              <w:pStyle w:val="Tabletext"/>
              <w:jc w:val="center"/>
            </w:pPr>
            <w:r>
              <w:t>4.9</w:t>
            </w:r>
          </w:p>
        </w:tc>
      </w:tr>
    </w:tbl>
    <w:p w14:paraId="4D1B3069" w14:textId="77777777" w:rsidR="00B15FFB" w:rsidRPr="00B85543" w:rsidRDefault="00B15FFB" w:rsidP="00F71862">
      <w:pPr>
        <w:pStyle w:val="Source"/>
      </w:pPr>
      <w:bookmarkStart w:id="704" w:name="_Ref409627912"/>
      <w:r>
        <w:t>Source</w:t>
      </w:r>
      <w:r w:rsidRPr="00B85543">
        <w:t xml:space="preserve">: </w:t>
      </w:r>
      <w:r>
        <w:t>ACIL Allen</w:t>
      </w:r>
    </w:p>
    <w:p w14:paraId="271CF966" w14:textId="77777777" w:rsidR="001953A7" w:rsidRDefault="001953A7" w:rsidP="001953A7">
      <w:pPr>
        <w:pStyle w:val="Heading9"/>
        <w:numPr>
          <w:ilvl w:val="8"/>
          <w:numId w:val="20"/>
        </w:numPr>
      </w:pPr>
      <w:bookmarkStart w:id="705" w:name="_Ref411588844"/>
      <w:r>
        <w:t>Industry burden of continuing the program</w:t>
      </w:r>
      <w:bookmarkEnd w:id="704"/>
      <w:bookmarkEnd w:id="705"/>
    </w:p>
    <w:p w14:paraId="1D987BF3" w14:textId="77777777" w:rsidR="00DD31C2" w:rsidRDefault="00DD31C2" w:rsidP="00DD31C2">
      <w:pPr>
        <w:pStyle w:val="BodyText"/>
      </w:pPr>
      <w:r>
        <w:t>The industry burden from continuing the program has been separated into the costs of complying with mandatory disclosure of NABERS ratings and the cost of complying with the TLA component.</w:t>
      </w:r>
    </w:p>
    <w:p w14:paraId="7DD7CE19" w14:textId="77777777" w:rsidR="001953A7" w:rsidRPr="0087290D" w:rsidRDefault="001953A7" w:rsidP="001953A7">
      <w:pPr>
        <w:pStyle w:val="BodyText"/>
        <w:rPr>
          <w:rFonts w:asciiTheme="majorHAnsi" w:hAnsiTheme="majorHAnsi" w:cstheme="majorHAnsi"/>
          <w:b/>
          <w:color w:val="9757A6" w:themeColor="accent1"/>
        </w:rPr>
      </w:pPr>
      <w:r w:rsidRPr="0087290D">
        <w:rPr>
          <w:rFonts w:asciiTheme="majorHAnsi" w:hAnsiTheme="majorHAnsi" w:cstheme="majorHAnsi"/>
          <w:b/>
          <w:color w:val="9757A6" w:themeColor="accent1"/>
        </w:rPr>
        <w:t>Costs of complying with mandatory disclosure of NABERS ratings</w:t>
      </w:r>
    </w:p>
    <w:p w14:paraId="5B0A9775" w14:textId="77777777" w:rsidR="00DD31C2" w:rsidRDefault="00DD31C2" w:rsidP="00DD31C2">
      <w:pPr>
        <w:pStyle w:val="BodyText"/>
      </w:pPr>
      <w:r>
        <w:t xml:space="preserve">The incremental industry burden from continuing NABERS disclosure has been calculated by first estimating a figure for </w:t>
      </w:r>
      <w:r w:rsidRPr="00205A01">
        <w:t xml:space="preserve">2014 of </w:t>
      </w:r>
      <w:r w:rsidRPr="003F5F13">
        <w:t>$2.7 million</w:t>
      </w:r>
      <w:r>
        <w:t xml:space="preserve"> arrived at by:</w:t>
      </w:r>
    </w:p>
    <w:p w14:paraId="40613F71" w14:textId="77777777" w:rsidR="00DD31C2" w:rsidRDefault="00DD31C2" w:rsidP="00DD31C2">
      <w:pPr>
        <w:pStyle w:val="ListDash"/>
      </w:pPr>
      <w:r>
        <w:t>Taking the 2014 estimate of combined (NABERS and TLA) industry burden of $4.9 million; and</w:t>
      </w:r>
    </w:p>
    <w:p w14:paraId="6DCBA704" w14:textId="77777777" w:rsidR="00DD31C2" w:rsidRDefault="00DD31C2" w:rsidP="00DD31C2">
      <w:pPr>
        <w:pStyle w:val="ListDash"/>
      </w:pPr>
      <w:r>
        <w:t xml:space="preserve">Subtracting from this the portion that is estimated to relate to TLA assessments of $1.9m (assumed to be an average </w:t>
      </w:r>
      <w:r w:rsidRPr="003F5F13">
        <w:t>$1,700 per TLA assessment</w:t>
      </w:r>
      <w:r w:rsidRPr="003F5F13">
        <w:rPr>
          <w:rStyle w:val="FootnoteReference"/>
        </w:rPr>
        <w:footnoteReference w:id="49"/>
      </w:r>
      <w:r>
        <w:rPr>
          <w:b/>
        </w:rPr>
        <w:t xml:space="preserve"> </w:t>
      </w:r>
      <w:r>
        <w:t>multiplied by an estimated 1,133</w:t>
      </w:r>
      <w:r>
        <w:rPr>
          <w:rStyle w:val="FootnoteReference"/>
        </w:rPr>
        <w:footnoteReference w:id="50"/>
      </w:r>
      <w:r>
        <w:t xml:space="preserve"> assessments)</w:t>
      </w:r>
      <w:r w:rsidR="00CB3EC7">
        <w:t xml:space="preserve">. </w:t>
      </w:r>
    </w:p>
    <w:p w14:paraId="38D343E8" w14:textId="7A0A11A9" w:rsidR="00DD31C2" w:rsidRDefault="00DD31C2" w:rsidP="00DD31C2">
      <w:pPr>
        <w:pStyle w:val="BodyText"/>
      </w:pPr>
      <w:r>
        <w:t xml:space="preserve">This figure is increased by 2.3 per cent per year, </w:t>
      </w:r>
      <w:r w:rsidRPr="00B35FA9">
        <w:t>based</w:t>
      </w:r>
      <w:r>
        <w:rPr>
          <w:b/>
        </w:rPr>
        <w:t xml:space="preserve"> </w:t>
      </w:r>
      <w:r w:rsidRPr="00B35FA9">
        <w:t>on</w:t>
      </w:r>
      <w:r>
        <w:rPr>
          <w:b/>
        </w:rPr>
        <w:t xml:space="preserve"> </w:t>
      </w:r>
      <w:r w:rsidRPr="00B35FA9">
        <w:t>projections</w:t>
      </w:r>
      <w:r>
        <w:rPr>
          <w:b/>
        </w:rPr>
        <w:t xml:space="preserve"> </w:t>
      </w:r>
      <w:r w:rsidRPr="00B35FA9">
        <w:t>of</w:t>
      </w:r>
      <w:r>
        <w:rPr>
          <w:b/>
        </w:rPr>
        <w:t xml:space="preserve"> </w:t>
      </w:r>
      <w:r w:rsidRPr="00B35FA9">
        <w:t>NLA</w:t>
      </w:r>
      <w:r>
        <w:rPr>
          <w:b/>
        </w:rPr>
        <w:t xml:space="preserve"> </w:t>
      </w:r>
      <w:r w:rsidRPr="00B35FA9">
        <w:t>growth</w:t>
      </w:r>
      <w:r>
        <w:rPr>
          <w:b/>
        </w:rPr>
        <w:t xml:space="preserve"> </w:t>
      </w:r>
      <w:r w:rsidRPr="00B15FFB">
        <w:t>by</w:t>
      </w:r>
      <w:r>
        <w:rPr>
          <w:b/>
        </w:rPr>
        <w:t xml:space="preserve"> </w:t>
      </w:r>
      <w:proofErr w:type="spellStart"/>
      <w:r w:rsidRPr="00B15FFB">
        <w:t>Pitt&amp;Sherry</w:t>
      </w:r>
      <w:proofErr w:type="spellEnd"/>
      <w:r w:rsidRPr="00B15FFB">
        <w:t xml:space="preserve"> (2012)</w:t>
      </w:r>
      <w:r>
        <w:t>, and assuming that both voluntary and mandatory ratings, and therefore incremental ratings, will grow in line with long term NLA growth</w:t>
      </w:r>
      <w:r w:rsidR="00CB3EC7">
        <w:t xml:space="preserve">. </w:t>
      </w:r>
      <w:r>
        <w:t>The projected annual industry burden associated with NABERS disclosure is provided in</w:t>
      </w:r>
      <w:r w:rsidR="00B15FFB">
        <w:t xml:space="preserve"> </w:t>
      </w:r>
      <w:r w:rsidR="00492194">
        <w:fldChar w:fldCharType="begin"/>
      </w:r>
      <w:r w:rsidR="00B15FFB">
        <w:instrText xml:space="preserve"> REF _Ref409628954 \h </w:instrText>
      </w:r>
      <w:r w:rsidR="00492194">
        <w:fldChar w:fldCharType="separate"/>
      </w:r>
      <w:r w:rsidR="006A273E">
        <w:t xml:space="preserve">Table </w:t>
      </w:r>
      <w:r w:rsidR="006A273E" w:rsidRPr="006A273E">
        <w:rPr>
          <w:noProof/>
          <w:lang w:val="en-US"/>
        </w:rPr>
        <w:t>A</w:t>
      </w:r>
      <w:r w:rsidR="006A273E">
        <w:rPr>
          <w:noProof/>
        </w:rPr>
        <w:t>2</w:t>
      </w:r>
      <w:r w:rsidR="00492194">
        <w:fldChar w:fldCharType="end"/>
      </w:r>
      <w:r>
        <w:t>.</w:t>
      </w:r>
    </w:p>
    <w:p w14:paraId="1BE0F413" w14:textId="77777777" w:rsidR="00DD31C2" w:rsidRPr="00857D65" w:rsidRDefault="00DD31C2" w:rsidP="00DD31C2">
      <w:pPr>
        <w:pStyle w:val="Caption"/>
        <w:ind w:left="-1701"/>
        <w:rPr>
          <w:rStyle w:val="CaptionLabel"/>
          <w:rFonts w:asciiTheme="minorHAnsi" w:hAnsiTheme="minorHAnsi" w:cs="Times New Roman"/>
          <w:sz w:val="22"/>
          <w:szCs w:val="22"/>
          <w:lang w:eastAsia="en-AU"/>
        </w:rPr>
      </w:pPr>
      <w:bookmarkStart w:id="706" w:name="_Ref409628954"/>
      <w:bookmarkStart w:id="707" w:name="_Toc415661033"/>
      <w:r>
        <w:lastRenderedPageBreak/>
        <w:t xml:space="preserve">Table </w:t>
      </w:r>
      <w:r w:rsidR="00366ADF">
        <w:fldChar w:fldCharType="begin"/>
      </w:r>
      <w:r w:rsidR="00366ADF">
        <w:instrText xml:space="preserve"> STYLEREF 7 \s \* MERGEFORMAT </w:instrText>
      </w:r>
      <w:r w:rsidR="00366ADF">
        <w:fldChar w:fldCharType="separate"/>
      </w:r>
      <w:r w:rsidR="006A273E" w:rsidRPr="006A273E">
        <w:rPr>
          <w:noProof/>
          <w:lang w:val="en-US"/>
        </w:rPr>
        <w:t>A</w:t>
      </w:r>
      <w:r w:rsidR="00366ADF">
        <w:rPr>
          <w:noProof/>
          <w:lang w:val="en-US"/>
        </w:rPr>
        <w:fldChar w:fldCharType="end"/>
      </w:r>
      <w:r w:rsidR="00492194">
        <w:fldChar w:fldCharType="begin"/>
      </w:r>
      <w:r w:rsidR="0044208C">
        <w:instrText xml:space="preserve"> SEQ Table \s 7\* ARABIC </w:instrText>
      </w:r>
      <w:r w:rsidR="00492194">
        <w:fldChar w:fldCharType="separate"/>
      </w:r>
      <w:r w:rsidR="006A273E">
        <w:rPr>
          <w:noProof/>
        </w:rPr>
        <w:t>2</w:t>
      </w:r>
      <w:r w:rsidR="00492194">
        <w:rPr>
          <w:noProof/>
        </w:rPr>
        <w:fldChar w:fldCharType="end"/>
      </w:r>
      <w:bookmarkEnd w:id="706"/>
      <w:r w:rsidRPr="0044456F">
        <w:tab/>
      </w:r>
      <w:r>
        <w:rPr>
          <w:rStyle w:val="CaptionLabel"/>
        </w:rPr>
        <w:t>Industry burden from continuing NABERS disclosure</w:t>
      </w:r>
      <w:bookmarkEnd w:id="707"/>
    </w:p>
    <w:tbl>
      <w:tblPr>
        <w:tblW w:w="10204" w:type="dxa"/>
        <w:tblInd w:w="-2551"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2270"/>
        <w:gridCol w:w="791"/>
        <w:gridCol w:w="793"/>
        <w:gridCol w:w="793"/>
        <w:gridCol w:w="793"/>
        <w:gridCol w:w="794"/>
        <w:gridCol w:w="794"/>
        <w:gridCol w:w="794"/>
        <w:gridCol w:w="794"/>
        <w:gridCol w:w="794"/>
        <w:gridCol w:w="794"/>
      </w:tblGrid>
      <w:tr w:rsidR="00DD31C2" w14:paraId="6FF24119" w14:textId="77777777">
        <w:trPr>
          <w:cantSplit/>
        </w:trPr>
        <w:tc>
          <w:tcPr>
            <w:tcW w:w="2270" w:type="dxa"/>
            <w:tcBorders>
              <w:top w:val="nil"/>
            </w:tcBorders>
            <w:shd w:val="solid" w:color="9757A6" w:fill="auto"/>
            <w:vAlign w:val="center"/>
          </w:tcPr>
          <w:p w14:paraId="200039BF" w14:textId="77777777" w:rsidR="00DD31C2" w:rsidRDefault="00DD31C2" w:rsidP="00DD31C2">
            <w:pPr>
              <w:pStyle w:val="Tablecolumnheadings"/>
            </w:pPr>
            <w:r>
              <w:t>Item</w:t>
            </w:r>
          </w:p>
        </w:tc>
        <w:tc>
          <w:tcPr>
            <w:tcW w:w="791" w:type="dxa"/>
            <w:tcBorders>
              <w:top w:val="nil"/>
            </w:tcBorders>
            <w:shd w:val="solid" w:color="9757A6" w:fill="auto"/>
          </w:tcPr>
          <w:p w14:paraId="43B41ABF" w14:textId="77777777" w:rsidR="00DD31C2" w:rsidRDefault="00DD31C2" w:rsidP="00DD31C2">
            <w:pPr>
              <w:pStyle w:val="Tablecolumnheadings"/>
              <w:jc w:val="center"/>
            </w:pPr>
            <w:r>
              <w:t>2015</w:t>
            </w:r>
          </w:p>
        </w:tc>
        <w:tc>
          <w:tcPr>
            <w:tcW w:w="793" w:type="dxa"/>
            <w:tcBorders>
              <w:top w:val="nil"/>
            </w:tcBorders>
            <w:shd w:val="solid" w:color="9757A6" w:fill="auto"/>
          </w:tcPr>
          <w:p w14:paraId="6F72DA5D" w14:textId="77777777" w:rsidR="00DD31C2" w:rsidRDefault="00DD31C2" w:rsidP="00DD31C2">
            <w:pPr>
              <w:pStyle w:val="Tablecolumnheadings"/>
              <w:jc w:val="center"/>
            </w:pPr>
            <w:r>
              <w:t>2016</w:t>
            </w:r>
          </w:p>
        </w:tc>
        <w:tc>
          <w:tcPr>
            <w:tcW w:w="793" w:type="dxa"/>
            <w:tcBorders>
              <w:top w:val="nil"/>
            </w:tcBorders>
            <w:shd w:val="solid" w:color="9757A6" w:fill="auto"/>
          </w:tcPr>
          <w:p w14:paraId="24301ED8" w14:textId="77777777" w:rsidR="00DD31C2" w:rsidRDefault="00DD31C2" w:rsidP="00DD31C2">
            <w:pPr>
              <w:pStyle w:val="Tablecolumnheadings"/>
              <w:jc w:val="center"/>
            </w:pPr>
            <w:r>
              <w:t>2017</w:t>
            </w:r>
          </w:p>
        </w:tc>
        <w:tc>
          <w:tcPr>
            <w:tcW w:w="793" w:type="dxa"/>
            <w:tcBorders>
              <w:top w:val="nil"/>
            </w:tcBorders>
            <w:shd w:val="solid" w:color="9757A6" w:fill="auto"/>
            <w:vAlign w:val="center"/>
          </w:tcPr>
          <w:p w14:paraId="651BFE16" w14:textId="77777777" w:rsidR="00DD31C2" w:rsidRDefault="00DD31C2" w:rsidP="00DD31C2">
            <w:pPr>
              <w:pStyle w:val="Tablecolumnheadings"/>
              <w:jc w:val="center"/>
            </w:pPr>
            <w:r>
              <w:t>2018</w:t>
            </w:r>
          </w:p>
        </w:tc>
        <w:tc>
          <w:tcPr>
            <w:tcW w:w="794" w:type="dxa"/>
            <w:tcBorders>
              <w:top w:val="nil"/>
            </w:tcBorders>
            <w:shd w:val="solid" w:color="9757A6" w:fill="auto"/>
            <w:vAlign w:val="center"/>
          </w:tcPr>
          <w:p w14:paraId="7DEF85FA" w14:textId="77777777" w:rsidR="00DD31C2" w:rsidRDefault="00DD31C2" w:rsidP="00DD31C2">
            <w:pPr>
              <w:pStyle w:val="Tablecolumnheadings"/>
              <w:jc w:val="center"/>
            </w:pPr>
            <w:r>
              <w:t>2019</w:t>
            </w:r>
          </w:p>
        </w:tc>
        <w:tc>
          <w:tcPr>
            <w:tcW w:w="794" w:type="dxa"/>
            <w:tcBorders>
              <w:top w:val="nil"/>
            </w:tcBorders>
            <w:shd w:val="solid" w:color="9757A6" w:fill="auto"/>
            <w:vAlign w:val="center"/>
          </w:tcPr>
          <w:p w14:paraId="68F3CEEA" w14:textId="77777777" w:rsidR="00DD31C2" w:rsidRDefault="00DD31C2" w:rsidP="00DD31C2">
            <w:pPr>
              <w:pStyle w:val="Tablecolumnheadings"/>
              <w:jc w:val="center"/>
            </w:pPr>
            <w:r>
              <w:t>2020</w:t>
            </w:r>
          </w:p>
        </w:tc>
        <w:tc>
          <w:tcPr>
            <w:tcW w:w="794" w:type="dxa"/>
            <w:tcBorders>
              <w:top w:val="nil"/>
            </w:tcBorders>
            <w:shd w:val="solid" w:color="9757A6" w:fill="auto"/>
            <w:vAlign w:val="center"/>
          </w:tcPr>
          <w:p w14:paraId="6C55D407" w14:textId="77777777" w:rsidR="00DD31C2" w:rsidRDefault="00DD31C2" w:rsidP="00DD31C2">
            <w:pPr>
              <w:pStyle w:val="Tablecolumnheadings"/>
              <w:jc w:val="center"/>
            </w:pPr>
            <w:r>
              <w:t>2021</w:t>
            </w:r>
          </w:p>
        </w:tc>
        <w:tc>
          <w:tcPr>
            <w:tcW w:w="794" w:type="dxa"/>
            <w:tcBorders>
              <w:top w:val="nil"/>
            </w:tcBorders>
            <w:shd w:val="solid" w:color="9757A6" w:fill="auto"/>
            <w:vAlign w:val="center"/>
          </w:tcPr>
          <w:p w14:paraId="33B3F566" w14:textId="77777777" w:rsidR="00DD31C2" w:rsidRDefault="00DD31C2" w:rsidP="00DD31C2">
            <w:pPr>
              <w:pStyle w:val="Tablecolumnheadings"/>
              <w:jc w:val="center"/>
            </w:pPr>
            <w:r>
              <w:t>2022</w:t>
            </w:r>
          </w:p>
        </w:tc>
        <w:tc>
          <w:tcPr>
            <w:tcW w:w="794" w:type="dxa"/>
            <w:tcBorders>
              <w:top w:val="nil"/>
            </w:tcBorders>
            <w:shd w:val="solid" w:color="9757A6" w:fill="auto"/>
          </w:tcPr>
          <w:p w14:paraId="19DA106A" w14:textId="77777777" w:rsidR="00DD31C2" w:rsidRDefault="00DD31C2" w:rsidP="00DD31C2">
            <w:pPr>
              <w:pStyle w:val="Tablecolumnheadings"/>
              <w:jc w:val="center"/>
            </w:pPr>
            <w:r>
              <w:t>2023</w:t>
            </w:r>
          </w:p>
        </w:tc>
        <w:tc>
          <w:tcPr>
            <w:tcW w:w="794" w:type="dxa"/>
            <w:tcBorders>
              <w:top w:val="nil"/>
            </w:tcBorders>
            <w:shd w:val="solid" w:color="9757A6" w:fill="auto"/>
          </w:tcPr>
          <w:p w14:paraId="5DB47B7D" w14:textId="77777777" w:rsidR="00DD31C2" w:rsidRDefault="00DD31C2" w:rsidP="00DD31C2">
            <w:pPr>
              <w:pStyle w:val="Tablecolumnheadings"/>
              <w:jc w:val="center"/>
            </w:pPr>
            <w:r>
              <w:t>2024</w:t>
            </w:r>
          </w:p>
        </w:tc>
      </w:tr>
      <w:tr w:rsidR="00DD31C2" w14:paraId="36B2CBA0" w14:textId="77777777">
        <w:trPr>
          <w:cantSplit/>
        </w:trPr>
        <w:tc>
          <w:tcPr>
            <w:tcW w:w="2270" w:type="dxa"/>
            <w:shd w:val="clear" w:color="auto" w:fill="auto"/>
            <w:vAlign w:val="center"/>
          </w:tcPr>
          <w:p w14:paraId="3BB8625B" w14:textId="77777777" w:rsidR="00DD31C2" w:rsidRDefault="00DD31C2" w:rsidP="00DD31C2">
            <w:pPr>
              <w:pStyle w:val="Tabletext"/>
            </w:pPr>
            <w:r>
              <w:t>Industry burden ($m)</w:t>
            </w:r>
          </w:p>
        </w:tc>
        <w:tc>
          <w:tcPr>
            <w:tcW w:w="791" w:type="dxa"/>
          </w:tcPr>
          <w:p w14:paraId="2BA203B8" w14:textId="77777777" w:rsidR="00DD31C2" w:rsidRDefault="00DD31C2" w:rsidP="00DD31C2">
            <w:pPr>
              <w:pStyle w:val="Tabletext"/>
              <w:jc w:val="center"/>
            </w:pPr>
            <w:r>
              <w:t>3.0</w:t>
            </w:r>
          </w:p>
        </w:tc>
        <w:tc>
          <w:tcPr>
            <w:tcW w:w="793" w:type="dxa"/>
          </w:tcPr>
          <w:p w14:paraId="01756857" w14:textId="77777777" w:rsidR="00DD31C2" w:rsidRDefault="00DD31C2" w:rsidP="00DD31C2">
            <w:pPr>
              <w:pStyle w:val="Tabletext"/>
              <w:jc w:val="center"/>
            </w:pPr>
            <w:r>
              <w:t>3.1</w:t>
            </w:r>
          </w:p>
        </w:tc>
        <w:tc>
          <w:tcPr>
            <w:tcW w:w="793" w:type="dxa"/>
          </w:tcPr>
          <w:p w14:paraId="10307174" w14:textId="77777777" w:rsidR="00DD31C2" w:rsidRDefault="00DD31C2" w:rsidP="00DD31C2">
            <w:pPr>
              <w:pStyle w:val="Tabletext"/>
              <w:jc w:val="center"/>
            </w:pPr>
            <w:r>
              <w:t>3.1</w:t>
            </w:r>
          </w:p>
        </w:tc>
        <w:tc>
          <w:tcPr>
            <w:tcW w:w="793" w:type="dxa"/>
            <w:shd w:val="clear" w:color="auto" w:fill="auto"/>
            <w:vAlign w:val="center"/>
          </w:tcPr>
          <w:p w14:paraId="2D7D2A30" w14:textId="77777777" w:rsidR="00DD31C2" w:rsidRDefault="00DD31C2" w:rsidP="00DD31C2">
            <w:pPr>
              <w:pStyle w:val="Tabletext"/>
              <w:jc w:val="center"/>
            </w:pPr>
            <w:r>
              <w:t>3.2</w:t>
            </w:r>
          </w:p>
        </w:tc>
        <w:tc>
          <w:tcPr>
            <w:tcW w:w="794" w:type="dxa"/>
            <w:shd w:val="clear" w:color="auto" w:fill="auto"/>
            <w:vAlign w:val="center"/>
          </w:tcPr>
          <w:p w14:paraId="35C83783" w14:textId="77777777" w:rsidR="00DD31C2" w:rsidRDefault="00DD31C2" w:rsidP="00DD31C2">
            <w:pPr>
              <w:pStyle w:val="Tabletext"/>
              <w:jc w:val="center"/>
            </w:pPr>
            <w:r>
              <w:t>3.3</w:t>
            </w:r>
          </w:p>
        </w:tc>
        <w:tc>
          <w:tcPr>
            <w:tcW w:w="794" w:type="dxa"/>
            <w:shd w:val="clear" w:color="auto" w:fill="auto"/>
            <w:vAlign w:val="center"/>
          </w:tcPr>
          <w:p w14:paraId="5D066408" w14:textId="77777777" w:rsidR="00DD31C2" w:rsidRDefault="00DD31C2" w:rsidP="00DD31C2">
            <w:pPr>
              <w:pStyle w:val="Tabletext"/>
              <w:jc w:val="center"/>
            </w:pPr>
            <w:r>
              <w:t>3.4</w:t>
            </w:r>
          </w:p>
        </w:tc>
        <w:tc>
          <w:tcPr>
            <w:tcW w:w="794" w:type="dxa"/>
            <w:shd w:val="clear" w:color="auto" w:fill="auto"/>
            <w:vAlign w:val="center"/>
          </w:tcPr>
          <w:p w14:paraId="59387B58" w14:textId="77777777" w:rsidR="00DD31C2" w:rsidRDefault="00DD31C2" w:rsidP="00DD31C2">
            <w:pPr>
              <w:pStyle w:val="Tabletext"/>
              <w:jc w:val="center"/>
            </w:pPr>
            <w:r>
              <w:t>3.4</w:t>
            </w:r>
          </w:p>
        </w:tc>
        <w:tc>
          <w:tcPr>
            <w:tcW w:w="794" w:type="dxa"/>
            <w:shd w:val="clear" w:color="auto" w:fill="auto"/>
            <w:vAlign w:val="center"/>
          </w:tcPr>
          <w:p w14:paraId="66E0C325" w14:textId="77777777" w:rsidR="00DD31C2" w:rsidRDefault="00DD31C2" w:rsidP="00DD31C2">
            <w:pPr>
              <w:pStyle w:val="Tabletext"/>
              <w:jc w:val="center"/>
            </w:pPr>
            <w:r>
              <w:t>3.5</w:t>
            </w:r>
          </w:p>
        </w:tc>
        <w:tc>
          <w:tcPr>
            <w:tcW w:w="794" w:type="dxa"/>
            <w:vAlign w:val="center"/>
          </w:tcPr>
          <w:p w14:paraId="57AB5D06" w14:textId="77777777" w:rsidR="00DD31C2" w:rsidRDefault="00DD31C2" w:rsidP="00DD31C2">
            <w:pPr>
              <w:pStyle w:val="Tabletext"/>
              <w:jc w:val="center"/>
            </w:pPr>
            <w:r>
              <w:t>3.6</w:t>
            </w:r>
          </w:p>
        </w:tc>
        <w:tc>
          <w:tcPr>
            <w:tcW w:w="794" w:type="dxa"/>
          </w:tcPr>
          <w:p w14:paraId="641C8F50" w14:textId="77777777" w:rsidR="00DD31C2" w:rsidRDefault="00DD31C2" w:rsidP="00DD31C2">
            <w:pPr>
              <w:pStyle w:val="Tabletext"/>
              <w:jc w:val="center"/>
            </w:pPr>
            <w:r>
              <w:t>3.7</w:t>
            </w:r>
          </w:p>
        </w:tc>
      </w:tr>
    </w:tbl>
    <w:p w14:paraId="043A919F" w14:textId="77777777" w:rsidR="00B15FFB" w:rsidRPr="00B85543" w:rsidRDefault="00B15FFB" w:rsidP="00A638B4">
      <w:pPr>
        <w:pStyle w:val="Source"/>
        <w:ind w:left="-2551"/>
      </w:pPr>
      <w:r>
        <w:t>Source</w:t>
      </w:r>
      <w:r w:rsidRPr="00B85543">
        <w:t xml:space="preserve">: </w:t>
      </w:r>
      <w:r>
        <w:t>ACIL Allen</w:t>
      </w:r>
    </w:p>
    <w:p w14:paraId="55F121BB" w14:textId="77777777" w:rsidR="001953A7" w:rsidRDefault="001953A7" w:rsidP="001953A7">
      <w:pPr>
        <w:pStyle w:val="BodyText"/>
      </w:pPr>
    </w:p>
    <w:p w14:paraId="1EA7D9C7" w14:textId="77777777" w:rsidR="001953A7" w:rsidRPr="0087290D" w:rsidRDefault="001953A7" w:rsidP="001953A7">
      <w:pPr>
        <w:pStyle w:val="BodyText"/>
        <w:keepNext/>
        <w:rPr>
          <w:rFonts w:asciiTheme="majorHAnsi" w:hAnsiTheme="majorHAnsi" w:cstheme="majorHAnsi"/>
          <w:b/>
          <w:color w:val="9757A6" w:themeColor="accent1"/>
        </w:rPr>
      </w:pPr>
      <w:r w:rsidRPr="0087290D">
        <w:rPr>
          <w:rFonts w:asciiTheme="majorHAnsi" w:hAnsiTheme="majorHAnsi" w:cstheme="majorHAnsi"/>
          <w:b/>
          <w:color w:val="9757A6" w:themeColor="accent1"/>
        </w:rPr>
        <w:t>Costs of complying with TLA component</w:t>
      </w:r>
    </w:p>
    <w:p w14:paraId="285A6EC7" w14:textId="77777777" w:rsidR="00DD31C2" w:rsidRDefault="00DD31C2" w:rsidP="00DD31C2">
      <w:pPr>
        <w:pStyle w:val="BodyText"/>
      </w:pPr>
      <w:r>
        <w:t>The TLA component of the industry burden is projected by increasing the estimated portion of 2014 total industry burden associated with TLA (</w:t>
      </w:r>
      <w:r w:rsidR="00930C53">
        <w:t>that is,</w:t>
      </w:r>
      <w:r w:rsidR="00CB3EC7">
        <w:t xml:space="preserve"> </w:t>
      </w:r>
      <w:r>
        <w:t>$1.9 million</w:t>
      </w:r>
      <w:r>
        <w:rPr>
          <w:rStyle w:val="FootnoteReference"/>
        </w:rPr>
        <w:footnoteReference w:id="51"/>
      </w:r>
      <w:r>
        <w:t>) by 2.3 per cent per year</w:t>
      </w:r>
      <w:r w:rsidR="00CB3EC7">
        <w:t xml:space="preserve">. </w:t>
      </w:r>
      <w:r>
        <w:t>The projected annual industry burden associated with TLA assessments is provided in</w:t>
      </w:r>
      <w:r w:rsidR="005F7A4D">
        <w:t xml:space="preserve"> </w:t>
      </w:r>
      <w:r w:rsidR="00492194">
        <w:fldChar w:fldCharType="begin"/>
      </w:r>
      <w:r w:rsidR="005F7A4D">
        <w:instrText xml:space="preserve"> REF _Ref409629060 \h </w:instrText>
      </w:r>
      <w:r w:rsidR="00492194">
        <w:fldChar w:fldCharType="separate"/>
      </w:r>
      <w:r w:rsidR="006A273E">
        <w:t xml:space="preserve">Table </w:t>
      </w:r>
      <w:r w:rsidR="006A273E" w:rsidRPr="006A273E">
        <w:rPr>
          <w:noProof/>
          <w:lang w:val="en-US"/>
        </w:rPr>
        <w:t>A</w:t>
      </w:r>
      <w:r w:rsidR="006A273E">
        <w:rPr>
          <w:noProof/>
        </w:rPr>
        <w:t>3</w:t>
      </w:r>
      <w:r w:rsidR="00492194">
        <w:fldChar w:fldCharType="end"/>
      </w:r>
      <w:r>
        <w:t>.</w:t>
      </w:r>
    </w:p>
    <w:p w14:paraId="305886B6" w14:textId="77777777" w:rsidR="00DD31C2" w:rsidRPr="00857D65" w:rsidRDefault="00DD31C2" w:rsidP="00DD31C2">
      <w:pPr>
        <w:pStyle w:val="Caption"/>
        <w:ind w:left="-1701"/>
        <w:rPr>
          <w:rStyle w:val="CaptionLabel"/>
          <w:rFonts w:asciiTheme="minorHAnsi" w:hAnsiTheme="minorHAnsi" w:cs="Times New Roman"/>
          <w:sz w:val="22"/>
          <w:szCs w:val="22"/>
          <w:lang w:eastAsia="en-AU"/>
        </w:rPr>
      </w:pPr>
      <w:bookmarkStart w:id="708" w:name="_Ref409629060"/>
      <w:bookmarkStart w:id="709" w:name="_Toc415661034"/>
      <w:r>
        <w:t xml:space="preserve">Table </w:t>
      </w:r>
      <w:r w:rsidR="00366ADF">
        <w:fldChar w:fldCharType="begin"/>
      </w:r>
      <w:r w:rsidR="00366ADF">
        <w:instrText xml:space="preserve"> STYLEREF 7 \s \* MERGEFORMAT </w:instrText>
      </w:r>
      <w:r w:rsidR="00366ADF">
        <w:fldChar w:fldCharType="separate"/>
      </w:r>
      <w:r w:rsidR="006A273E" w:rsidRPr="006A273E">
        <w:rPr>
          <w:noProof/>
          <w:lang w:val="en-US"/>
        </w:rPr>
        <w:t>A</w:t>
      </w:r>
      <w:r w:rsidR="00366ADF">
        <w:rPr>
          <w:noProof/>
          <w:lang w:val="en-US"/>
        </w:rPr>
        <w:fldChar w:fldCharType="end"/>
      </w:r>
      <w:r w:rsidR="00492194">
        <w:fldChar w:fldCharType="begin"/>
      </w:r>
      <w:r w:rsidR="0044208C">
        <w:instrText xml:space="preserve"> SEQ Table \s 7\* ARABIC </w:instrText>
      </w:r>
      <w:r w:rsidR="00492194">
        <w:fldChar w:fldCharType="separate"/>
      </w:r>
      <w:r w:rsidR="006A273E">
        <w:rPr>
          <w:noProof/>
        </w:rPr>
        <w:t>3</w:t>
      </w:r>
      <w:r w:rsidR="00492194">
        <w:rPr>
          <w:noProof/>
        </w:rPr>
        <w:fldChar w:fldCharType="end"/>
      </w:r>
      <w:bookmarkEnd w:id="708"/>
      <w:r w:rsidRPr="0044456F">
        <w:tab/>
      </w:r>
      <w:r>
        <w:rPr>
          <w:rStyle w:val="CaptionLabel"/>
        </w:rPr>
        <w:t xml:space="preserve">Industry burden from continuing </w:t>
      </w:r>
      <w:r w:rsidR="00CC3E3D">
        <w:rPr>
          <w:rStyle w:val="CaptionLabel"/>
        </w:rPr>
        <w:t xml:space="preserve">TLA </w:t>
      </w:r>
      <w:r>
        <w:rPr>
          <w:rStyle w:val="CaptionLabel"/>
        </w:rPr>
        <w:t>disclosure</w:t>
      </w:r>
      <w:bookmarkEnd w:id="709"/>
    </w:p>
    <w:tbl>
      <w:tblPr>
        <w:tblW w:w="10204" w:type="dxa"/>
        <w:tblInd w:w="-2551"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2270"/>
        <w:gridCol w:w="791"/>
        <w:gridCol w:w="793"/>
        <w:gridCol w:w="793"/>
        <w:gridCol w:w="793"/>
        <w:gridCol w:w="794"/>
        <w:gridCol w:w="794"/>
        <w:gridCol w:w="794"/>
        <w:gridCol w:w="794"/>
        <w:gridCol w:w="794"/>
        <w:gridCol w:w="794"/>
      </w:tblGrid>
      <w:tr w:rsidR="00DD31C2" w14:paraId="1B9FF322" w14:textId="77777777">
        <w:trPr>
          <w:cantSplit/>
        </w:trPr>
        <w:tc>
          <w:tcPr>
            <w:tcW w:w="2270" w:type="dxa"/>
            <w:tcBorders>
              <w:top w:val="nil"/>
            </w:tcBorders>
            <w:shd w:val="solid" w:color="9757A6" w:fill="auto"/>
            <w:vAlign w:val="center"/>
          </w:tcPr>
          <w:p w14:paraId="4F34B35B" w14:textId="77777777" w:rsidR="00DD31C2" w:rsidRDefault="00DD31C2" w:rsidP="00DD31C2">
            <w:pPr>
              <w:pStyle w:val="Tablecolumnheadings"/>
            </w:pPr>
            <w:r>
              <w:t>Item</w:t>
            </w:r>
          </w:p>
        </w:tc>
        <w:tc>
          <w:tcPr>
            <w:tcW w:w="791" w:type="dxa"/>
            <w:tcBorders>
              <w:top w:val="nil"/>
            </w:tcBorders>
            <w:shd w:val="solid" w:color="9757A6" w:fill="auto"/>
          </w:tcPr>
          <w:p w14:paraId="33D18F96" w14:textId="77777777" w:rsidR="00DD31C2" w:rsidRDefault="00DD31C2" w:rsidP="00DD31C2">
            <w:pPr>
              <w:pStyle w:val="Tablecolumnheadings"/>
              <w:jc w:val="center"/>
            </w:pPr>
            <w:r>
              <w:t>2015</w:t>
            </w:r>
          </w:p>
        </w:tc>
        <w:tc>
          <w:tcPr>
            <w:tcW w:w="793" w:type="dxa"/>
            <w:tcBorders>
              <w:top w:val="nil"/>
            </w:tcBorders>
            <w:shd w:val="solid" w:color="9757A6" w:fill="auto"/>
          </w:tcPr>
          <w:p w14:paraId="097E4C0E" w14:textId="77777777" w:rsidR="00DD31C2" w:rsidRDefault="00DD31C2" w:rsidP="00DD31C2">
            <w:pPr>
              <w:pStyle w:val="Tablecolumnheadings"/>
              <w:jc w:val="center"/>
            </w:pPr>
            <w:r>
              <w:t>2016</w:t>
            </w:r>
          </w:p>
        </w:tc>
        <w:tc>
          <w:tcPr>
            <w:tcW w:w="793" w:type="dxa"/>
            <w:tcBorders>
              <w:top w:val="nil"/>
            </w:tcBorders>
            <w:shd w:val="solid" w:color="9757A6" w:fill="auto"/>
          </w:tcPr>
          <w:p w14:paraId="4D387167" w14:textId="77777777" w:rsidR="00DD31C2" w:rsidRDefault="00DD31C2" w:rsidP="00DD31C2">
            <w:pPr>
              <w:pStyle w:val="Tablecolumnheadings"/>
              <w:jc w:val="center"/>
            </w:pPr>
            <w:r>
              <w:t>2017</w:t>
            </w:r>
          </w:p>
        </w:tc>
        <w:tc>
          <w:tcPr>
            <w:tcW w:w="793" w:type="dxa"/>
            <w:tcBorders>
              <w:top w:val="nil"/>
            </w:tcBorders>
            <w:shd w:val="solid" w:color="9757A6" w:fill="auto"/>
            <w:vAlign w:val="center"/>
          </w:tcPr>
          <w:p w14:paraId="09635EBA" w14:textId="77777777" w:rsidR="00DD31C2" w:rsidRDefault="00DD31C2" w:rsidP="00DD31C2">
            <w:pPr>
              <w:pStyle w:val="Tablecolumnheadings"/>
              <w:jc w:val="center"/>
            </w:pPr>
            <w:r>
              <w:t>2018</w:t>
            </w:r>
          </w:p>
        </w:tc>
        <w:tc>
          <w:tcPr>
            <w:tcW w:w="794" w:type="dxa"/>
            <w:tcBorders>
              <w:top w:val="nil"/>
            </w:tcBorders>
            <w:shd w:val="solid" w:color="9757A6" w:fill="auto"/>
            <w:vAlign w:val="center"/>
          </w:tcPr>
          <w:p w14:paraId="4435C509" w14:textId="77777777" w:rsidR="00DD31C2" w:rsidRDefault="00DD31C2" w:rsidP="00DD31C2">
            <w:pPr>
              <w:pStyle w:val="Tablecolumnheadings"/>
              <w:jc w:val="center"/>
            </w:pPr>
            <w:r>
              <w:t>2019</w:t>
            </w:r>
          </w:p>
        </w:tc>
        <w:tc>
          <w:tcPr>
            <w:tcW w:w="794" w:type="dxa"/>
            <w:tcBorders>
              <w:top w:val="nil"/>
            </w:tcBorders>
            <w:shd w:val="solid" w:color="9757A6" w:fill="auto"/>
            <w:vAlign w:val="center"/>
          </w:tcPr>
          <w:p w14:paraId="5DD4BE56" w14:textId="77777777" w:rsidR="00DD31C2" w:rsidRDefault="00DD31C2" w:rsidP="00DD31C2">
            <w:pPr>
              <w:pStyle w:val="Tablecolumnheadings"/>
              <w:jc w:val="center"/>
            </w:pPr>
            <w:r>
              <w:t>2020</w:t>
            </w:r>
          </w:p>
        </w:tc>
        <w:tc>
          <w:tcPr>
            <w:tcW w:w="794" w:type="dxa"/>
            <w:tcBorders>
              <w:top w:val="nil"/>
            </w:tcBorders>
            <w:shd w:val="solid" w:color="9757A6" w:fill="auto"/>
            <w:vAlign w:val="center"/>
          </w:tcPr>
          <w:p w14:paraId="4596E1CD" w14:textId="77777777" w:rsidR="00DD31C2" w:rsidRDefault="00DD31C2" w:rsidP="00DD31C2">
            <w:pPr>
              <w:pStyle w:val="Tablecolumnheadings"/>
              <w:jc w:val="center"/>
            </w:pPr>
            <w:r>
              <w:t>2021</w:t>
            </w:r>
          </w:p>
        </w:tc>
        <w:tc>
          <w:tcPr>
            <w:tcW w:w="794" w:type="dxa"/>
            <w:tcBorders>
              <w:top w:val="nil"/>
            </w:tcBorders>
            <w:shd w:val="solid" w:color="9757A6" w:fill="auto"/>
            <w:vAlign w:val="center"/>
          </w:tcPr>
          <w:p w14:paraId="48615947" w14:textId="77777777" w:rsidR="00DD31C2" w:rsidRDefault="00DD31C2" w:rsidP="00DD31C2">
            <w:pPr>
              <w:pStyle w:val="Tablecolumnheadings"/>
              <w:jc w:val="center"/>
            </w:pPr>
            <w:r>
              <w:t>2022</w:t>
            </w:r>
          </w:p>
        </w:tc>
        <w:tc>
          <w:tcPr>
            <w:tcW w:w="794" w:type="dxa"/>
            <w:tcBorders>
              <w:top w:val="nil"/>
            </w:tcBorders>
            <w:shd w:val="solid" w:color="9757A6" w:fill="auto"/>
          </w:tcPr>
          <w:p w14:paraId="59AAD088" w14:textId="77777777" w:rsidR="00DD31C2" w:rsidRDefault="00DD31C2" w:rsidP="00DD31C2">
            <w:pPr>
              <w:pStyle w:val="Tablecolumnheadings"/>
              <w:jc w:val="center"/>
            </w:pPr>
            <w:r>
              <w:t>2023</w:t>
            </w:r>
          </w:p>
        </w:tc>
        <w:tc>
          <w:tcPr>
            <w:tcW w:w="794" w:type="dxa"/>
            <w:tcBorders>
              <w:top w:val="nil"/>
            </w:tcBorders>
            <w:shd w:val="solid" w:color="9757A6" w:fill="auto"/>
          </w:tcPr>
          <w:p w14:paraId="090EE626" w14:textId="77777777" w:rsidR="00DD31C2" w:rsidRDefault="00DD31C2" w:rsidP="00DD31C2">
            <w:pPr>
              <w:pStyle w:val="Tablecolumnheadings"/>
              <w:jc w:val="center"/>
            </w:pPr>
            <w:r>
              <w:t>2024</w:t>
            </w:r>
          </w:p>
        </w:tc>
      </w:tr>
      <w:tr w:rsidR="00DD31C2" w14:paraId="7F6F78BE" w14:textId="77777777">
        <w:trPr>
          <w:cantSplit/>
        </w:trPr>
        <w:tc>
          <w:tcPr>
            <w:tcW w:w="2270" w:type="dxa"/>
            <w:shd w:val="clear" w:color="auto" w:fill="auto"/>
            <w:vAlign w:val="center"/>
          </w:tcPr>
          <w:p w14:paraId="623F2316" w14:textId="77777777" w:rsidR="00DD31C2" w:rsidRDefault="00DD31C2" w:rsidP="00DD31C2">
            <w:pPr>
              <w:pStyle w:val="Tabletext"/>
            </w:pPr>
            <w:r>
              <w:t>Industry burden ($m)</w:t>
            </w:r>
          </w:p>
        </w:tc>
        <w:tc>
          <w:tcPr>
            <w:tcW w:w="791" w:type="dxa"/>
          </w:tcPr>
          <w:p w14:paraId="2B31E4A0" w14:textId="77777777" w:rsidR="00DD31C2" w:rsidRDefault="00DD31C2" w:rsidP="00DD31C2">
            <w:pPr>
              <w:pStyle w:val="Tabletext"/>
              <w:jc w:val="center"/>
            </w:pPr>
            <w:r>
              <w:t>2.0</w:t>
            </w:r>
          </w:p>
        </w:tc>
        <w:tc>
          <w:tcPr>
            <w:tcW w:w="793" w:type="dxa"/>
            <w:vAlign w:val="bottom"/>
          </w:tcPr>
          <w:p w14:paraId="341C9B9A" w14:textId="77777777" w:rsidR="00DD31C2" w:rsidRDefault="00DD31C2" w:rsidP="00DD31C2">
            <w:pPr>
              <w:pStyle w:val="Tabletext"/>
              <w:jc w:val="center"/>
            </w:pPr>
            <w:r w:rsidRPr="00487E6D">
              <w:t>2.0</w:t>
            </w:r>
          </w:p>
        </w:tc>
        <w:tc>
          <w:tcPr>
            <w:tcW w:w="793" w:type="dxa"/>
            <w:vAlign w:val="bottom"/>
          </w:tcPr>
          <w:p w14:paraId="488A35BE" w14:textId="77777777" w:rsidR="00DD31C2" w:rsidRDefault="00DD31C2" w:rsidP="00DD31C2">
            <w:pPr>
              <w:pStyle w:val="Tabletext"/>
              <w:jc w:val="center"/>
            </w:pPr>
            <w:r w:rsidRPr="00487E6D">
              <w:t>2.1</w:t>
            </w:r>
          </w:p>
        </w:tc>
        <w:tc>
          <w:tcPr>
            <w:tcW w:w="793" w:type="dxa"/>
            <w:shd w:val="clear" w:color="auto" w:fill="auto"/>
            <w:vAlign w:val="bottom"/>
          </w:tcPr>
          <w:p w14:paraId="793C88D8" w14:textId="77777777" w:rsidR="00DD31C2" w:rsidRDefault="00DD31C2" w:rsidP="00DD31C2">
            <w:pPr>
              <w:pStyle w:val="Tabletext"/>
              <w:jc w:val="center"/>
            </w:pPr>
            <w:r w:rsidRPr="00487E6D">
              <w:t>2.1</w:t>
            </w:r>
          </w:p>
        </w:tc>
        <w:tc>
          <w:tcPr>
            <w:tcW w:w="794" w:type="dxa"/>
            <w:shd w:val="clear" w:color="auto" w:fill="auto"/>
            <w:vAlign w:val="bottom"/>
          </w:tcPr>
          <w:p w14:paraId="225AC9F8" w14:textId="77777777" w:rsidR="00DD31C2" w:rsidRDefault="00DD31C2" w:rsidP="00DD31C2">
            <w:pPr>
              <w:pStyle w:val="Tabletext"/>
              <w:jc w:val="center"/>
            </w:pPr>
            <w:r w:rsidRPr="00487E6D">
              <w:t>2.2</w:t>
            </w:r>
          </w:p>
        </w:tc>
        <w:tc>
          <w:tcPr>
            <w:tcW w:w="794" w:type="dxa"/>
            <w:shd w:val="clear" w:color="auto" w:fill="auto"/>
            <w:vAlign w:val="bottom"/>
          </w:tcPr>
          <w:p w14:paraId="1003008B" w14:textId="77777777" w:rsidR="00DD31C2" w:rsidRDefault="00DD31C2" w:rsidP="00DD31C2">
            <w:pPr>
              <w:pStyle w:val="Tabletext"/>
              <w:jc w:val="center"/>
            </w:pPr>
            <w:r w:rsidRPr="00487E6D">
              <w:t>2.2</w:t>
            </w:r>
          </w:p>
        </w:tc>
        <w:tc>
          <w:tcPr>
            <w:tcW w:w="794" w:type="dxa"/>
            <w:shd w:val="clear" w:color="auto" w:fill="auto"/>
            <w:vAlign w:val="bottom"/>
          </w:tcPr>
          <w:p w14:paraId="5E3898FB" w14:textId="77777777" w:rsidR="00DD31C2" w:rsidRDefault="00DD31C2" w:rsidP="00DD31C2">
            <w:pPr>
              <w:pStyle w:val="Tabletext"/>
              <w:jc w:val="center"/>
            </w:pPr>
            <w:r w:rsidRPr="00487E6D">
              <w:t>2.3</w:t>
            </w:r>
          </w:p>
        </w:tc>
        <w:tc>
          <w:tcPr>
            <w:tcW w:w="794" w:type="dxa"/>
            <w:shd w:val="clear" w:color="auto" w:fill="auto"/>
            <w:vAlign w:val="bottom"/>
          </w:tcPr>
          <w:p w14:paraId="3C51AFC6" w14:textId="77777777" w:rsidR="00DD31C2" w:rsidRDefault="00DD31C2" w:rsidP="00DD31C2">
            <w:pPr>
              <w:pStyle w:val="Tabletext"/>
              <w:jc w:val="center"/>
            </w:pPr>
            <w:r w:rsidRPr="00487E6D">
              <w:t>2.3</w:t>
            </w:r>
          </w:p>
        </w:tc>
        <w:tc>
          <w:tcPr>
            <w:tcW w:w="794" w:type="dxa"/>
            <w:vAlign w:val="bottom"/>
          </w:tcPr>
          <w:p w14:paraId="24D1098F" w14:textId="77777777" w:rsidR="00DD31C2" w:rsidRDefault="00DD31C2" w:rsidP="00DD31C2">
            <w:pPr>
              <w:pStyle w:val="Tabletext"/>
              <w:jc w:val="center"/>
            </w:pPr>
            <w:r w:rsidRPr="00487E6D">
              <w:t>2.4</w:t>
            </w:r>
          </w:p>
        </w:tc>
        <w:tc>
          <w:tcPr>
            <w:tcW w:w="794" w:type="dxa"/>
            <w:vAlign w:val="bottom"/>
          </w:tcPr>
          <w:p w14:paraId="0268897F" w14:textId="77777777" w:rsidR="00DD31C2" w:rsidRDefault="00DD31C2" w:rsidP="00DD31C2">
            <w:pPr>
              <w:pStyle w:val="Tabletext"/>
              <w:jc w:val="center"/>
            </w:pPr>
            <w:r w:rsidRPr="00487E6D">
              <w:t>2.4</w:t>
            </w:r>
          </w:p>
        </w:tc>
      </w:tr>
    </w:tbl>
    <w:p w14:paraId="72780649" w14:textId="77777777" w:rsidR="005F7A4D" w:rsidRPr="00B85543" w:rsidRDefault="005F7A4D" w:rsidP="00A638B4">
      <w:pPr>
        <w:pStyle w:val="Source"/>
        <w:ind w:left="-2551"/>
      </w:pPr>
      <w:r>
        <w:t>Source</w:t>
      </w:r>
      <w:r w:rsidRPr="00B85543">
        <w:t xml:space="preserve">: </w:t>
      </w:r>
      <w:r>
        <w:t>ACIL Allen</w:t>
      </w:r>
    </w:p>
    <w:p w14:paraId="019619A1" w14:textId="77777777" w:rsidR="001953A7" w:rsidRPr="0087290D" w:rsidRDefault="001953A7" w:rsidP="001953A7">
      <w:pPr>
        <w:pStyle w:val="BodyText"/>
        <w:rPr>
          <w:rFonts w:asciiTheme="majorHAnsi" w:hAnsiTheme="majorHAnsi" w:cstheme="majorHAnsi"/>
          <w:b/>
          <w:color w:val="9757A6" w:themeColor="accent1"/>
        </w:rPr>
      </w:pPr>
      <w:r w:rsidRPr="0087290D">
        <w:rPr>
          <w:rFonts w:asciiTheme="majorHAnsi" w:hAnsiTheme="majorHAnsi" w:cstheme="majorHAnsi"/>
          <w:b/>
          <w:color w:val="9757A6" w:themeColor="accent1"/>
        </w:rPr>
        <w:t>Uncertainty in industry burden from continuing the program</w:t>
      </w:r>
    </w:p>
    <w:p w14:paraId="7661F9BF" w14:textId="77777777" w:rsidR="00DD31C2" w:rsidRDefault="00DD31C2" w:rsidP="00DD31C2">
      <w:pPr>
        <w:pStyle w:val="BodyText"/>
      </w:pPr>
      <w:r>
        <w:t xml:space="preserve">The key uncertainty related to projecting the </w:t>
      </w:r>
      <w:r w:rsidRPr="00487E6D">
        <w:rPr>
          <w:i/>
        </w:rPr>
        <w:t>incremental</w:t>
      </w:r>
      <w:r>
        <w:t xml:space="preserve"> industry burden is the level of counterfactual uptake in disclosure if the scheme is discontinued, referred to as ‘behaviour retention’ in the analysis</w:t>
      </w:r>
      <w:r w:rsidR="00CB3EC7">
        <w:t xml:space="preserve">. </w:t>
      </w:r>
      <w:r>
        <w:t>While sensitivity analysis is performed on the level of behaviour retention, the assumed industry burden is held constant across each sensitivity test</w:t>
      </w:r>
      <w:r w:rsidR="00CB3EC7">
        <w:t xml:space="preserve">. </w:t>
      </w:r>
      <w:r>
        <w:t xml:space="preserve">In actuality, the level of incremental industry burden is expected to </w:t>
      </w:r>
      <w:r w:rsidRPr="00311A42">
        <w:t xml:space="preserve">inversely </w:t>
      </w:r>
      <w:r>
        <w:t xml:space="preserve">scale with </w:t>
      </w:r>
      <w:r w:rsidRPr="00311A42">
        <w:t>assumed retention of behaviour</w:t>
      </w:r>
      <w:r w:rsidR="00CB3EC7" w:rsidRPr="00311A42">
        <w:t>.</w:t>
      </w:r>
      <w:r w:rsidR="00CB3EC7">
        <w:t xml:space="preserve"> </w:t>
      </w:r>
      <w:r>
        <w:t>However</w:t>
      </w:r>
      <w:r w:rsidR="008C20D5">
        <w:t>,</w:t>
      </w:r>
      <w:r>
        <w:t xml:space="preserve"> </w:t>
      </w:r>
      <w:r w:rsidRPr="00FF5F63">
        <w:t>for simplicity</w:t>
      </w:r>
      <w:r>
        <w:t xml:space="preserve">, such precision was not incorporated into the model </w:t>
      </w:r>
      <w:r w:rsidRPr="00311A42">
        <w:t xml:space="preserve">and </w:t>
      </w:r>
      <w:r>
        <w:t>this simplification does not have any material bearing on results or conclusions.</w:t>
      </w:r>
    </w:p>
    <w:p w14:paraId="27B70070" w14:textId="77777777" w:rsidR="001953A7" w:rsidRPr="0087290D" w:rsidRDefault="001953A7" w:rsidP="001953A7">
      <w:pPr>
        <w:pStyle w:val="BodyText"/>
        <w:rPr>
          <w:rFonts w:asciiTheme="majorHAnsi" w:hAnsiTheme="majorHAnsi" w:cstheme="majorHAnsi"/>
          <w:b/>
          <w:color w:val="9757A6" w:themeColor="accent1"/>
        </w:rPr>
      </w:pPr>
      <w:r w:rsidRPr="0087290D">
        <w:rPr>
          <w:rFonts w:asciiTheme="majorHAnsi" w:hAnsiTheme="majorHAnsi" w:cstheme="majorHAnsi"/>
          <w:b/>
          <w:color w:val="9757A6" w:themeColor="accent1"/>
        </w:rPr>
        <w:t>Assumed industry burden for floor spaces between 1,000 m</w:t>
      </w:r>
      <w:r w:rsidRPr="0087290D">
        <w:rPr>
          <w:rFonts w:asciiTheme="majorHAnsi" w:hAnsiTheme="majorHAnsi" w:cstheme="majorHAnsi"/>
          <w:b/>
          <w:color w:val="9757A6" w:themeColor="accent1"/>
          <w:vertAlign w:val="superscript"/>
        </w:rPr>
        <w:t>2</w:t>
      </w:r>
      <w:r w:rsidRPr="0087290D">
        <w:rPr>
          <w:rFonts w:asciiTheme="majorHAnsi" w:hAnsiTheme="majorHAnsi" w:cstheme="majorHAnsi"/>
          <w:b/>
          <w:color w:val="9757A6" w:themeColor="accent1"/>
        </w:rPr>
        <w:t xml:space="preserve"> and 2,000 m</w:t>
      </w:r>
      <w:r w:rsidRPr="0087290D">
        <w:rPr>
          <w:rFonts w:asciiTheme="majorHAnsi" w:hAnsiTheme="majorHAnsi" w:cstheme="majorHAnsi"/>
          <w:b/>
          <w:color w:val="9757A6" w:themeColor="accent1"/>
          <w:vertAlign w:val="superscript"/>
        </w:rPr>
        <w:t>2</w:t>
      </w:r>
    </w:p>
    <w:p w14:paraId="329884DB" w14:textId="77777777" w:rsidR="00DD31C2" w:rsidRDefault="00DD31C2" w:rsidP="00DD31C2">
      <w:pPr>
        <w:pStyle w:val="BodyText"/>
      </w:pPr>
      <w:r>
        <w:t>The potential industry burden for floor spaces between 1,000 m</w:t>
      </w:r>
      <w:r w:rsidRPr="005F1A63">
        <w:rPr>
          <w:vertAlign w:val="superscript"/>
        </w:rPr>
        <w:t>2</w:t>
      </w:r>
      <w:r>
        <w:t xml:space="preserve"> and 2,000 m</w:t>
      </w:r>
      <w:r w:rsidRPr="005F1A63">
        <w:rPr>
          <w:vertAlign w:val="superscript"/>
        </w:rPr>
        <w:t>2</w:t>
      </w:r>
      <w:r>
        <w:t xml:space="preserve"> (used to estimate the additional industry burden associated with lowering the NLA threshold for disclosure) was estimated based on discussions with energy performance assessors</w:t>
      </w:r>
      <w:r w:rsidR="00CB3EC7">
        <w:t xml:space="preserve">. </w:t>
      </w:r>
      <w:r>
        <w:t>The estimate took into account:</w:t>
      </w:r>
    </w:p>
    <w:p w14:paraId="202D99EE" w14:textId="77777777" w:rsidR="00DD31C2" w:rsidRDefault="005F7A4D" w:rsidP="00DD31C2">
      <w:pPr>
        <w:pStyle w:val="ListDash"/>
      </w:pPr>
      <w:r>
        <w:t>a</w:t>
      </w:r>
      <w:r w:rsidR="00DD31C2">
        <w:t xml:space="preserve"> ‘mobilisation’ fixed cost component of $2,000 per assessment</w:t>
      </w:r>
    </w:p>
    <w:p w14:paraId="1077072C" w14:textId="77777777" w:rsidR="00DD31C2" w:rsidRDefault="005F7A4D" w:rsidP="00DD31C2">
      <w:pPr>
        <w:pStyle w:val="ListDash"/>
      </w:pPr>
      <w:r>
        <w:t>a</w:t>
      </w:r>
      <w:r w:rsidR="00DD31C2">
        <w:t xml:space="preserve"> variable cost component of 20 cents per m</w:t>
      </w:r>
      <w:r w:rsidR="00DD31C2" w:rsidRPr="005F1A63">
        <w:rPr>
          <w:vertAlign w:val="superscript"/>
        </w:rPr>
        <w:t>2</w:t>
      </w:r>
    </w:p>
    <w:p w14:paraId="415ACFF1" w14:textId="77777777" w:rsidR="00DD31C2" w:rsidRDefault="005F7A4D" w:rsidP="00DD31C2">
      <w:pPr>
        <w:pStyle w:val="ListDash"/>
      </w:pPr>
      <w:r>
        <w:t>a</w:t>
      </w:r>
      <w:r w:rsidR="00DD31C2">
        <w:t xml:space="preserve"> NABERS lodgement fee of $490</w:t>
      </w:r>
      <w:r w:rsidR="00DD31C2">
        <w:rPr>
          <w:rStyle w:val="FootnoteReference"/>
        </w:rPr>
        <w:footnoteReference w:id="52"/>
      </w:r>
    </w:p>
    <w:p w14:paraId="53E829CA" w14:textId="77777777" w:rsidR="00DD31C2" w:rsidRDefault="005F7A4D" w:rsidP="00DD31C2">
      <w:pPr>
        <w:pStyle w:val="ListDash"/>
      </w:pPr>
      <w:r>
        <w:t>a</w:t>
      </w:r>
      <w:r w:rsidR="00DD31C2">
        <w:t>n assumed average assessment floor area of 1,500 m</w:t>
      </w:r>
      <w:r w:rsidR="00DD31C2" w:rsidRPr="00706B74">
        <w:rPr>
          <w:vertAlign w:val="superscript"/>
        </w:rPr>
        <w:t>2</w:t>
      </w:r>
      <w:r w:rsidR="00DD31C2">
        <w:t>.</w:t>
      </w:r>
    </w:p>
    <w:p w14:paraId="0C98110A" w14:textId="6F54859D" w:rsidR="00DD31C2" w:rsidRPr="00D920F3" w:rsidRDefault="00DD31C2" w:rsidP="00DD31C2">
      <w:pPr>
        <w:pStyle w:val="BodyText"/>
        <w:rPr>
          <w:vertAlign w:val="subscript"/>
        </w:rPr>
      </w:pPr>
      <w:r>
        <w:t>An average cost expressed in dollars per square met</w:t>
      </w:r>
      <w:r w:rsidR="006A3150">
        <w:t>re</w:t>
      </w:r>
      <w:r>
        <w:t xml:space="preserve"> </w:t>
      </w:r>
      <w:r w:rsidRPr="00205A01">
        <w:t xml:space="preserve">per year of </w:t>
      </w:r>
      <w:r w:rsidRPr="003F5F13">
        <w:t>$0.64/m</w:t>
      </w:r>
      <w:r w:rsidRPr="003F5F13">
        <w:rPr>
          <w:vertAlign w:val="superscript"/>
        </w:rPr>
        <w:t>2</w:t>
      </w:r>
      <w:r w:rsidRPr="003F5F13">
        <w:t>/year</w:t>
      </w:r>
      <w:r w:rsidRPr="00205A01">
        <w:t xml:space="preserve"> was</w:t>
      </w:r>
      <w:r>
        <w:t xml:space="preserve"> calculated based on an assumed rating frequency of requiring disclosure approximately 1 in 3 years</w:t>
      </w:r>
      <w:r w:rsidR="00CB3EC7">
        <w:t xml:space="preserve">. </w:t>
      </w:r>
    </w:p>
    <w:p w14:paraId="40D25A44" w14:textId="77777777" w:rsidR="001953A7" w:rsidRDefault="001953A7" w:rsidP="001953A7">
      <w:pPr>
        <w:pStyle w:val="Heading8"/>
        <w:numPr>
          <w:ilvl w:val="7"/>
          <w:numId w:val="20"/>
        </w:numPr>
      </w:pPr>
      <w:r>
        <w:lastRenderedPageBreak/>
        <w:t>Energy efficiency improvement costs and associated energy savings benefits</w:t>
      </w:r>
    </w:p>
    <w:p w14:paraId="60DDADEE" w14:textId="77777777" w:rsidR="001953A7" w:rsidRDefault="001953A7" w:rsidP="001953A7">
      <w:pPr>
        <w:pStyle w:val="BodyText"/>
      </w:pPr>
      <w:r>
        <w:t>Energy efficiency improvements in the CBAs are expressed as improvements in the energy intensity (MJ/</w:t>
      </w:r>
      <w:r w:rsidR="00E447DB">
        <w:t>m</w:t>
      </w:r>
      <w:r w:rsidRPr="00487E6D">
        <w:rPr>
          <w:vertAlign w:val="superscript"/>
        </w:rPr>
        <w:t>2</w:t>
      </w:r>
      <w:r>
        <w:t>) of building floor space (or alternatively</w:t>
      </w:r>
      <w:r w:rsidR="006A3150">
        <w:t>,</w:t>
      </w:r>
      <w:r>
        <w:t xml:space="preserve"> improvements in star rating translated into assumed equivalent improvements in energy intensity).</w:t>
      </w:r>
    </w:p>
    <w:p w14:paraId="33666B63" w14:textId="1896D6BE" w:rsidR="001953A7" w:rsidRDefault="001953A7" w:rsidP="001953A7">
      <w:pPr>
        <w:pStyle w:val="BodyText"/>
      </w:pPr>
      <w:r>
        <w:t>Building energy efficiency improvements can be achieved through a variety of measures</w:t>
      </w:r>
      <w:r w:rsidR="006A3150">
        <w:t>,</w:t>
      </w:r>
      <w:r>
        <w:t xml:space="preserve"> ranging from simple and negligible cost process improvements to major retrofits </w:t>
      </w:r>
      <w:r w:rsidR="006A3150">
        <w:t>of</w:t>
      </w:r>
      <w:r>
        <w:t xml:space="preserve"> building equipment involving large capital costs.</w:t>
      </w:r>
    </w:p>
    <w:p w14:paraId="7B328C54" w14:textId="77777777" w:rsidR="001953A7" w:rsidRDefault="001953A7" w:rsidP="001953A7">
      <w:pPr>
        <w:pStyle w:val="BodyText"/>
      </w:pPr>
      <w:r>
        <w:t>In most cases, energy efficiency improvements will result in a net financial benefit to the project proponent</w:t>
      </w:r>
      <w:r w:rsidR="00A131EB">
        <w:t>,</w:t>
      </w:r>
      <w:r>
        <w:t xml:space="preserve"> except in some cases where a net cost may be justified on marketing or corporate social responsibility grounds.</w:t>
      </w:r>
    </w:p>
    <w:p w14:paraId="5D3E6AC6" w14:textId="77777777" w:rsidR="001953A7" w:rsidRDefault="001953A7" w:rsidP="001953A7">
      <w:pPr>
        <w:pStyle w:val="BodyText"/>
      </w:pPr>
      <w:r>
        <w:t xml:space="preserve">This net benefit is comprised of </w:t>
      </w:r>
      <w:r w:rsidR="00E447DB">
        <w:t xml:space="preserve">a </w:t>
      </w:r>
      <w:r>
        <w:t>combination of one or more of the following items:</w:t>
      </w:r>
    </w:p>
    <w:p w14:paraId="3E931C4D" w14:textId="77777777" w:rsidR="001953A7" w:rsidRPr="00A670CF" w:rsidRDefault="00E447DB" w:rsidP="001953A7">
      <w:pPr>
        <w:pStyle w:val="ListDash"/>
      </w:pPr>
      <w:r>
        <w:t>e</w:t>
      </w:r>
      <w:r w:rsidR="001953A7" w:rsidRPr="00A670CF">
        <w:t>lectricity supply cost savings</w:t>
      </w:r>
    </w:p>
    <w:p w14:paraId="2CB17ECE" w14:textId="77777777" w:rsidR="001953A7" w:rsidRPr="00A670CF" w:rsidRDefault="00E447DB" w:rsidP="001953A7">
      <w:pPr>
        <w:pStyle w:val="ListDash"/>
      </w:pPr>
      <w:r>
        <w:t>g</w:t>
      </w:r>
      <w:r w:rsidR="001953A7" w:rsidRPr="00A670CF">
        <w:t>as supply cost savings</w:t>
      </w:r>
    </w:p>
    <w:p w14:paraId="305A6D98" w14:textId="77777777" w:rsidR="001953A7" w:rsidRPr="00A670CF" w:rsidRDefault="00E447DB" w:rsidP="001953A7">
      <w:pPr>
        <w:pStyle w:val="ListDash"/>
      </w:pPr>
      <w:r>
        <w:t>d</w:t>
      </w:r>
      <w:r w:rsidR="001953A7" w:rsidRPr="00A670CF">
        <w:t>iesel cost savings</w:t>
      </w:r>
    </w:p>
    <w:p w14:paraId="182B2202" w14:textId="77777777" w:rsidR="001953A7" w:rsidRPr="00A670CF" w:rsidRDefault="00E447DB" w:rsidP="001953A7">
      <w:pPr>
        <w:pStyle w:val="ListDash"/>
      </w:pPr>
      <w:r>
        <w:t>v</w:t>
      </w:r>
      <w:r w:rsidR="001953A7" w:rsidRPr="00A670CF">
        <w:t>alue of carbon abatement</w:t>
      </w:r>
    </w:p>
    <w:p w14:paraId="49C46CA2" w14:textId="77777777" w:rsidR="001953A7" w:rsidRDefault="00E447DB" w:rsidP="001953A7">
      <w:pPr>
        <w:pStyle w:val="ListDash"/>
      </w:pPr>
      <w:r>
        <w:t>l</w:t>
      </w:r>
      <w:r w:rsidR="001953A7">
        <w:t>ess c</w:t>
      </w:r>
      <w:r w:rsidR="001953A7" w:rsidRPr="00A670CF">
        <w:t>ost</w:t>
      </w:r>
      <w:r w:rsidR="001953A7">
        <w:t>s (capital and operating) associated with the improvements.</w:t>
      </w:r>
    </w:p>
    <w:p w14:paraId="0F886EC0" w14:textId="6DB8F07E" w:rsidR="001953A7" w:rsidRDefault="001953A7" w:rsidP="001953A7">
      <w:pPr>
        <w:pStyle w:val="BodyText"/>
      </w:pPr>
      <w:r>
        <w:t xml:space="preserve">There is a large variance in </w:t>
      </w:r>
      <w:r w:rsidR="00EC7134">
        <w:t xml:space="preserve">project </w:t>
      </w:r>
      <w:r>
        <w:t>net benefit</w:t>
      </w:r>
      <w:r w:rsidR="00EC7134">
        <w:t>s</w:t>
      </w:r>
      <w:r>
        <w:t xml:space="preserve"> which depend on many factors</w:t>
      </w:r>
      <w:r w:rsidR="00CB3EC7">
        <w:t xml:space="preserve">. </w:t>
      </w:r>
      <w:r w:rsidR="00CE6E2C">
        <w:t xml:space="preserve">These include </w:t>
      </w:r>
      <w:r>
        <w:t>pre-existing energy performance of the building, climate zone, building operation, pattern o</w:t>
      </w:r>
      <w:r w:rsidR="00CB3725">
        <w:t>f energy use, building envelope and</w:t>
      </w:r>
      <w:r>
        <w:t xml:space="preserve"> emissions intensity of fuel used</w:t>
      </w:r>
      <w:r w:rsidR="00CB3EC7">
        <w:t xml:space="preserve">. </w:t>
      </w:r>
      <w:r>
        <w:t xml:space="preserve">Pre-existing energy performance, in particular, has a significant bearing on project benefits as improvements from a lower base of performance tend to have a much higher </w:t>
      </w:r>
      <w:r w:rsidR="00B379DF">
        <w:t>pay-off</w:t>
      </w:r>
      <w:r w:rsidR="00A131EB">
        <w:t>.</w:t>
      </w:r>
      <w:r>
        <w:rPr>
          <w:rStyle w:val="FootnoteReference"/>
        </w:rPr>
        <w:footnoteReference w:id="53"/>
      </w:r>
    </w:p>
    <w:p w14:paraId="000D84CF" w14:textId="6AEEF7D3" w:rsidR="001953A7" w:rsidRDefault="001953A7" w:rsidP="001953A7">
      <w:pPr>
        <w:pStyle w:val="BodyText"/>
      </w:pPr>
      <w:r>
        <w:t>Due to this large degree of variance and the lack of sufficient publicly available data on energy efficiency project costs and benefits, it was not feasible to precisely model project costs and benefits</w:t>
      </w:r>
      <w:r w:rsidR="00CB3EC7">
        <w:t xml:space="preserve">. </w:t>
      </w:r>
      <w:r>
        <w:t>Instead</w:t>
      </w:r>
      <w:r w:rsidR="00A131EB">
        <w:t>,</w:t>
      </w:r>
      <w:r>
        <w:t xml:space="preserve"> an approach using average benefit across the building sector</w:t>
      </w:r>
      <w:r w:rsidR="00CB3725">
        <w:t xml:space="preserve"> was developed</w:t>
      </w:r>
      <w:r>
        <w:t>, incorporating some variance of costs based on pre-existing energy performance.</w:t>
      </w:r>
    </w:p>
    <w:p w14:paraId="21ACB080" w14:textId="415CA023" w:rsidR="00DB1906" w:rsidRDefault="0056170B" w:rsidP="001953A7">
      <w:pPr>
        <w:pStyle w:val="BodyText"/>
      </w:pPr>
      <w:r>
        <w:t xml:space="preserve">The </w:t>
      </w:r>
      <w:r w:rsidR="00FB288A">
        <w:t xml:space="preserve">potential </w:t>
      </w:r>
      <w:r>
        <w:t>benefit</w:t>
      </w:r>
      <w:r w:rsidR="00FB288A">
        <w:t>s</w:t>
      </w:r>
      <w:r>
        <w:t xml:space="preserve"> </w:t>
      </w:r>
      <w:r w:rsidR="00FB288A">
        <w:t xml:space="preserve">were </w:t>
      </w:r>
      <w:r>
        <w:t xml:space="preserve">estimated </w:t>
      </w:r>
      <w:r w:rsidR="001953A7">
        <w:t xml:space="preserve">based </w:t>
      </w:r>
      <w:r w:rsidR="001953A7" w:rsidRPr="00DB1906">
        <w:t xml:space="preserve">on </w:t>
      </w:r>
      <w:proofErr w:type="spellStart"/>
      <w:r w:rsidR="001953A7" w:rsidRPr="00DB1906">
        <w:t>ClimateWorks</w:t>
      </w:r>
      <w:proofErr w:type="spellEnd"/>
      <w:r w:rsidR="001953A7" w:rsidRPr="00DB1906">
        <w:t xml:space="preserve"> (2013)</w:t>
      </w:r>
      <w:r w:rsidR="001953A7">
        <w:rPr>
          <w:b/>
        </w:rPr>
        <w:t xml:space="preserve"> </w:t>
      </w:r>
      <w:r w:rsidR="001953A7">
        <w:t>and energy efficiency audit data supplied by the City of Sydney</w:t>
      </w:r>
      <w:r w:rsidR="00CB3EC7">
        <w:t xml:space="preserve">. </w:t>
      </w:r>
      <w:r w:rsidR="00DB1906">
        <w:t xml:space="preserve">The estimates have </w:t>
      </w:r>
      <w:r w:rsidR="001953A7">
        <w:t>also been cross-validated against other publicly available and non-publicly available sources</w:t>
      </w:r>
      <w:r w:rsidR="00A131EB">
        <w:t>,</w:t>
      </w:r>
      <w:r w:rsidR="001953A7">
        <w:t xml:space="preserve"> including studies by </w:t>
      </w:r>
      <w:r w:rsidR="001953A7" w:rsidRPr="00DB1906">
        <w:t>Allen Consulting Group (200</w:t>
      </w:r>
      <w:r w:rsidR="005F7899">
        <w:t>8</w:t>
      </w:r>
      <w:r w:rsidR="001953A7" w:rsidRPr="00DB1906">
        <w:t xml:space="preserve">), </w:t>
      </w:r>
      <w:r w:rsidR="005F7899">
        <w:t xml:space="preserve">CIE </w:t>
      </w:r>
      <w:r w:rsidR="001953A7" w:rsidRPr="00DB1906">
        <w:t xml:space="preserve">(2009) and </w:t>
      </w:r>
      <w:r w:rsidR="00A131EB">
        <w:t xml:space="preserve">the </w:t>
      </w:r>
      <w:r w:rsidR="001953A7" w:rsidRPr="00DB1906">
        <w:t>Victorian Department of Treasury and Finance (2013)</w:t>
      </w:r>
      <w:r w:rsidR="00DB1906">
        <w:t>.</w:t>
      </w:r>
    </w:p>
    <w:p w14:paraId="78FBD3EC" w14:textId="77777777" w:rsidR="001953A7" w:rsidRDefault="001953A7" w:rsidP="001953A7">
      <w:pPr>
        <w:pStyle w:val="BodyText"/>
      </w:pPr>
      <w:r w:rsidRPr="00DB1906">
        <w:t xml:space="preserve">The approach used to derive an average net benefit and to vary this benefit </w:t>
      </w:r>
      <w:r>
        <w:t>based on pre-existing energy performance is discussed below.</w:t>
      </w:r>
    </w:p>
    <w:p w14:paraId="6FFDFFC4" w14:textId="77777777" w:rsidR="001953A7" w:rsidRDefault="001953A7" w:rsidP="001953A7">
      <w:pPr>
        <w:pStyle w:val="Heading9"/>
        <w:numPr>
          <w:ilvl w:val="8"/>
          <w:numId w:val="20"/>
        </w:numPr>
      </w:pPr>
      <w:r>
        <w:t>Estimated average net benefit from energy efficiency upgrades</w:t>
      </w:r>
    </w:p>
    <w:p w14:paraId="7E49E5EE" w14:textId="19784272" w:rsidR="001953A7" w:rsidRDefault="001953A7" w:rsidP="001953A7">
      <w:pPr>
        <w:pStyle w:val="BodyText"/>
      </w:pPr>
      <w:r>
        <w:t xml:space="preserve">The average </w:t>
      </w:r>
      <w:r w:rsidR="00F96077">
        <w:t xml:space="preserve">estimated </w:t>
      </w:r>
      <w:r>
        <w:t xml:space="preserve">benefit </w:t>
      </w:r>
      <w:r w:rsidR="00F96077">
        <w:t xml:space="preserve">from </w:t>
      </w:r>
      <w:r>
        <w:t xml:space="preserve">energy improvements </w:t>
      </w:r>
      <w:r w:rsidR="00FD37CA">
        <w:t xml:space="preserve">was </w:t>
      </w:r>
      <w:r>
        <w:t xml:space="preserve">derived from cost curve data published by </w:t>
      </w:r>
      <w:proofErr w:type="spellStart"/>
      <w:r w:rsidRPr="00DB1906">
        <w:t>ClimateWorks</w:t>
      </w:r>
      <w:proofErr w:type="spellEnd"/>
      <w:r w:rsidRPr="00DB1906">
        <w:t xml:space="preserve"> (2013)</w:t>
      </w:r>
      <w:r w:rsidR="00CB3EC7">
        <w:t xml:space="preserve">. </w:t>
      </w:r>
      <w:r>
        <w:t>Of the sources reviewed</w:t>
      </w:r>
      <w:r w:rsidR="008958D1">
        <w:t>,</w:t>
      </w:r>
      <w:r>
        <w:t xml:space="preserve"> the </w:t>
      </w:r>
      <w:proofErr w:type="spellStart"/>
      <w:r>
        <w:t>ClimateWorks</w:t>
      </w:r>
      <w:proofErr w:type="spellEnd"/>
      <w:r>
        <w:t xml:space="preserve"> analysis is relatively current and provides estimate</w:t>
      </w:r>
      <w:r w:rsidR="008958D1">
        <w:t xml:space="preserve">s </w:t>
      </w:r>
      <w:r>
        <w:t xml:space="preserve">of abatement potential and cost from a range of commercial building measures as averages </w:t>
      </w:r>
      <w:r>
        <w:lastRenderedPageBreak/>
        <w:t>across the sector</w:t>
      </w:r>
      <w:r w:rsidR="00CB3EC7">
        <w:t xml:space="preserve">. </w:t>
      </w:r>
      <w:r>
        <w:t xml:space="preserve">Exhibit 4.6 of </w:t>
      </w:r>
      <w:proofErr w:type="spellStart"/>
      <w:r w:rsidRPr="00F96077">
        <w:t>ClimateWorks</w:t>
      </w:r>
      <w:proofErr w:type="spellEnd"/>
      <w:r w:rsidRPr="00F96077">
        <w:t xml:space="preserve"> (2013)</w:t>
      </w:r>
      <w:r>
        <w:t xml:space="preserve"> (shown in </w:t>
      </w:r>
      <w:r w:rsidR="00492194">
        <w:rPr>
          <w:b/>
          <w:highlight w:val="yellow"/>
        </w:rPr>
        <w:fldChar w:fldCharType="begin"/>
      </w:r>
      <w:r w:rsidR="00DB1906">
        <w:instrText xml:space="preserve"> REF _Ref409629545 \h </w:instrText>
      </w:r>
      <w:r w:rsidR="00492194">
        <w:rPr>
          <w:b/>
          <w:highlight w:val="yellow"/>
        </w:rPr>
      </w:r>
      <w:r w:rsidR="00492194">
        <w:rPr>
          <w:b/>
          <w:highlight w:val="yellow"/>
        </w:rPr>
        <w:fldChar w:fldCharType="separate"/>
      </w:r>
      <w:r w:rsidR="006A273E">
        <w:t xml:space="preserve">Figure </w:t>
      </w:r>
      <w:r w:rsidR="006A273E" w:rsidRPr="006A273E">
        <w:rPr>
          <w:noProof/>
          <w:lang w:val="en-US"/>
        </w:rPr>
        <w:t>A</w:t>
      </w:r>
      <w:r w:rsidR="006A273E">
        <w:rPr>
          <w:noProof/>
        </w:rPr>
        <w:t>1</w:t>
      </w:r>
      <w:r w:rsidR="00492194">
        <w:rPr>
          <w:b/>
          <w:highlight w:val="yellow"/>
        </w:rPr>
        <w:fldChar w:fldCharType="end"/>
      </w:r>
      <w:r w:rsidR="00DB1906">
        <w:rPr>
          <w:b/>
        </w:rPr>
        <w:t xml:space="preserve"> </w:t>
      </w:r>
      <w:r>
        <w:t>below) illustrates the commercial building sector ‘investor abatement cost curve’</w:t>
      </w:r>
      <w:r w:rsidR="00A131EB">
        <w:t>.</w:t>
      </w:r>
    </w:p>
    <w:p w14:paraId="7406D2AB" w14:textId="3599E030" w:rsidR="001953A7" w:rsidRDefault="001953A7" w:rsidP="001953A7">
      <w:pPr>
        <w:pStyle w:val="BodyText"/>
      </w:pPr>
      <w:r>
        <w:t>Using net benefit estimates expressed as tonnes of abatement ($ per tCO</w:t>
      </w:r>
      <w:r w:rsidRPr="00860430">
        <w:rPr>
          <w:vertAlign w:val="subscript"/>
        </w:rPr>
        <w:t>2</w:t>
      </w:r>
      <w:r w:rsidRPr="00487E6D">
        <w:rPr>
          <w:vertAlign w:val="subscript"/>
        </w:rPr>
        <w:t>e</w:t>
      </w:r>
      <w:r>
        <w:t>) provide</w:t>
      </w:r>
      <w:r w:rsidR="008C39B0">
        <w:t>s</w:t>
      </w:r>
      <w:r>
        <w:t xml:space="preserve"> the advantage of having already combined all cost and benefit streams (including capital costs, operating costs and energy savings) into a single aggregated unit value which can be applied to the estimated tCO</w:t>
      </w:r>
      <w:r w:rsidRPr="00860430">
        <w:rPr>
          <w:vertAlign w:val="subscript"/>
        </w:rPr>
        <w:t>2</w:t>
      </w:r>
      <w:r w:rsidRPr="00D04C3E">
        <w:rPr>
          <w:vertAlign w:val="subscript"/>
        </w:rPr>
        <w:t>e</w:t>
      </w:r>
      <w:r>
        <w:rPr>
          <w:vertAlign w:val="superscript"/>
        </w:rPr>
        <w:t xml:space="preserve"> </w:t>
      </w:r>
      <w:r w:rsidRPr="00487E6D">
        <w:t>of</w:t>
      </w:r>
      <w:r w:rsidRPr="00A131EB">
        <w:t xml:space="preserve"> </w:t>
      </w:r>
      <w:r w:rsidRPr="00487E6D">
        <w:t xml:space="preserve">energy </w:t>
      </w:r>
      <w:r>
        <w:t>improvements (</w:t>
      </w:r>
      <w:r w:rsidRPr="00205A01">
        <w:t xml:space="preserve">refer to </w:t>
      </w:r>
      <w:r w:rsidRPr="003F5F13">
        <w:t>Section</w:t>
      </w:r>
      <w:r w:rsidR="00570B84" w:rsidRPr="003F5F13">
        <w:t xml:space="preserve"> </w:t>
      </w:r>
      <w:r w:rsidR="003346C7">
        <w:fldChar w:fldCharType="begin"/>
      </w:r>
      <w:r w:rsidR="003346C7">
        <w:instrText xml:space="preserve"> REF _Ref409797494 \n \h  \* MERGEFORMAT </w:instrText>
      </w:r>
      <w:r w:rsidR="003346C7">
        <w:fldChar w:fldCharType="separate"/>
      </w:r>
      <w:r w:rsidR="006A273E">
        <w:t>A.5</w:t>
      </w:r>
      <w:r w:rsidR="003346C7">
        <w:fldChar w:fldCharType="end"/>
      </w:r>
      <w:r>
        <w:t>) to provide an estimate of monetised economic benefit.</w:t>
      </w:r>
    </w:p>
    <w:p w14:paraId="44CCEA06" w14:textId="77777777" w:rsidR="001953A7" w:rsidRDefault="001953A7" w:rsidP="001953A7">
      <w:pPr>
        <w:pStyle w:val="BodyText"/>
      </w:pPr>
      <w:r>
        <w:t>Two steps were required to derive a value suitable for used in the CBAs:</w:t>
      </w:r>
    </w:p>
    <w:p w14:paraId="043AC46C" w14:textId="77777777" w:rsidR="001953A7" w:rsidRDefault="001953A7" w:rsidP="001953A7">
      <w:pPr>
        <w:pStyle w:val="BodyText"/>
        <w:numPr>
          <w:ilvl w:val="0"/>
          <w:numId w:val="31"/>
        </w:numPr>
      </w:pPr>
      <w:r>
        <w:t>The weighted average of a range of representative measures was calculated to arrive at an average value; and</w:t>
      </w:r>
    </w:p>
    <w:p w14:paraId="5D8E0759" w14:textId="77777777" w:rsidR="001953A7" w:rsidRDefault="001953A7" w:rsidP="001953A7">
      <w:pPr>
        <w:pStyle w:val="BodyText"/>
        <w:numPr>
          <w:ilvl w:val="0"/>
          <w:numId w:val="31"/>
        </w:numPr>
      </w:pPr>
      <w:r>
        <w:t>This value was adjusted due to differences in study contexts.</w:t>
      </w:r>
    </w:p>
    <w:p w14:paraId="2CBCD04D" w14:textId="6B3A63EE" w:rsidR="001953A7" w:rsidRDefault="001953A7" w:rsidP="001953A7">
      <w:pPr>
        <w:pStyle w:val="Caption"/>
        <w:ind w:left="-1560"/>
      </w:pPr>
      <w:bookmarkStart w:id="710" w:name="_Ref409629545"/>
      <w:bookmarkStart w:id="711" w:name="_Toc409536598"/>
      <w:bookmarkStart w:id="712" w:name="_Toc415660975"/>
      <w:r>
        <w:t xml:space="preserve">Figure </w:t>
      </w:r>
      <w:r w:rsidR="00366ADF">
        <w:fldChar w:fldCharType="begin"/>
      </w:r>
      <w:r w:rsidR="00366ADF">
        <w:instrText xml:space="preserve"> STYLEREF 7 \s \* MERGEFORMAT </w:instrText>
      </w:r>
      <w:r w:rsidR="00366ADF">
        <w:fldChar w:fldCharType="separate"/>
      </w:r>
      <w:r w:rsidR="006A273E" w:rsidRPr="006A273E">
        <w:rPr>
          <w:noProof/>
          <w:lang w:val="en-US"/>
        </w:rPr>
        <w:t>A</w:t>
      </w:r>
      <w:r w:rsidR="00366ADF">
        <w:rPr>
          <w:noProof/>
          <w:lang w:val="en-US"/>
        </w:rPr>
        <w:fldChar w:fldCharType="end"/>
      </w:r>
      <w:r w:rsidR="00492194">
        <w:fldChar w:fldCharType="begin"/>
      </w:r>
      <w:r w:rsidR="0044208C">
        <w:instrText xml:space="preserve"> SEQ Figure \* ARABIC \s 7 </w:instrText>
      </w:r>
      <w:r w:rsidR="00492194">
        <w:fldChar w:fldCharType="separate"/>
      </w:r>
      <w:r w:rsidR="006A273E">
        <w:rPr>
          <w:noProof/>
        </w:rPr>
        <w:t>1</w:t>
      </w:r>
      <w:r w:rsidR="00492194">
        <w:rPr>
          <w:noProof/>
        </w:rPr>
        <w:fldChar w:fldCharType="end"/>
      </w:r>
      <w:bookmarkEnd w:id="710"/>
      <w:r w:rsidRPr="00204B45">
        <w:tab/>
      </w:r>
      <w:r w:rsidRPr="00487E6D">
        <w:rPr>
          <w:b/>
        </w:rPr>
        <w:t>Commercial building investor abatement cost curve</w:t>
      </w:r>
      <w:bookmarkEnd w:id="711"/>
      <w:bookmarkEnd w:id="712"/>
      <w:r w:rsidRPr="00527B6F">
        <w:rPr>
          <w:rStyle w:val="CaptionLabel"/>
          <w:b w:val="0"/>
        </w:rPr>
        <w:t xml:space="preserve"> </w:t>
      </w:r>
    </w:p>
    <w:tbl>
      <w:tblPr>
        <w:tblW w:w="6730" w:type="pct"/>
        <w:tblInd w:w="-2552"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923"/>
      </w:tblGrid>
      <w:tr w:rsidR="001953A7" w14:paraId="4797A396" w14:textId="77777777">
        <w:tc>
          <w:tcPr>
            <w:tcW w:w="5000" w:type="pct"/>
          </w:tcPr>
          <w:p w14:paraId="628FF42F" w14:textId="0C5586AF" w:rsidR="001953A7" w:rsidRDefault="001953A7" w:rsidP="00DD31C2">
            <w:pPr>
              <w:pStyle w:val="SmallDeltasRightAligned"/>
              <w:keepNext/>
              <w:keepLines/>
              <w:ind w:left="-851"/>
            </w:pPr>
            <w:r>
              <w:rPr>
                <w:noProof/>
                <w:lang w:eastAsia="en-AU"/>
              </w:rPr>
              <w:drawing>
                <wp:inline distT="0" distB="0" distL="0" distR="0" wp14:anchorId="7D221911" wp14:editId="0D9AE195">
                  <wp:extent cx="481585" cy="234696"/>
                  <wp:effectExtent l="0" t="0" r="0" b="0"/>
                  <wp:docPr id="48" name="Picture 48"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1953A7" w14:paraId="7E650FAC" w14:textId="77777777">
        <w:tc>
          <w:tcPr>
            <w:tcW w:w="5000" w:type="pct"/>
          </w:tcPr>
          <w:p w14:paraId="1F6B9CA4" w14:textId="3A18A124" w:rsidR="001953A7" w:rsidRDefault="001953A7" w:rsidP="00DD31C2">
            <w:pPr>
              <w:pStyle w:val="Figure"/>
              <w:keepLines/>
              <w:ind w:left="142"/>
            </w:pPr>
            <w:r w:rsidRPr="00B04075">
              <w:rPr>
                <w:noProof/>
                <w:lang w:eastAsia="en-AU"/>
              </w:rPr>
              <w:drawing>
                <wp:inline distT="0" distB="0" distL="0" distR="0" wp14:anchorId="7EC204B7" wp14:editId="411C3623">
                  <wp:extent cx="6297295" cy="3999230"/>
                  <wp:effectExtent l="0" t="0" r="8255" b="1270"/>
                  <wp:docPr id="50" name="Picture 50" descr="Commercial building investor abatement cost curve" title="Commercial building investor abatement cost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97295" cy="3999230"/>
                          </a:xfrm>
                          <a:prstGeom prst="rect">
                            <a:avLst/>
                          </a:prstGeom>
                          <a:noFill/>
                          <a:ln>
                            <a:noFill/>
                          </a:ln>
                        </pic:spPr>
                      </pic:pic>
                    </a:graphicData>
                  </a:graphic>
                </wp:inline>
              </w:drawing>
            </w:r>
          </w:p>
        </w:tc>
      </w:tr>
    </w:tbl>
    <w:p w14:paraId="0617405C" w14:textId="77777777" w:rsidR="001953A7" w:rsidRPr="00AE6C4B" w:rsidRDefault="001953A7" w:rsidP="001953A7">
      <w:pPr>
        <w:pStyle w:val="Source"/>
        <w:ind w:left="-2552"/>
      </w:pPr>
      <w:r w:rsidRPr="00B50A1B">
        <w:t>Source:</w:t>
      </w:r>
      <w:r w:rsidRPr="00954EED">
        <w:t xml:space="preserve"> </w:t>
      </w:r>
      <w:r>
        <w:t>Exhibit 4.6</w:t>
      </w:r>
      <w:r w:rsidR="008C39B0">
        <w:t xml:space="preserve">, p.14, </w:t>
      </w:r>
      <w:r w:rsidRPr="008C39B0">
        <w:t>(</w:t>
      </w:r>
      <w:proofErr w:type="spellStart"/>
      <w:r w:rsidRPr="008C39B0">
        <w:t>ClimateWorks</w:t>
      </w:r>
      <w:proofErr w:type="spellEnd"/>
      <w:r w:rsidRPr="008C39B0">
        <w:t>, 2013)</w:t>
      </w:r>
    </w:p>
    <w:p w14:paraId="450CBB19" w14:textId="77777777" w:rsidR="001953A7" w:rsidRPr="00177B00" w:rsidRDefault="001953A7" w:rsidP="001953A7">
      <w:pPr>
        <w:pStyle w:val="BodyText"/>
        <w:rPr>
          <w:rFonts w:asciiTheme="majorHAnsi" w:hAnsiTheme="majorHAnsi" w:cstheme="majorHAnsi"/>
          <w:b/>
          <w:color w:val="9757A6" w:themeColor="text2"/>
        </w:rPr>
      </w:pPr>
      <w:r w:rsidRPr="00177B00">
        <w:rPr>
          <w:rFonts w:asciiTheme="majorHAnsi" w:hAnsiTheme="majorHAnsi" w:cstheme="majorHAnsi"/>
          <w:b/>
          <w:color w:val="9757A6" w:themeColor="text2"/>
        </w:rPr>
        <w:t xml:space="preserve">Calculation of weighted average net benefit </w:t>
      </w:r>
    </w:p>
    <w:p w14:paraId="14729855" w14:textId="77777777" w:rsidR="001953A7" w:rsidRDefault="001953A7" w:rsidP="001953A7">
      <w:pPr>
        <w:pStyle w:val="BodyText"/>
      </w:pPr>
      <w:r>
        <w:t xml:space="preserve">A study by </w:t>
      </w:r>
      <w:proofErr w:type="spellStart"/>
      <w:r w:rsidRPr="008C39B0">
        <w:t>pitt&amp;sherry</w:t>
      </w:r>
      <w:proofErr w:type="spellEnd"/>
      <w:r w:rsidRPr="008C39B0">
        <w:t xml:space="preserve"> (2012)</w:t>
      </w:r>
      <w:r>
        <w:t xml:space="preserve"> provides a breakdown of base building electricity use by type of end use</w:t>
      </w:r>
      <w:r w:rsidR="00CB3EC7">
        <w:t xml:space="preserve">. </w:t>
      </w:r>
      <w:r>
        <w:t xml:space="preserve">These end use shares were combined with corresponding estimates of net benefit from abatement projects </w:t>
      </w:r>
      <w:r w:rsidR="008C39B0">
        <w:t xml:space="preserve">from </w:t>
      </w:r>
      <w:proofErr w:type="spellStart"/>
      <w:r w:rsidRPr="008C39B0">
        <w:t>ClimateWorks</w:t>
      </w:r>
      <w:proofErr w:type="spellEnd"/>
      <w:r w:rsidRPr="008C39B0">
        <w:t xml:space="preserve"> (2013)</w:t>
      </w:r>
      <w:r>
        <w:t xml:space="preserve"> to calculate weighted average abatement benefit as shown in </w:t>
      </w:r>
      <w:r w:rsidR="00492194">
        <w:rPr>
          <w:b/>
          <w:highlight w:val="yellow"/>
        </w:rPr>
        <w:fldChar w:fldCharType="begin"/>
      </w:r>
      <w:r w:rsidR="008C39B0">
        <w:instrText xml:space="preserve"> REF _Ref409629736 \h </w:instrText>
      </w:r>
      <w:r w:rsidR="00492194">
        <w:rPr>
          <w:b/>
          <w:highlight w:val="yellow"/>
        </w:rPr>
      </w:r>
      <w:r w:rsidR="00492194">
        <w:rPr>
          <w:b/>
          <w:highlight w:val="yellow"/>
        </w:rPr>
        <w:fldChar w:fldCharType="separate"/>
      </w:r>
      <w:r w:rsidR="006A273E">
        <w:t xml:space="preserve">Table </w:t>
      </w:r>
      <w:r w:rsidR="006A273E" w:rsidRPr="006A273E">
        <w:rPr>
          <w:noProof/>
          <w:lang w:val="en-US"/>
        </w:rPr>
        <w:t>A</w:t>
      </w:r>
      <w:r w:rsidR="006A273E">
        <w:rPr>
          <w:noProof/>
        </w:rPr>
        <w:t>4</w:t>
      </w:r>
      <w:r w:rsidR="00492194">
        <w:rPr>
          <w:b/>
          <w:highlight w:val="yellow"/>
        </w:rPr>
        <w:fldChar w:fldCharType="end"/>
      </w:r>
      <w:r>
        <w:t xml:space="preserve"> below.</w:t>
      </w:r>
    </w:p>
    <w:p w14:paraId="0B4ABE16" w14:textId="77777777" w:rsidR="001953A7" w:rsidRPr="00857D65" w:rsidRDefault="001953A7" w:rsidP="001953A7">
      <w:pPr>
        <w:pStyle w:val="Caption"/>
        <w:rPr>
          <w:rStyle w:val="CaptionLabel"/>
          <w:rFonts w:asciiTheme="minorHAnsi" w:hAnsiTheme="minorHAnsi" w:cs="Times New Roman"/>
          <w:sz w:val="22"/>
          <w:szCs w:val="22"/>
          <w:lang w:eastAsia="en-AU"/>
        </w:rPr>
      </w:pPr>
      <w:bookmarkStart w:id="713" w:name="_Ref409629736"/>
      <w:bookmarkStart w:id="714" w:name="_Toc409536690"/>
      <w:bookmarkStart w:id="715" w:name="_Toc415661035"/>
      <w:r>
        <w:lastRenderedPageBreak/>
        <w:t xml:space="preserve">Table </w:t>
      </w:r>
      <w:r w:rsidR="00366ADF">
        <w:fldChar w:fldCharType="begin"/>
      </w:r>
      <w:r w:rsidR="00366ADF">
        <w:instrText xml:space="preserve"> STYLEREF 7 \s \* MERGEFORMAT </w:instrText>
      </w:r>
      <w:r w:rsidR="00366ADF">
        <w:fldChar w:fldCharType="separate"/>
      </w:r>
      <w:r w:rsidR="006A273E" w:rsidRPr="006A273E">
        <w:rPr>
          <w:noProof/>
          <w:lang w:val="en-US"/>
        </w:rPr>
        <w:t>A</w:t>
      </w:r>
      <w:r w:rsidR="00366ADF">
        <w:rPr>
          <w:noProof/>
          <w:lang w:val="en-US"/>
        </w:rPr>
        <w:fldChar w:fldCharType="end"/>
      </w:r>
      <w:r w:rsidR="00492194">
        <w:fldChar w:fldCharType="begin"/>
      </w:r>
      <w:r w:rsidR="0044208C">
        <w:instrText xml:space="preserve"> SEQ Table \s 7\* ARABIC </w:instrText>
      </w:r>
      <w:r w:rsidR="00492194">
        <w:fldChar w:fldCharType="separate"/>
      </w:r>
      <w:r w:rsidR="006A273E">
        <w:rPr>
          <w:noProof/>
        </w:rPr>
        <w:t>4</w:t>
      </w:r>
      <w:r w:rsidR="00492194">
        <w:rPr>
          <w:noProof/>
        </w:rPr>
        <w:fldChar w:fldCharType="end"/>
      </w:r>
      <w:bookmarkEnd w:id="713"/>
      <w:r w:rsidRPr="004C2569">
        <w:tab/>
      </w:r>
      <w:r>
        <w:rPr>
          <w:rStyle w:val="CaptionLabel"/>
        </w:rPr>
        <w:t>Calculation of weighted average investor benefit</w:t>
      </w:r>
      <w:bookmarkEnd w:id="714"/>
      <w:bookmarkEnd w:id="715"/>
    </w:p>
    <w:tbl>
      <w:tblPr>
        <w:tblStyle w:val="ACILAllenTable"/>
        <w:tblW w:w="7286" w:type="dxa"/>
        <w:tblLook w:val="04A0" w:firstRow="1" w:lastRow="0" w:firstColumn="1" w:lastColumn="0" w:noHBand="0" w:noVBand="1"/>
        <w:tblCaption w:val="Calculation of weighted average investor benefit"/>
        <w:tblDescription w:val="Calculation of weighted average investor benefit"/>
      </w:tblPr>
      <w:tblGrid>
        <w:gridCol w:w="2552"/>
        <w:gridCol w:w="1276"/>
        <w:gridCol w:w="1729"/>
        <w:gridCol w:w="1729"/>
      </w:tblGrid>
      <w:tr w:rsidR="001953A7" w:rsidRPr="0045791D" w14:paraId="31CE701F" w14:textId="77777777" w:rsidTr="00CF4527">
        <w:trPr>
          <w:cnfStyle w:val="100000000000" w:firstRow="1" w:lastRow="0" w:firstColumn="0" w:lastColumn="0" w:oddVBand="0" w:evenVBand="0" w:oddHBand="0" w:evenHBand="0" w:firstRowFirstColumn="0" w:firstRowLastColumn="0" w:lastRowFirstColumn="0" w:lastRowLastColumn="0"/>
          <w:tblHeader/>
        </w:trPr>
        <w:tc>
          <w:tcPr>
            <w:tcW w:w="2552" w:type="dxa"/>
          </w:tcPr>
          <w:p w14:paraId="4D6B173A" w14:textId="77777777" w:rsidR="001953A7" w:rsidRPr="0045791D" w:rsidRDefault="001953A7" w:rsidP="00DD31C2">
            <w:pPr>
              <w:pStyle w:val="Tabletext"/>
              <w:rPr>
                <w:color w:val="FFFFFF" w:themeColor="background1"/>
              </w:rPr>
            </w:pPr>
            <w:r w:rsidRPr="0045791D">
              <w:rPr>
                <w:color w:val="FFFFFF" w:themeColor="background1"/>
              </w:rPr>
              <w:t>End use type</w:t>
            </w:r>
          </w:p>
        </w:tc>
        <w:tc>
          <w:tcPr>
            <w:tcW w:w="1276" w:type="dxa"/>
          </w:tcPr>
          <w:p w14:paraId="2066DF9E" w14:textId="77777777" w:rsidR="001953A7" w:rsidRPr="0045791D" w:rsidRDefault="001953A7" w:rsidP="00DD31C2">
            <w:pPr>
              <w:pStyle w:val="Tabletext"/>
              <w:rPr>
                <w:color w:val="FFFFFF" w:themeColor="background1"/>
              </w:rPr>
            </w:pPr>
            <w:r>
              <w:rPr>
                <w:color w:val="FFFFFF" w:themeColor="background1"/>
              </w:rPr>
              <w:t>End use share of total base building electricity use</w:t>
            </w:r>
          </w:p>
        </w:tc>
        <w:tc>
          <w:tcPr>
            <w:tcW w:w="1729" w:type="dxa"/>
          </w:tcPr>
          <w:p w14:paraId="259D782F" w14:textId="77777777" w:rsidR="001953A7" w:rsidRPr="0045791D" w:rsidRDefault="001953A7" w:rsidP="00DD31C2">
            <w:pPr>
              <w:pStyle w:val="Tabletext"/>
              <w:rPr>
                <w:color w:val="FFFFFF" w:themeColor="background1"/>
              </w:rPr>
            </w:pPr>
            <w:r>
              <w:rPr>
                <w:color w:val="FFFFFF" w:themeColor="background1"/>
              </w:rPr>
              <w:t>Corresponding abatement activity</w:t>
            </w:r>
          </w:p>
        </w:tc>
        <w:tc>
          <w:tcPr>
            <w:tcW w:w="1729" w:type="dxa"/>
          </w:tcPr>
          <w:p w14:paraId="25185700" w14:textId="77777777" w:rsidR="001953A7" w:rsidRPr="0045791D" w:rsidRDefault="001953A7" w:rsidP="00DD31C2">
            <w:pPr>
              <w:pStyle w:val="Tabletext"/>
              <w:rPr>
                <w:color w:val="FFFFFF" w:themeColor="background1"/>
              </w:rPr>
            </w:pPr>
            <w:r>
              <w:rPr>
                <w:color w:val="FFFFFF" w:themeColor="background1"/>
              </w:rPr>
              <w:t>Investor benefit from abatement activity in 2020 (2010 prices)</w:t>
            </w:r>
          </w:p>
        </w:tc>
      </w:tr>
      <w:tr w:rsidR="001953A7" w14:paraId="47438CF1" w14:textId="77777777">
        <w:tc>
          <w:tcPr>
            <w:tcW w:w="2552" w:type="dxa"/>
          </w:tcPr>
          <w:p w14:paraId="57B015EC" w14:textId="77777777" w:rsidR="001953A7" w:rsidRDefault="001953A7" w:rsidP="00DD31C2">
            <w:pPr>
              <w:pStyle w:val="Tabletext"/>
            </w:pPr>
            <w:r>
              <w:t>HVAC</w:t>
            </w:r>
          </w:p>
        </w:tc>
        <w:tc>
          <w:tcPr>
            <w:tcW w:w="1276" w:type="dxa"/>
          </w:tcPr>
          <w:p w14:paraId="1945F593" w14:textId="77777777" w:rsidR="001953A7" w:rsidRDefault="001953A7" w:rsidP="005E7DDA">
            <w:pPr>
              <w:pStyle w:val="Tabletext"/>
              <w:jc w:val="center"/>
            </w:pPr>
            <w:r>
              <w:t>67%</w:t>
            </w:r>
          </w:p>
        </w:tc>
        <w:tc>
          <w:tcPr>
            <w:tcW w:w="1729" w:type="dxa"/>
          </w:tcPr>
          <w:p w14:paraId="2BEABF07" w14:textId="77777777" w:rsidR="001953A7" w:rsidRDefault="001953A7" w:rsidP="00DD31C2">
            <w:pPr>
              <w:pStyle w:val="Tabletext"/>
            </w:pPr>
            <w:r w:rsidRPr="0045791D">
              <w:t>Commercial retrofit HVAC</w:t>
            </w:r>
          </w:p>
        </w:tc>
        <w:tc>
          <w:tcPr>
            <w:tcW w:w="1729" w:type="dxa"/>
          </w:tcPr>
          <w:p w14:paraId="67AF32FA" w14:textId="77777777" w:rsidR="001953A7" w:rsidRDefault="001953A7" w:rsidP="005E7DDA">
            <w:pPr>
              <w:pStyle w:val="Tabletext"/>
              <w:jc w:val="center"/>
            </w:pPr>
            <w:r>
              <w:t>$116/tCO</w:t>
            </w:r>
            <w:r w:rsidRPr="00860430">
              <w:rPr>
                <w:vertAlign w:val="subscript"/>
              </w:rPr>
              <w:t>2</w:t>
            </w:r>
            <w:r w:rsidRPr="0045791D">
              <w:rPr>
                <w:vertAlign w:val="subscript"/>
              </w:rPr>
              <w:t>e</w:t>
            </w:r>
          </w:p>
        </w:tc>
      </w:tr>
      <w:tr w:rsidR="001953A7" w14:paraId="2E3E64A2" w14:textId="77777777">
        <w:tc>
          <w:tcPr>
            <w:tcW w:w="2552" w:type="dxa"/>
          </w:tcPr>
          <w:p w14:paraId="0582D784" w14:textId="77777777" w:rsidR="001953A7" w:rsidRDefault="001953A7" w:rsidP="00DD31C2">
            <w:pPr>
              <w:pStyle w:val="Tabletext"/>
            </w:pPr>
            <w:r>
              <w:t>Lighting</w:t>
            </w:r>
          </w:p>
        </w:tc>
        <w:tc>
          <w:tcPr>
            <w:tcW w:w="1276" w:type="dxa"/>
          </w:tcPr>
          <w:p w14:paraId="07928DE4" w14:textId="77777777" w:rsidR="001953A7" w:rsidRDefault="001953A7" w:rsidP="005E7DDA">
            <w:pPr>
              <w:pStyle w:val="Tabletext"/>
              <w:jc w:val="center"/>
            </w:pPr>
            <w:r>
              <w:t>15%</w:t>
            </w:r>
          </w:p>
        </w:tc>
        <w:tc>
          <w:tcPr>
            <w:tcW w:w="1729" w:type="dxa"/>
          </w:tcPr>
          <w:p w14:paraId="1C5A1A61" w14:textId="77777777" w:rsidR="001953A7" w:rsidRDefault="001953A7" w:rsidP="00DD31C2">
            <w:pPr>
              <w:pStyle w:val="Tabletext"/>
            </w:pPr>
            <w:r w:rsidRPr="0045791D">
              <w:t>Commercial retrofit lighting</w:t>
            </w:r>
          </w:p>
        </w:tc>
        <w:tc>
          <w:tcPr>
            <w:tcW w:w="1729" w:type="dxa"/>
          </w:tcPr>
          <w:p w14:paraId="47B2B7B5" w14:textId="77777777" w:rsidR="001953A7" w:rsidRDefault="001953A7" w:rsidP="005E7DDA">
            <w:pPr>
              <w:pStyle w:val="Tabletext"/>
              <w:jc w:val="center"/>
            </w:pPr>
            <w:r>
              <w:t>$84/tCO</w:t>
            </w:r>
            <w:r w:rsidRPr="00860430">
              <w:rPr>
                <w:vertAlign w:val="subscript"/>
              </w:rPr>
              <w:t>2</w:t>
            </w:r>
            <w:r w:rsidRPr="0045791D">
              <w:rPr>
                <w:vertAlign w:val="subscript"/>
              </w:rPr>
              <w:t>e</w:t>
            </w:r>
          </w:p>
        </w:tc>
      </w:tr>
      <w:tr w:rsidR="001953A7" w14:paraId="250ABA87" w14:textId="77777777">
        <w:tc>
          <w:tcPr>
            <w:tcW w:w="2552" w:type="dxa"/>
          </w:tcPr>
          <w:p w14:paraId="2AA77870" w14:textId="77777777" w:rsidR="001953A7" w:rsidRDefault="001953A7" w:rsidP="00DD31C2">
            <w:pPr>
              <w:pStyle w:val="Tabletext"/>
            </w:pPr>
            <w:r>
              <w:t>Total equipment</w:t>
            </w:r>
          </w:p>
        </w:tc>
        <w:tc>
          <w:tcPr>
            <w:tcW w:w="1276" w:type="dxa"/>
          </w:tcPr>
          <w:p w14:paraId="75C43581" w14:textId="77777777" w:rsidR="001953A7" w:rsidRDefault="001953A7" w:rsidP="005E7DDA">
            <w:pPr>
              <w:pStyle w:val="Tabletext"/>
              <w:jc w:val="center"/>
            </w:pPr>
            <w:r>
              <w:t>11%</w:t>
            </w:r>
          </w:p>
        </w:tc>
        <w:tc>
          <w:tcPr>
            <w:tcW w:w="1729" w:type="dxa"/>
          </w:tcPr>
          <w:p w14:paraId="03458762" w14:textId="77777777" w:rsidR="001953A7" w:rsidRDefault="001953A7" w:rsidP="00DD31C2">
            <w:pPr>
              <w:pStyle w:val="Tabletext"/>
            </w:pPr>
            <w:r w:rsidRPr="0045791D">
              <w:t>Commercial elevators and appliances</w:t>
            </w:r>
          </w:p>
        </w:tc>
        <w:tc>
          <w:tcPr>
            <w:tcW w:w="1729" w:type="dxa"/>
          </w:tcPr>
          <w:p w14:paraId="1D677546" w14:textId="77777777" w:rsidR="001953A7" w:rsidRDefault="001953A7" w:rsidP="005E7DDA">
            <w:pPr>
              <w:pStyle w:val="Tabletext"/>
              <w:jc w:val="center"/>
            </w:pPr>
            <w:r>
              <w:t>$92/tCO</w:t>
            </w:r>
            <w:r w:rsidRPr="00860430">
              <w:rPr>
                <w:vertAlign w:val="subscript"/>
              </w:rPr>
              <w:t>2</w:t>
            </w:r>
            <w:r w:rsidRPr="0045791D">
              <w:rPr>
                <w:vertAlign w:val="subscript"/>
              </w:rPr>
              <w:t>e</w:t>
            </w:r>
          </w:p>
        </w:tc>
      </w:tr>
      <w:tr w:rsidR="001953A7" w14:paraId="4F6B5D4F" w14:textId="77777777">
        <w:tc>
          <w:tcPr>
            <w:tcW w:w="2552" w:type="dxa"/>
          </w:tcPr>
          <w:p w14:paraId="27A28B16" w14:textId="77777777" w:rsidR="001953A7" w:rsidRDefault="001953A7" w:rsidP="00DD31C2">
            <w:pPr>
              <w:pStyle w:val="Tabletext"/>
            </w:pPr>
            <w:r>
              <w:t>Hot water</w:t>
            </w:r>
          </w:p>
        </w:tc>
        <w:tc>
          <w:tcPr>
            <w:tcW w:w="1276" w:type="dxa"/>
          </w:tcPr>
          <w:p w14:paraId="21BE8DC1" w14:textId="77777777" w:rsidR="001953A7" w:rsidRDefault="001953A7" w:rsidP="005E7DDA">
            <w:pPr>
              <w:pStyle w:val="Tabletext"/>
              <w:jc w:val="center"/>
            </w:pPr>
            <w:r>
              <w:t>2%</w:t>
            </w:r>
          </w:p>
        </w:tc>
        <w:tc>
          <w:tcPr>
            <w:tcW w:w="1729" w:type="dxa"/>
          </w:tcPr>
          <w:p w14:paraId="2650F8E3" w14:textId="77777777" w:rsidR="001953A7" w:rsidRDefault="001953A7" w:rsidP="00DD31C2">
            <w:pPr>
              <w:pStyle w:val="Tabletext"/>
            </w:pPr>
            <w:r w:rsidRPr="0045791D">
              <w:t>Commercial retrofit water heating</w:t>
            </w:r>
          </w:p>
        </w:tc>
        <w:tc>
          <w:tcPr>
            <w:tcW w:w="1729" w:type="dxa"/>
          </w:tcPr>
          <w:p w14:paraId="0B68D2CB" w14:textId="77777777" w:rsidR="001953A7" w:rsidRDefault="001953A7" w:rsidP="005E7DDA">
            <w:pPr>
              <w:pStyle w:val="Tabletext"/>
              <w:jc w:val="center"/>
            </w:pPr>
            <w:r>
              <w:t>$27/tCO</w:t>
            </w:r>
            <w:r w:rsidRPr="00860430">
              <w:rPr>
                <w:vertAlign w:val="subscript"/>
              </w:rPr>
              <w:t>2</w:t>
            </w:r>
            <w:r w:rsidRPr="0045791D">
              <w:rPr>
                <w:vertAlign w:val="subscript"/>
              </w:rPr>
              <w:t>e</w:t>
            </w:r>
          </w:p>
        </w:tc>
      </w:tr>
      <w:tr w:rsidR="001953A7" w14:paraId="4B4CACA6" w14:textId="77777777">
        <w:tc>
          <w:tcPr>
            <w:tcW w:w="2552" w:type="dxa"/>
          </w:tcPr>
          <w:p w14:paraId="64E775F1" w14:textId="5DEAA955" w:rsidR="001953A7" w:rsidRDefault="001953A7" w:rsidP="00DD31C2">
            <w:pPr>
              <w:pStyle w:val="Tabletext"/>
            </w:pPr>
            <w:r>
              <w:t xml:space="preserve">Other electrical </w:t>
            </w:r>
            <w:proofErr w:type="spellStart"/>
            <w:r>
              <w:t>processes</w:t>
            </w:r>
            <w:r w:rsidRPr="0045791D">
              <w:rPr>
                <w:vertAlign w:val="superscript"/>
              </w:rPr>
              <w:t>a</w:t>
            </w:r>
            <w:proofErr w:type="spellEnd"/>
          </w:p>
        </w:tc>
        <w:tc>
          <w:tcPr>
            <w:tcW w:w="1276" w:type="dxa"/>
          </w:tcPr>
          <w:p w14:paraId="1EA47B04" w14:textId="77777777" w:rsidR="001953A7" w:rsidRDefault="001953A7" w:rsidP="005E7DDA">
            <w:pPr>
              <w:pStyle w:val="Tabletext"/>
              <w:jc w:val="center"/>
            </w:pPr>
            <w:r>
              <w:t>4%</w:t>
            </w:r>
          </w:p>
        </w:tc>
        <w:tc>
          <w:tcPr>
            <w:tcW w:w="1729" w:type="dxa"/>
          </w:tcPr>
          <w:p w14:paraId="2710017A" w14:textId="77777777" w:rsidR="001953A7" w:rsidRDefault="001953A7" w:rsidP="00DD31C2">
            <w:pPr>
              <w:pStyle w:val="Tabletext"/>
            </w:pPr>
          </w:p>
        </w:tc>
        <w:tc>
          <w:tcPr>
            <w:tcW w:w="1729" w:type="dxa"/>
          </w:tcPr>
          <w:p w14:paraId="2C156190" w14:textId="77777777" w:rsidR="001953A7" w:rsidRDefault="001953A7" w:rsidP="005E7DDA">
            <w:pPr>
              <w:pStyle w:val="Tabletext"/>
              <w:jc w:val="center"/>
            </w:pPr>
          </w:p>
        </w:tc>
      </w:tr>
      <w:tr w:rsidR="001953A7" w14:paraId="4486463D" w14:textId="77777777">
        <w:tc>
          <w:tcPr>
            <w:tcW w:w="2552" w:type="dxa"/>
            <w:shd w:val="clear" w:color="auto" w:fill="DBDBDB" w:themeFill="accent3" w:themeFillTint="66"/>
          </w:tcPr>
          <w:p w14:paraId="57884641" w14:textId="77777777" w:rsidR="001953A7" w:rsidRPr="0045791D" w:rsidRDefault="001953A7" w:rsidP="00DD31C2">
            <w:pPr>
              <w:pStyle w:val="Tabletext"/>
              <w:rPr>
                <w:b/>
              </w:rPr>
            </w:pPr>
            <w:r w:rsidRPr="0045791D">
              <w:rPr>
                <w:b/>
              </w:rPr>
              <w:t>Calculation of weighted average based on HVAC, lighting, total equipment and hot water</w:t>
            </w:r>
          </w:p>
        </w:tc>
        <w:tc>
          <w:tcPr>
            <w:tcW w:w="1276" w:type="dxa"/>
            <w:shd w:val="clear" w:color="auto" w:fill="DBDBDB" w:themeFill="accent3" w:themeFillTint="66"/>
          </w:tcPr>
          <w:p w14:paraId="21FBFF4F" w14:textId="77777777" w:rsidR="001953A7" w:rsidRDefault="001953A7" w:rsidP="00DD31C2">
            <w:pPr>
              <w:pStyle w:val="Tabletext"/>
            </w:pPr>
          </w:p>
        </w:tc>
        <w:tc>
          <w:tcPr>
            <w:tcW w:w="1729" w:type="dxa"/>
            <w:shd w:val="clear" w:color="auto" w:fill="DBDBDB" w:themeFill="accent3" w:themeFillTint="66"/>
          </w:tcPr>
          <w:p w14:paraId="5B7E4F6A" w14:textId="77777777" w:rsidR="001953A7" w:rsidRDefault="001953A7" w:rsidP="00DD31C2">
            <w:pPr>
              <w:pStyle w:val="Tabletext"/>
            </w:pPr>
          </w:p>
        </w:tc>
        <w:tc>
          <w:tcPr>
            <w:tcW w:w="1729" w:type="dxa"/>
            <w:shd w:val="clear" w:color="auto" w:fill="DBDBDB" w:themeFill="accent3" w:themeFillTint="66"/>
          </w:tcPr>
          <w:p w14:paraId="17B98DEC" w14:textId="77777777" w:rsidR="001953A7" w:rsidRPr="005622CA" w:rsidRDefault="001953A7" w:rsidP="005E7DDA">
            <w:pPr>
              <w:pStyle w:val="Tabletext"/>
              <w:jc w:val="center"/>
              <w:rPr>
                <w:b/>
              </w:rPr>
            </w:pPr>
            <w:r>
              <w:t>$</w:t>
            </w:r>
            <w:r>
              <w:rPr>
                <w:b/>
              </w:rPr>
              <w:t>106</w:t>
            </w:r>
            <w:r w:rsidRPr="005622CA">
              <w:rPr>
                <w:b/>
              </w:rPr>
              <w:t>/tCO</w:t>
            </w:r>
            <w:r w:rsidRPr="00860430">
              <w:rPr>
                <w:b/>
                <w:vertAlign w:val="subscript"/>
              </w:rPr>
              <w:t>2</w:t>
            </w:r>
            <w:r w:rsidRPr="005622CA">
              <w:rPr>
                <w:b/>
                <w:vertAlign w:val="subscript"/>
              </w:rPr>
              <w:t>e</w:t>
            </w:r>
          </w:p>
        </w:tc>
      </w:tr>
    </w:tbl>
    <w:p w14:paraId="6E417224" w14:textId="77777777" w:rsidR="001953A7" w:rsidRDefault="001953A7" w:rsidP="001953A7">
      <w:pPr>
        <w:pStyle w:val="Note"/>
      </w:pPr>
      <w:r w:rsidRPr="00B85543">
        <w:rPr>
          <w:rStyle w:val="Notelabel"/>
        </w:rPr>
        <w:t>a</w:t>
      </w:r>
      <w:r w:rsidRPr="00B85543">
        <w:t xml:space="preserve"> </w:t>
      </w:r>
      <w:r>
        <w:t>Not used in the calculation of weighted average</w:t>
      </w:r>
      <w:r w:rsidR="00E555D9">
        <w:t>.</w:t>
      </w:r>
    </w:p>
    <w:p w14:paraId="5FC4C311" w14:textId="77777777" w:rsidR="001953A7" w:rsidRPr="000B11FF" w:rsidRDefault="001953A7" w:rsidP="001953A7">
      <w:pPr>
        <w:pStyle w:val="Source"/>
      </w:pPr>
      <w:r w:rsidRPr="000B11FF">
        <w:t xml:space="preserve">Source: </w:t>
      </w:r>
      <w:r>
        <w:t>Figure 5.9, p</w:t>
      </w:r>
      <w:r w:rsidR="00CB3EC7">
        <w:t xml:space="preserve">. </w:t>
      </w:r>
      <w:r>
        <w:t xml:space="preserve">44, </w:t>
      </w:r>
      <w:proofErr w:type="spellStart"/>
      <w:r>
        <w:t>pitt&amp;sherry</w:t>
      </w:r>
      <w:proofErr w:type="spellEnd"/>
      <w:r>
        <w:t xml:space="preserve"> (2012); Exhibit 4.6, p.14 </w:t>
      </w:r>
      <w:proofErr w:type="spellStart"/>
      <w:r>
        <w:t>ClimateWorks</w:t>
      </w:r>
      <w:proofErr w:type="spellEnd"/>
      <w:r>
        <w:t xml:space="preserve"> (2011)</w:t>
      </w:r>
    </w:p>
    <w:p w14:paraId="1A7C43E9" w14:textId="77777777" w:rsidR="001953A7" w:rsidRPr="002F03F9" w:rsidRDefault="001953A7" w:rsidP="001953A7">
      <w:pPr>
        <w:pStyle w:val="BodyText"/>
      </w:pPr>
      <w:r>
        <w:t xml:space="preserve">The estimated </w:t>
      </w:r>
      <w:r w:rsidRPr="00205A01">
        <w:t xml:space="preserve">average </w:t>
      </w:r>
      <w:r w:rsidRPr="003F5F13">
        <w:t>$117/tCO</w:t>
      </w:r>
      <w:r w:rsidRPr="003F5F13">
        <w:rPr>
          <w:vertAlign w:val="subscript"/>
        </w:rPr>
        <w:t>2e</w:t>
      </w:r>
      <w:r w:rsidRPr="00205A01">
        <w:rPr>
          <w:vertAlign w:val="subscript"/>
        </w:rPr>
        <w:t xml:space="preserve"> </w:t>
      </w:r>
      <w:r w:rsidRPr="00205A01">
        <w:t>($106/tCO</w:t>
      </w:r>
      <w:r w:rsidRPr="00205A01">
        <w:rPr>
          <w:vertAlign w:val="subscript"/>
        </w:rPr>
        <w:t>2e</w:t>
      </w:r>
      <w:r>
        <w:rPr>
          <w:vertAlign w:val="subscript"/>
        </w:rPr>
        <w:t xml:space="preserve"> </w:t>
      </w:r>
      <w:r>
        <w:t xml:space="preserve">inflated to 2014 prices) of </w:t>
      </w:r>
      <w:r w:rsidRPr="002F03F9">
        <w:t>benefit</w:t>
      </w:r>
      <w:r>
        <w:rPr>
          <w:vertAlign w:val="subscript"/>
        </w:rPr>
        <w:t xml:space="preserve"> </w:t>
      </w:r>
      <w:r>
        <w:t>was then adjusted to account for differences in study contexts as described below</w:t>
      </w:r>
      <w:r w:rsidR="00CB3EC7">
        <w:t xml:space="preserve">. </w:t>
      </w:r>
    </w:p>
    <w:p w14:paraId="2C46083A" w14:textId="77777777" w:rsidR="001953A7" w:rsidRPr="0087290D" w:rsidRDefault="001953A7" w:rsidP="001953A7">
      <w:pPr>
        <w:pStyle w:val="BodyText"/>
        <w:rPr>
          <w:rFonts w:asciiTheme="majorHAnsi" w:hAnsiTheme="majorHAnsi" w:cstheme="majorHAnsi"/>
          <w:b/>
          <w:color w:val="9757A6" w:themeColor="text2"/>
        </w:rPr>
      </w:pPr>
      <w:r w:rsidRPr="0087290D">
        <w:rPr>
          <w:rFonts w:asciiTheme="majorHAnsi" w:hAnsiTheme="majorHAnsi" w:cstheme="majorHAnsi"/>
          <w:b/>
          <w:color w:val="9757A6" w:themeColor="text2"/>
        </w:rPr>
        <w:t>Adjustments for differences in study contexts</w:t>
      </w:r>
    </w:p>
    <w:p w14:paraId="15B676F5" w14:textId="0E6F181E" w:rsidR="001953A7" w:rsidRDefault="001953A7" w:rsidP="001953A7">
      <w:pPr>
        <w:pStyle w:val="BodyText"/>
      </w:pPr>
      <w:r>
        <w:t>The backward</w:t>
      </w:r>
      <w:r w:rsidR="00E555D9">
        <w:t>-</w:t>
      </w:r>
      <w:r>
        <w:t>looking CBA assess</w:t>
      </w:r>
      <w:r w:rsidR="00E555D9">
        <w:t>es</w:t>
      </w:r>
      <w:r>
        <w:t xml:space="preserve"> the net benefits from energy efficiency t</w:t>
      </w:r>
      <w:r w:rsidR="0005500A">
        <w:t xml:space="preserve">o </w:t>
      </w:r>
      <w:r w:rsidR="0005500A" w:rsidRPr="0015217C">
        <w:rPr>
          <w:i/>
        </w:rPr>
        <w:t>society</w:t>
      </w:r>
      <w:r w:rsidR="0005500A">
        <w:t xml:space="preserve"> between 2010 and 2014</w:t>
      </w:r>
      <w:r w:rsidR="00CB3EC7">
        <w:t xml:space="preserve">. </w:t>
      </w:r>
      <w:r w:rsidR="0005500A">
        <w:t>However</w:t>
      </w:r>
      <w:r>
        <w:t xml:space="preserve">, </w:t>
      </w:r>
      <w:r w:rsidR="0005500A">
        <w:t xml:space="preserve">the </w:t>
      </w:r>
      <w:r>
        <w:t>$117</w:t>
      </w:r>
      <w:r w:rsidRPr="002F03F9">
        <w:t>/tCO</w:t>
      </w:r>
      <w:r w:rsidRPr="00860430">
        <w:rPr>
          <w:vertAlign w:val="subscript"/>
        </w:rPr>
        <w:t>2</w:t>
      </w:r>
      <w:r w:rsidRPr="002F03F9">
        <w:rPr>
          <w:vertAlign w:val="subscript"/>
        </w:rPr>
        <w:t>e</w:t>
      </w:r>
      <w:r>
        <w:t xml:space="preserve"> </w:t>
      </w:r>
      <w:r w:rsidR="0005500A">
        <w:t xml:space="preserve">figure </w:t>
      </w:r>
      <w:r>
        <w:t xml:space="preserve">represents the estimated average benefit to an </w:t>
      </w:r>
      <w:r w:rsidRPr="0015217C">
        <w:rPr>
          <w:i/>
        </w:rPr>
        <w:t>investor</w:t>
      </w:r>
      <w:r>
        <w:t xml:space="preserve"> in 2020</w:t>
      </w:r>
      <w:r w:rsidR="00CB3EC7">
        <w:t xml:space="preserve">. </w:t>
      </w:r>
      <w:r>
        <w:t xml:space="preserve">To estimate the average </w:t>
      </w:r>
      <w:r w:rsidRPr="0015217C">
        <w:t>economic</w:t>
      </w:r>
      <w:r>
        <w:t xml:space="preserve"> benefit to </w:t>
      </w:r>
      <w:r w:rsidRPr="0015217C">
        <w:rPr>
          <w:i/>
        </w:rPr>
        <w:t>society</w:t>
      </w:r>
      <w:r>
        <w:t xml:space="preserve"> in 2010 (for the </w:t>
      </w:r>
      <w:r w:rsidR="002D3877">
        <w:t>backward-looking</w:t>
      </w:r>
      <w:r>
        <w:t xml:space="preserve"> estimate), the figure was reduced by 70</w:t>
      </w:r>
      <w:r w:rsidR="008374D2">
        <w:t xml:space="preserve"> per cent</w:t>
      </w:r>
      <w:r>
        <w:t xml:space="preserve"> (</w:t>
      </w:r>
      <w:r w:rsidRPr="00205A01">
        <w:t xml:space="preserve">to </w:t>
      </w:r>
      <w:r w:rsidRPr="003F5F13">
        <w:t>$35/tCO</w:t>
      </w:r>
      <w:r w:rsidRPr="003F5F13">
        <w:rPr>
          <w:vertAlign w:val="subscript"/>
        </w:rPr>
        <w:t>2e</w:t>
      </w:r>
      <w:r w:rsidRPr="00205A01">
        <w:t>) to reflect</w:t>
      </w:r>
      <w:r>
        <w:t xml:space="preserve"> that:</w:t>
      </w:r>
    </w:p>
    <w:p w14:paraId="13FE5F56" w14:textId="77777777" w:rsidR="001953A7" w:rsidRDefault="001953A7" w:rsidP="001953A7">
      <w:pPr>
        <w:pStyle w:val="ListDash"/>
      </w:pPr>
      <w:r>
        <w:t>The net benefit is assumed to comprise of approximately $200</w:t>
      </w:r>
      <w:r w:rsidRPr="002F03F9">
        <w:t>/tCO</w:t>
      </w:r>
      <w:r w:rsidRPr="00860430">
        <w:rPr>
          <w:vertAlign w:val="subscript"/>
        </w:rPr>
        <w:t>2</w:t>
      </w:r>
      <w:r w:rsidRPr="002F03F9">
        <w:rPr>
          <w:vertAlign w:val="subscript"/>
        </w:rPr>
        <w:t>e</w:t>
      </w:r>
      <w:r>
        <w:rPr>
          <w:vertAlign w:val="subscript"/>
        </w:rPr>
        <w:t xml:space="preserve"> </w:t>
      </w:r>
      <w:r>
        <w:t xml:space="preserve">of energy saving benefit </w:t>
      </w:r>
      <w:r w:rsidRPr="0026745B">
        <w:t>(</w:t>
      </w:r>
      <w:r>
        <w:t xml:space="preserve">assuming commercial building electricity tariffs of approximately $200/MWh and a grid emissions intensity of approximately 1 </w:t>
      </w:r>
      <w:r w:rsidRPr="002F03F9">
        <w:t>tCO</w:t>
      </w:r>
      <w:r w:rsidRPr="00860430">
        <w:rPr>
          <w:vertAlign w:val="subscript"/>
        </w:rPr>
        <w:t>2</w:t>
      </w:r>
      <w:r w:rsidRPr="002F03F9">
        <w:rPr>
          <w:vertAlign w:val="subscript"/>
        </w:rPr>
        <w:t>e</w:t>
      </w:r>
      <w:r>
        <w:rPr>
          <w:vertAlign w:val="subscript"/>
        </w:rPr>
        <w:t xml:space="preserve"> </w:t>
      </w:r>
      <w:r w:rsidRPr="00516C31">
        <w:t>per</w:t>
      </w:r>
      <w:r>
        <w:t xml:space="preserve"> MWh).</w:t>
      </w:r>
    </w:p>
    <w:p w14:paraId="209C20EA" w14:textId="77777777" w:rsidR="001953A7" w:rsidRDefault="001953A7" w:rsidP="001953A7">
      <w:pPr>
        <w:pStyle w:val="ListDash"/>
      </w:pPr>
      <w:r>
        <w:t>Therefore total costs can be inferred as comprising approximately $83</w:t>
      </w:r>
      <w:r w:rsidRPr="002F03F9">
        <w:t>/tCO</w:t>
      </w:r>
      <w:r w:rsidRPr="00860430">
        <w:rPr>
          <w:vertAlign w:val="subscript"/>
        </w:rPr>
        <w:t>2</w:t>
      </w:r>
      <w:r w:rsidRPr="002F03F9">
        <w:rPr>
          <w:vertAlign w:val="subscript"/>
        </w:rPr>
        <w:t>e</w:t>
      </w:r>
      <w:r>
        <w:t xml:space="preserve"> (200 – 117).</w:t>
      </w:r>
    </w:p>
    <w:p w14:paraId="20A76D1A" w14:textId="77777777" w:rsidR="001953A7" w:rsidRDefault="001953A7" w:rsidP="001953A7">
      <w:pPr>
        <w:pStyle w:val="ListDash"/>
      </w:pPr>
      <w:r>
        <w:t xml:space="preserve">The </w:t>
      </w:r>
      <w:proofErr w:type="spellStart"/>
      <w:r>
        <w:t>ClimateWorks</w:t>
      </w:r>
      <w:proofErr w:type="spellEnd"/>
      <w:r>
        <w:t xml:space="preserve"> analysis includes 10</w:t>
      </w:r>
      <w:r w:rsidR="008374D2">
        <w:t xml:space="preserve"> per cent</w:t>
      </w:r>
      <w:r>
        <w:t xml:space="preserve"> GST on energy saving benefits</w:t>
      </w:r>
      <w:r w:rsidR="00D215EB">
        <w:t>,</w:t>
      </w:r>
      <w:r>
        <w:t xml:space="preserve"> which must be excluded </w:t>
      </w:r>
      <w:r w:rsidR="0015217C">
        <w:t xml:space="preserve">from </w:t>
      </w:r>
      <w:r>
        <w:t xml:space="preserve">the CBA as </w:t>
      </w:r>
      <w:r w:rsidR="0015217C">
        <w:t xml:space="preserve">they represent a </w:t>
      </w:r>
      <w:r>
        <w:t>transfer (not an economic benefit).</w:t>
      </w:r>
    </w:p>
    <w:p w14:paraId="52114BD8" w14:textId="77777777" w:rsidR="001953A7" w:rsidRDefault="001953A7" w:rsidP="001953A7">
      <w:pPr>
        <w:pStyle w:val="ListDash"/>
      </w:pPr>
      <w:r>
        <w:t>Approximately 5</w:t>
      </w:r>
      <w:r w:rsidR="008374D2">
        <w:t xml:space="preserve"> per cent</w:t>
      </w:r>
      <w:r>
        <w:t xml:space="preserve"> of the investor energy saving benefit can be attributed to Renewable Energy Target (RET) charges</w:t>
      </w:r>
      <w:r w:rsidR="00D215EB">
        <w:t>,</w:t>
      </w:r>
      <w:r>
        <w:t xml:space="preserve"> which must be excluded in the CBA as they represent a transfer</w:t>
      </w:r>
      <w:r>
        <w:rPr>
          <w:rStyle w:val="FootnoteReference"/>
        </w:rPr>
        <w:footnoteReference w:id="54"/>
      </w:r>
      <w:r>
        <w:t xml:space="preserve"> (not an economic benefit).</w:t>
      </w:r>
    </w:p>
    <w:p w14:paraId="7C978FA8" w14:textId="77777777" w:rsidR="001953A7" w:rsidRDefault="001953A7" w:rsidP="001953A7">
      <w:pPr>
        <w:pStyle w:val="ListDash"/>
      </w:pPr>
      <w:r>
        <w:t>Approximately 10</w:t>
      </w:r>
      <w:r w:rsidR="00CC1BA1">
        <w:t xml:space="preserve"> per cent</w:t>
      </w:r>
      <w:r>
        <w:t xml:space="preserve"> of the investor energy saving benefit can be attributed to retail margin</w:t>
      </w:r>
      <w:r w:rsidR="008374D2">
        <w:t>s</w:t>
      </w:r>
      <w:r w:rsidR="00D215EB">
        <w:t>,</w:t>
      </w:r>
      <w:r>
        <w:t xml:space="preserve"> which must be excluded in the CBA (as retail overheads are largely fixed and will remain unchanged)</w:t>
      </w:r>
      <w:r w:rsidR="00CB3EC7">
        <w:t xml:space="preserve">. </w:t>
      </w:r>
    </w:p>
    <w:p w14:paraId="5D6F1957" w14:textId="77777777" w:rsidR="001953A7" w:rsidRDefault="001953A7" w:rsidP="001953A7">
      <w:pPr>
        <w:pStyle w:val="ListDash"/>
      </w:pPr>
      <w:r>
        <w:t xml:space="preserve">The </w:t>
      </w:r>
      <w:proofErr w:type="spellStart"/>
      <w:r>
        <w:t>ClimateWorks</w:t>
      </w:r>
      <w:proofErr w:type="spellEnd"/>
      <w:r>
        <w:t xml:space="preserve"> analysis assumes an approximate 10</w:t>
      </w:r>
      <w:r w:rsidR="008374D2">
        <w:t xml:space="preserve"> per cent</w:t>
      </w:r>
      <w:r>
        <w:t xml:space="preserve"> difference in retail tariffs between 2010 and 2020 on energy saving benefits</w:t>
      </w:r>
      <w:r w:rsidR="00D215EB">
        <w:t>,</w:t>
      </w:r>
      <w:r>
        <w:t xml:space="preserve"> which must be excluded in the CBA as it is a transfer (not an economic benefit).</w:t>
      </w:r>
    </w:p>
    <w:p w14:paraId="0A2BFB72" w14:textId="77777777" w:rsidR="001953A7" w:rsidRDefault="001953A7" w:rsidP="001953A7">
      <w:pPr>
        <w:pStyle w:val="ListDash"/>
      </w:pPr>
      <w:r>
        <w:t>Costs are assumed to be 10</w:t>
      </w:r>
      <w:r w:rsidR="008374D2">
        <w:t xml:space="preserve"> per cent</w:t>
      </w:r>
      <w:r>
        <w:t xml:space="preserve"> higher in 2010 relative to 2020</w:t>
      </w:r>
      <w:r w:rsidR="00D215EB">
        <w:t>,</w:t>
      </w:r>
      <w:r>
        <w:t xml:space="preserve"> as 2020 costs are likely to include cost reductions over time</w:t>
      </w:r>
      <w:r w:rsidR="00CB3EC7">
        <w:t xml:space="preserve">. </w:t>
      </w:r>
    </w:p>
    <w:p w14:paraId="5459F9E9" w14:textId="77777777" w:rsidR="001953A7" w:rsidRPr="00B04075" w:rsidRDefault="001953A7" w:rsidP="001953A7">
      <w:pPr>
        <w:pStyle w:val="BodyText"/>
      </w:pPr>
      <w:r>
        <w:lastRenderedPageBreak/>
        <w:t>The net effect of the above factors (an approximate 35</w:t>
      </w:r>
      <w:r w:rsidR="005A46C3">
        <w:t xml:space="preserve"> per cent</w:t>
      </w:r>
      <w:r>
        <w:t xml:space="preserve"> reduction in benefits and 10</w:t>
      </w:r>
      <w:r w:rsidR="005A46C3">
        <w:t xml:space="preserve"> per cent</w:t>
      </w:r>
      <w:r>
        <w:t xml:space="preserve"> increase in costs) results </w:t>
      </w:r>
      <w:r w:rsidR="00294306">
        <w:t xml:space="preserve">in </w:t>
      </w:r>
      <w:r>
        <w:t>an approximate 70</w:t>
      </w:r>
      <w:r w:rsidR="00294306">
        <w:t xml:space="preserve"> per cent</w:t>
      </w:r>
      <w:r>
        <w:t xml:space="preserve"> reduction in overall net benefit.</w:t>
      </w:r>
    </w:p>
    <w:p w14:paraId="1AD55403" w14:textId="77777777" w:rsidR="001953A7" w:rsidRDefault="001953A7" w:rsidP="001953A7">
      <w:pPr>
        <w:pStyle w:val="Heading9"/>
        <w:numPr>
          <w:ilvl w:val="8"/>
          <w:numId w:val="20"/>
        </w:numPr>
      </w:pPr>
      <w:r>
        <w:t xml:space="preserve">Variance of benefit based on pre-existing energy performance </w:t>
      </w:r>
    </w:p>
    <w:p w14:paraId="0504ADF1" w14:textId="77777777" w:rsidR="001953A7" w:rsidRDefault="001953A7" w:rsidP="001953A7">
      <w:pPr>
        <w:pStyle w:val="BodyText"/>
      </w:pPr>
      <w:r>
        <w:t>Although there was insufficient data to construct a full profile of likely net benefits from energy efficiency based on various states of p</w:t>
      </w:r>
      <w:r w:rsidRPr="00766D69">
        <w:t>re-existing energy performance</w:t>
      </w:r>
      <w:r>
        <w:t>, there are known ‘bounds’ on this profile that may be estimated</w:t>
      </w:r>
      <w:r w:rsidR="00CB3EC7">
        <w:t xml:space="preserve">. </w:t>
      </w:r>
      <w:r>
        <w:t>For example, t</w:t>
      </w:r>
      <w:r w:rsidRPr="00766D69">
        <w:t xml:space="preserve">he most attractive opportunities </w:t>
      </w:r>
      <w:r>
        <w:t xml:space="preserve">(such as process changes) </w:t>
      </w:r>
      <w:r w:rsidRPr="00766D69">
        <w:t>will deliver the full en</w:t>
      </w:r>
      <w:r>
        <w:t xml:space="preserve">ergy reduction at minimal cost, and therefore </w:t>
      </w:r>
      <w:r w:rsidRPr="00766D69">
        <w:t xml:space="preserve">net benefits </w:t>
      </w:r>
      <w:r>
        <w:t xml:space="preserve">approaching approximately </w:t>
      </w:r>
      <w:r w:rsidRPr="00766D69">
        <w:t>$200/tCO</w:t>
      </w:r>
      <w:r w:rsidRPr="00860430">
        <w:rPr>
          <w:vertAlign w:val="subscript"/>
        </w:rPr>
        <w:t>2</w:t>
      </w:r>
      <w:r w:rsidRPr="004F5895">
        <w:rPr>
          <w:vertAlign w:val="subscript"/>
        </w:rPr>
        <w:t>e</w:t>
      </w:r>
      <w:r w:rsidR="00CB3EC7">
        <w:t xml:space="preserve">. </w:t>
      </w:r>
      <w:r>
        <w:t>The least attractive opportunities are likely to break</w:t>
      </w:r>
      <w:r w:rsidR="00B026F7">
        <w:t xml:space="preserve"> </w:t>
      </w:r>
      <w:r>
        <w:t>even (</w:t>
      </w:r>
      <w:r w:rsidRPr="00766D69">
        <w:t>$</w:t>
      </w:r>
      <w:r>
        <w:t>0</w:t>
      </w:r>
      <w:r w:rsidRPr="00766D69">
        <w:t>/tCO</w:t>
      </w:r>
      <w:r w:rsidRPr="00860430">
        <w:rPr>
          <w:vertAlign w:val="subscript"/>
        </w:rPr>
        <w:t>2</w:t>
      </w:r>
      <w:r w:rsidRPr="004F5895">
        <w:rPr>
          <w:vertAlign w:val="subscript"/>
        </w:rPr>
        <w:t>e</w:t>
      </w:r>
      <w:r>
        <w:t xml:space="preserve">) or have a marginal </w:t>
      </w:r>
      <w:r w:rsidR="00B379DF">
        <w:t>pay-off</w:t>
      </w:r>
      <w:r w:rsidR="00CB3EC7">
        <w:t xml:space="preserve">. </w:t>
      </w:r>
    </w:p>
    <w:p w14:paraId="1F91A888" w14:textId="4DA2A30B" w:rsidR="001953A7" w:rsidRDefault="001953A7" w:rsidP="001953A7">
      <w:pPr>
        <w:pStyle w:val="BodyText"/>
      </w:pPr>
      <w:r>
        <w:t>Based on these known bounds</w:t>
      </w:r>
      <w:r w:rsidR="00B026F7">
        <w:t>,</w:t>
      </w:r>
      <w:r>
        <w:t xml:space="preserve"> low, medium an</w:t>
      </w:r>
      <w:r w:rsidR="006876CB">
        <w:t>d</w:t>
      </w:r>
      <w:r>
        <w:t xml:space="preserve"> high estimate</w:t>
      </w:r>
      <w:r w:rsidR="00B026F7">
        <w:t>s</w:t>
      </w:r>
      <w:r>
        <w:t xml:space="preserve"> of net benefits w</w:t>
      </w:r>
      <w:r w:rsidR="00B026F7">
        <w:t>ere</w:t>
      </w:r>
      <w:r>
        <w:t xml:space="preserve"> constructed based on 0.2 times, 1 times and 1.8 times multiple</w:t>
      </w:r>
      <w:r w:rsidR="00B026F7">
        <w:t>s</w:t>
      </w:r>
      <w:r>
        <w:t xml:space="preserve"> of the average net benefit</w:t>
      </w:r>
      <w:r w:rsidR="00B026F7">
        <w:t>,</w:t>
      </w:r>
      <w:r>
        <w:t xml:space="preserve"> respectively</w:t>
      </w:r>
      <w:r w:rsidR="00CB3EC7">
        <w:t xml:space="preserve">. </w:t>
      </w:r>
      <w:r>
        <w:t xml:space="preserve">This results in the following profile of net benefit assumptions shown in </w:t>
      </w:r>
      <w:r w:rsidR="00492194">
        <w:rPr>
          <w:b/>
          <w:highlight w:val="yellow"/>
        </w:rPr>
        <w:fldChar w:fldCharType="begin"/>
      </w:r>
      <w:r w:rsidR="006876CB">
        <w:instrText xml:space="preserve"> REF _Ref409630083 \h </w:instrText>
      </w:r>
      <w:r w:rsidR="00492194">
        <w:rPr>
          <w:b/>
          <w:highlight w:val="yellow"/>
        </w:rPr>
      </w:r>
      <w:r w:rsidR="00492194">
        <w:rPr>
          <w:b/>
          <w:highlight w:val="yellow"/>
        </w:rPr>
        <w:fldChar w:fldCharType="separate"/>
      </w:r>
      <w:r w:rsidR="006A273E">
        <w:t xml:space="preserve">Table </w:t>
      </w:r>
      <w:r w:rsidR="006A273E" w:rsidRPr="006A273E">
        <w:rPr>
          <w:noProof/>
          <w:lang w:val="en-US"/>
        </w:rPr>
        <w:t>A</w:t>
      </w:r>
      <w:r w:rsidR="006A273E">
        <w:rPr>
          <w:noProof/>
        </w:rPr>
        <w:t>5</w:t>
      </w:r>
      <w:r w:rsidR="00492194">
        <w:rPr>
          <w:b/>
          <w:highlight w:val="yellow"/>
        </w:rPr>
        <w:fldChar w:fldCharType="end"/>
      </w:r>
      <w:r>
        <w:t xml:space="preserve"> below.</w:t>
      </w:r>
    </w:p>
    <w:p w14:paraId="31FB22CD" w14:textId="77777777" w:rsidR="001953A7" w:rsidRPr="00857D65" w:rsidRDefault="001953A7" w:rsidP="001953A7">
      <w:pPr>
        <w:pStyle w:val="Caption"/>
        <w:rPr>
          <w:rStyle w:val="CaptionLabel"/>
          <w:rFonts w:asciiTheme="minorHAnsi" w:hAnsiTheme="minorHAnsi" w:cs="Times New Roman"/>
          <w:sz w:val="22"/>
          <w:szCs w:val="22"/>
          <w:lang w:eastAsia="en-AU"/>
        </w:rPr>
      </w:pPr>
      <w:bookmarkStart w:id="716" w:name="_Ref409630083"/>
      <w:bookmarkStart w:id="717" w:name="_Toc409536691"/>
      <w:bookmarkStart w:id="718" w:name="_Toc415661036"/>
      <w:r>
        <w:t xml:space="preserve">Table </w:t>
      </w:r>
      <w:r w:rsidR="00366ADF">
        <w:fldChar w:fldCharType="begin"/>
      </w:r>
      <w:r w:rsidR="00366ADF">
        <w:instrText xml:space="preserve"> STYLEREF 7 \s \* MERGEFORMAT </w:instrText>
      </w:r>
      <w:r w:rsidR="00366ADF">
        <w:fldChar w:fldCharType="separate"/>
      </w:r>
      <w:r w:rsidR="006A273E" w:rsidRPr="006A273E">
        <w:rPr>
          <w:noProof/>
          <w:lang w:val="en-US"/>
        </w:rPr>
        <w:t>A</w:t>
      </w:r>
      <w:r w:rsidR="00366ADF">
        <w:rPr>
          <w:noProof/>
          <w:lang w:val="en-US"/>
        </w:rPr>
        <w:fldChar w:fldCharType="end"/>
      </w:r>
      <w:r w:rsidR="00492194">
        <w:fldChar w:fldCharType="begin"/>
      </w:r>
      <w:r w:rsidR="0044208C">
        <w:instrText xml:space="preserve"> SEQ Table \s 7\* ARABIC </w:instrText>
      </w:r>
      <w:r w:rsidR="00492194">
        <w:fldChar w:fldCharType="separate"/>
      </w:r>
      <w:r w:rsidR="006A273E">
        <w:rPr>
          <w:noProof/>
        </w:rPr>
        <w:t>5</w:t>
      </w:r>
      <w:r w:rsidR="00492194">
        <w:rPr>
          <w:noProof/>
        </w:rPr>
        <w:fldChar w:fldCharType="end"/>
      </w:r>
      <w:bookmarkEnd w:id="716"/>
      <w:r w:rsidRPr="004C2569">
        <w:tab/>
      </w:r>
      <w:r>
        <w:rPr>
          <w:rStyle w:val="CaptionLabel"/>
        </w:rPr>
        <w:t>Low, medium and high estimates for net benefits of energy efficiency</w:t>
      </w:r>
      <w:bookmarkEnd w:id="717"/>
      <w:bookmarkEnd w:id="718"/>
    </w:p>
    <w:tbl>
      <w:tblPr>
        <w:tblStyle w:val="ACILAllenTable"/>
        <w:tblW w:w="0" w:type="auto"/>
        <w:tblLook w:val="04A0" w:firstRow="1" w:lastRow="0" w:firstColumn="1" w:lastColumn="0" w:noHBand="0" w:noVBand="1"/>
        <w:tblCaption w:val="Low, medium and high estimates for net benefits of energy efficiency"/>
        <w:tblDescription w:val="Low, medium and high estimates for net benefits of energy efficiency"/>
      </w:tblPr>
      <w:tblGrid>
        <w:gridCol w:w="2748"/>
        <w:gridCol w:w="2312"/>
        <w:gridCol w:w="2312"/>
      </w:tblGrid>
      <w:tr w:rsidR="001953A7" w:rsidRPr="004F5895" w14:paraId="3FD8476E" w14:textId="77777777" w:rsidTr="00CF4527">
        <w:trPr>
          <w:cnfStyle w:val="100000000000" w:firstRow="1" w:lastRow="0" w:firstColumn="0" w:lastColumn="0" w:oddVBand="0" w:evenVBand="0" w:oddHBand="0" w:evenHBand="0" w:firstRowFirstColumn="0" w:firstRowLastColumn="0" w:lastRowFirstColumn="0" w:lastRowLastColumn="0"/>
          <w:tblHeader/>
        </w:trPr>
        <w:tc>
          <w:tcPr>
            <w:tcW w:w="2748" w:type="dxa"/>
          </w:tcPr>
          <w:p w14:paraId="0A72F18F" w14:textId="77777777" w:rsidR="001953A7" w:rsidRPr="004F5895" w:rsidRDefault="001953A7" w:rsidP="00DD31C2">
            <w:pPr>
              <w:pStyle w:val="Tabletext"/>
              <w:rPr>
                <w:color w:val="FFFFFF" w:themeColor="background1"/>
              </w:rPr>
            </w:pPr>
            <w:r>
              <w:rPr>
                <w:color w:val="FFFFFF" w:themeColor="background1"/>
              </w:rPr>
              <w:t>Estimate</w:t>
            </w:r>
          </w:p>
        </w:tc>
        <w:tc>
          <w:tcPr>
            <w:tcW w:w="2312" w:type="dxa"/>
          </w:tcPr>
          <w:p w14:paraId="76A9C1AE" w14:textId="77777777" w:rsidR="001953A7" w:rsidRDefault="001953A7" w:rsidP="00DD31C2">
            <w:pPr>
              <w:pStyle w:val="Tabletext"/>
              <w:rPr>
                <w:color w:val="FFFFFF" w:themeColor="background1"/>
              </w:rPr>
            </w:pPr>
            <w:r>
              <w:rPr>
                <w:color w:val="FFFFFF" w:themeColor="background1"/>
              </w:rPr>
              <w:t>Multiple of average benefit</w:t>
            </w:r>
          </w:p>
        </w:tc>
        <w:tc>
          <w:tcPr>
            <w:tcW w:w="2312" w:type="dxa"/>
          </w:tcPr>
          <w:p w14:paraId="69781C08" w14:textId="77777777" w:rsidR="001953A7" w:rsidRDefault="001953A7" w:rsidP="00DD31C2">
            <w:pPr>
              <w:pStyle w:val="Tabletext"/>
              <w:rPr>
                <w:color w:val="FFFFFF" w:themeColor="background1"/>
              </w:rPr>
            </w:pPr>
            <w:r>
              <w:rPr>
                <w:color w:val="FFFFFF" w:themeColor="background1"/>
              </w:rPr>
              <w:t>Estimated benefit</w:t>
            </w:r>
          </w:p>
        </w:tc>
      </w:tr>
      <w:tr w:rsidR="001953A7" w:rsidRPr="00474D6E" w14:paraId="31345FF5" w14:textId="77777777">
        <w:tc>
          <w:tcPr>
            <w:tcW w:w="2748" w:type="dxa"/>
          </w:tcPr>
          <w:p w14:paraId="67392FB5" w14:textId="77777777" w:rsidR="001953A7" w:rsidRPr="004F5895" w:rsidRDefault="001953A7" w:rsidP="00DD31C2">
            <w:pPr>
              <w:pStyle w:val="Tabletext"/>
            </w:pPr>
            <w:r>
              <w:t>Low estimate</w:t>
            </w:r>
          </w:p>
        </w:tc>
        <w:tc>
          <w:tcPr>
            <w:tcW w:w="2312" w:type="dxa"/>
          </w:tcPr>
          <w:p w14:paraId="17E83069" w14:textId="77777777" w:rsidR="001953A7" w:rsidRDefault="001953A7" w:rsidP="00DD31C2">
            <w:pPr>
              <w:pStyle w:val="Tabletext"/>
            </w:pPr>
            <w:r>
              <w:t>0.2x</w:t>
            </w:r>
          </w:p>
        </w:tc>
        <w:tc>
          <w:tcPr>
            <w:tcW w:w="2312" w:type="dxa"/>
          </w:tcPr>
          <w:p w14:paraId="4195F713" w14:textId="77777777" w:rsidR="001953A7" w:rsidRDefault="001953A7" w:rsidP="00DD31C2">
            <w:pPr>
              <w:pStyle w:val="Tabletext"/>
            </w:pPr>
            <w:r>
              <w:t>$64/tCO</w:t>
            </w:r>
            <w:r w:rsidRPr="00860430">
              <w:rPr>
                <w:vertAlign w:val="subscript"/>
              </w:rPr>
              <w:t>2</w:t>
            </w:r>
            <w:r w:rsidRPr="004F5895">
              <w:rPr>
                <w:vertAlign w:val="subscript"/>
              </w:rPr>
              <w:t>e</w:t>
            </w:r>
            <w:r>
              <w:t xml:space="preserve"> </w:t>
            </w:r>
          </w:p>
        </w:tc>
      </w:tr>
      <w:tr w:rsidR="001953A7" w:rsidRPr="00474D6E" w14:paraId="076E8CED" w14:textId="77777777">
        <w:tc>
          <w:tcPr>
            <w:tcW w:w="2748" w:type="dxa"/>
          </w:tcPr>
          <w:p w14:paraId="4151FB7E" w14:textId="77777777" w:rsidR="001953A7" w:rsidRPr="004F5895" w:rsidRDefault="001953A7" w:rsidP="00DD31C2">
            <w:pPr>
              <w:pStyle w:val="Tabletext"/>
            </w:pPr>
            <w:r>
              <w:t>Medium estimate</w:t>
            </w:r>
          </w:p>
        </w:tc>
        <w:tc>
          <w:tcPr>
            <w:tcW w:w="2312" w:type="dxa"/>
          </w:tcPr>
          <w:p w14:paraId="0129E12D" w14:textId="77777777" w:rsidR="001953A7" w:rsidRDefault="001953A7" w:rsidP="00DD31C2">
            <w:pPr>
              <w:pStyle w:val="Tabletext"/>
            </w:pPr>
            <w:r>
              <w:t>1x</w:t>
            </w:r>
          </w:p>
        </w:tc>
        <w:tc>
          <w:tcPr>
            <w:tcW w:w="2312" w:type="dxa"/>
          </w:tcPr>
          <w:p w14:paraId="3EB02B01" w14:textId="77777777" w:rsidR="001953A7" w:rsidRDefault="001953A7" w:rsidP="00DD31C2">
            <w:pPr>
              <w:pStyle w:val="Tabletext"/>
            </w:pPr>
            <w:r>
              <w:t>$35/tCO</w:t>
            </w:r>
            <w:r w:rsidRPr="00860430">
              <w:rPr>
                <w:vertAlign w:val="subscript"/>
              </w:rPr>
              <w:t>2</w:t>
            </w:r>
            <w:r w:rsidRPr="004F5895">
              <w:rPr>
                <w:vertAlign w:val="subscript"/>
              </w:rPr>
              <w:t>e</w:t>
            </w:r>
          </w:p>
        </w:tc>
      </w:tr>
      <w:tr w:rsidR="001953A7" w:rsidRPr="00474D6E" w14:paraId="3B80DD24" w14:textId="77777777">
        <w:tc>
          <w:tcPr>
            <w:tcW w:w="2748" w:type="dxa"/>
          </w:tcPr>
          <w:p w14:paraId="37210A95" w14:textId="77777777" w:rsidR="001953A7" w:rsidRPr="004F5895" w:rsidRDefault="001953A7" w:rsidP="00DD31C2">
            <w:pPr>
              <w:pStyle w:val="Tabletext"/>
            </w:pPr>
            <w:r>
              <w:t>High estimate</w:t>
            </w:r>
          </w:p>
        </w:tc>
        <w:tc>
          <w:tcPr>
            <w:tcW w:w="2312" w:type="dxa"/>
          </w:tcPr>
          <w:p w14:paraId="099FCF99" w14:textId="77777777" w:rsidR="001953A7" w:rsidRDefault="001953A7" w:rsidP="00DD31C2">
            <w:pPr>
              <w:pStyle w:val="Tabletext"/>
            </w:pPr>
            <w:r>
              <w:t>1.8x</w:t>
            </w:r>
          </w:p>
        </w:tc>
        <w:tc>
          <w:tcPr>
            <w:tcW w:w="2312" w:type="dxa"/>
          </w:tcPr>
          <w:p w14:paraId="52EBCF69" w14:textId="77777777" w:rsidR="001953A7" w:rsidRDefault="001953A7" w:rsidP="00DD31C2">
            <w:pPr>
              <w:pStyle w:val="Tabletext"/>
            </w:pPr>
            <w:r>
              <w:t>$7/tCO</w:t>
            </w:r>
            <w:r w:rsidRPr="00860430">
              <w:rPr>
                <w:vertAlign w:val="subscript"/>
              </w:rPr>
              <w:t>2</w:t>
            </w:r>
            <w:r w:rsidRPr="004F5895">
              <w:rPr>
                <w:vertAlign w:val="subscript"/>
              </w:rPr>
              <w:t>e</w:t>
            </w:r>
          </w:p>
        </w:tc>
      </w:tr>
    </w:tbl>
    <w:p w14:paraId="59B07A6E" w14:textId="77777777" w:rsidR="001953A7" w:rsidRPr="000B11FF" w:rsidRDefault="001953A7" w:rsidP="001953A7">
      <w:pPr>
        <w:pStyle w:val="Source"/>
      </w:pPr>
      <w:r w:rsidRPr="000B11FF">
        <w:t xml:space="preserve">Source: </w:t>
      </w:r>
      <w:r>
        <w:t>ACIL Allen</w:t>
      </w:r>
    </w:p>
    <w:p w14:paraId="6255AB52" w14:textId="7355B0C3" w:rsidR="001953A7" w:rsidRDefault="001953A7" w:rsidP="001953A7">
      <w:pPr>
        <w:pStyle w:val="BodyText"/>
      </w:pPr>
      <w:r>
        <w:t>These estimates were cross</w:t>
      </w:r>
      <w:r w:rsidR="00B026F7">
        <w:t>-</w:t>
      </w:r>
      <w:r>
        <w:t xml:space="preserve">checked against, and found to be consistent with, net benefit estimates derived from </w:t>
      </w:r>
      <w:r w:rsidR="00B379DF">
        <w:t>pay-off</w:t>
      </w:r>
      <w:r>
        <w:t xml:space="preserve"> data from selected audits of commercial buildings provided to the project team by the City of Sydney.</w:t>
      </w:r>
    </w:p>
    <w:p w14:paraId="0B9A4F12" w14:textId="77777777" w:rsidR="001953A7" w:rsidRPr="000E783F" w:rsidRDefault="001953A7" w:rsidP="001953A7">
      <w:pPr>
        <w:pStyle w:val="BodyText"/>
      </w:pPr>
      <w:r>
        <w:t>The net benefits from energy efficiency upgrades is one of the key variables used in sensitivity analysis due to the number of assumptions required in deriving estimates and the lack of widely available estimates in the public domain that may be used to cross validate the results.</w:t>
      </w:r>
    </w:p>
    <w:p w14:paraId="39D816B1" w14:textId="77777777" w:rsidR="001953A7" w:rsidRDefault="001953A7" w:rsidP="001953A7">
      <w:pPr>
        <w:pStyle w:val="Heading8"/>
        <w:numPr>
          <w:ilvl w:val="7"/>
          <w:numId w:val="20"/>
        </w:numPr>
      </w:pPr>
      <w:bookmarkStart w:id="719" w:name="_Ref409797431"/>
      <w:r>
        <w:t>Benefit of lighting upgrades</w:t>
      </w:r>
      <w:bookmarkEnd w:id="719"/>
    </w:p>
    <w:p w14:paraId="31EB6423" w14:textId="77777777" w:rsidR="001953A7" w:rsidRDefault="001953A7" w:rsidP="001953A7">
      <w:pPr>
        <w:pStyle w:val="BodyText"/>
      </w:pPr>
      <w:r>
        <w:t>Estimates of the benefits of lighting upgrades were derived from case study data provided by NSW Government Property</w:t>
      </w:r>
      <w:r w:rsidR="00CB3EC7">
        <w:t xml:space="preserve">. </w:t>
      </w:r>
      <w:r>
        <w:t>The case study data included:</w:t>
      </w:r>
    </w:p>
    <w:p w14:paraId="2E6D5268" w14:textId="77777777" w:rsidR="001953A7" w:rsidRDefault="001953A7" w:rsidP="001953A7">
      <w:pPr>
        <w:pStyle w:val="ListDash"/>
      </w:pPr>
      <w:r>
        <w:t xml:space="preserve">Financial </w:t>
      </w:r>
      <w:r w:rsidR="00B379DF">
        <w:t>pay-off</w:t>
      </w:r>
      <w:r>
        <w:t>s (including benefits from improvements to power density and control systems) from upgrades to four types of new systems (T5 technology, LED technology with timer control, LED technology with timer control and dimmer, and LED technology with sensors).</w:t>
      </w:r>
    </w:p>
    <w:p w14:paraId="32FF2265" w14:textId="77777777" w:rsidR="001953A7" w:rsidRDefault="001953A7" w:rsidP="001953A7">
      <w:pPr>
        <w:pStyle w:val="ListDash"/>
      </w:pPr>
      <w:r>
        <w:t xml:space="preserve">For each type of </w:t>
      </w:r>
      <w:r w:rsidR="00567261">
        <w:t>up</w:t>
      </w:r>
      <w:r>
        <w:t xml:space="preserve">grade, </w:t>
      </w:r>
      <w:r w:rsidR="00B379DF">
        <w:t>pay-off</w:t>
      </w:r>
      <w:r>
        <w:t>s were differentiated based on prior power densities of 12, 18 and 24 W/m</w:t>
      </w:r>
      <w:r w:rsidRPr="00CF0265">
        <w:rPr>
          <w:vertAlign w:val="superscript"/>
        </w:rPr>
        <w:t>2</w:t>
      </w:r>
      <w:r>
        <w:t>.</w:t>
      </w:r>
    </w:p>
    <w:p w14:paraId="00D74287" w14:textId="77777777" w:rsidR="001953A7" w:rsidRDefault="001953A7" w:rsidP="001953A7">
      <w:pPr>
        <w:pStyle w:val="BodyText"/>
      </w:pPr>
      <w:r>
        <w:t>A change in power density (</w:t>
      </w:r>
      <w:r>
        <w:sym w:font="Symbol" w:char="F044"/>
      </w:r>
      <w:r>
        <w:t xml:space="preserve"> W/m</w:t>
      </w:r>
      <w:r w:rsidRPr="009C6A80">
        <w:rPr>
          <w:vertAlign w:val="superscript"/>
        </w:rPr>
        <w:t>2</w:t>
      </w:r>
      <w:r w:rsidRPr="009C6A80">
        <w:t>/</w:t>
      </w:r>
      <w:r>
        <w:t>year) and average benefit per Watt of improvement ($/W/year) for each combination of prior power density and upgrade technology was estimated.</w:t>
      </w:r>
    </w:p>
    <w:p w14:paraId="5D1FF39B" w14:textId="77777777" w:rsidR="001953A7" w:rsidRDefault="001953A7" w:rsidP="001953A7">
      <w:pPr>
        <w:pStyle w:val="BodyText"/>
      </w:pPr>
      <w:r>
        <w:lastRenderedPageBreak/>
        <w:t>An exponential regression</w:t>
      </w:r>
      <w:r>
        <w:rPr>
          <w:rStyle w:val="FootnoteReference"/>
        </w:rPr>
        <w:footnoteReference w:id="55"/>
      </w:r>
      <w:r>
        <w:t xml:space="preserve"> was then fitted to the 12 data points as shown in </w:t>
      </w:r>
      <w:r w:rsidR="00492194">
        <w:rPr>
          <w:b/>
          <w:highlight w:val="yellow"/>
        </w:rPr>
        <w:fldChar w:fldCharType="begin"/>
      </w:r>
      <w:r w:rsidR="00567261">
        <w:instrText xml:space="preserve"> REF _Ref409630266 \h </w:instrText>
      </w:r>
      <w:r w:rsidR="00492194">
        <w:rPr>
          <w:b/>
          <w:highlight w:val="yellow"/>
        </w:rPr>
      </w:r>
      <w:r w:rsidR="00492194">
        <w:rPr>
          <w:b/>
          <w:highlight w:val="yellow"/>
        </w:rPr>
        <w:fldChar w:fldCharType="separate"/>
      </w:r>
      <w:r w:rsidR="006A273E">
        <w:t xml:space="preserve">Figure </w:t>
      </w:r>
      <w:r w:rsidR="006A273E" w:rsidRPr="006A273E">
        <w:rPr>
          <w:noProof/>
          <w:lang w:val="en-US"/>
        </w:rPr>
        <w:t>A</w:t>
      </w:r>
      <w:r w:rsidR="006A273E">
        <w:rPr>
          <w:noProof/>
        </w:rPr>
        <w:t>2</w:t>
      </w:r>
      <w:r w:rsidR="00492194">
        <w:rPr>
          <w:b/>
          <w:highlight w:val="yellow"/>
        </w:rPr>
        <w:fldChar w:fldCharType="end"/>
      </w:r>
      <w:r>
        <w:t xml:space="preserve"> below</w:t>
      </w:r>
      <w:r w:rsidR="00CB3EC7">
        <w:t xml:space="preserve">. </w:t>
      </w:r>
      <w:r>
        <w:t xml:space="preserve">The analysis suggests that </w:t>
      </w:r>
      <w:r w:rsidR="00B379DF">
        <w:t>pay-off</w:t>
      </w:r>
      <w:r>
        <w:t>s from lighting upgrades increase very rapidly with the extent of change being undertaken</w:t>
      </w:r>
      <w:r w:rsidR="00CB3EC7">
        <w:t xml:space="preserve">. </w:t>
      </w:r>
      <w:r>
        <w:t xml:space="preserve">This finding is consistent with anecdotal data provided by energy performance assessors, who note that </w:t>
      </w:r>
      <w:r w:rsidR="00B379DF">
        <w:t>pay-off</w:t>
      </w:r>
      <w:r>
        <w:t>s are much more marginal (or not beneficial) for small improvements to power density.</w:t>
      </w:r>
    </w:p>
    <w:p w14:paraId="2DD174DA" w14:textId="77777777" w:rsidR="001953A7" w:rsidRDefault="001953A7" w:rsidP="001953A7">
      <w:pPr>
        <w:pStyle w:val="Caption"/>
      </w:pPr>
      <w:bookmarkStart w:id="720" w:name="_Ref409630266"/>
      <w:bookmarkStart w:id="721" w:name="_Toc409536599"/>
      <w:bookmarkStart w:id="722" w:name="_Toc415660976"/>
      <w:r>
        <w:t xml:space="preserve">Figure </w:t>
      </w:r>
      <w:r w:rsidR="00366ADF">
        <w:fldChar w:fldCharType="begin"/>
      </w:r>
      <w:r w:rsidR="00366ADF">
        <w:instrText xml:space="preserve"> STYLEREF 7 \s \* MERGEFORMAT </w:instrText>
      </w:r>
      <w:r w:rsidR="00366ADF">
        <w:fldChar w:fldCharType="separate"/>
      </w:r>
      <w:r w:rsidR="006A273E" w:rsidRPr="006A273E">
        <w:rPr>
          <w:noProof/>
          <w:lang w:val="en-US"/>
        </w:rPr>
        <w:t>A</w:t>
      </w:r>
      <w:r w:rsidR="00366ADF">
        <w:rPr>
          <w:noProof/>
          <w:lang w:val="en-US"/>
        </w:rPr>
        <w:fldChar w:fldCharType="end"/>
      </w:r>
      <w:r w:rsidR="00492194">
        <w:fldChar w:fldCharType="begin"/>
      </w:r>
      <w:r w:rsidR="0044208C">
        <w:instrText xml:space="preserve"> SEQ Figure \* ARABIC \s 7 </w:instrText>
      </w:r>
      <w:r w:rsidR="00492194">
        <w:fldChar w:fldCharType="separate"/>
      </w:r>
      <w:r w:rsidR="006A273E">
        <w:rPr>
          <w:noProof/>
        </w:rPr>
        <w:t>2</w:t>
      </w:r>
      <w:r w:rsidR="00492194">
        <w:rPr>
          <w:noProof/>
        </w:rPr>
        <w:fldChar w:fldCharType="end"/>
      </w:r>
      <w:bookmarkEnd w:id="720"/>
      <w:r w:rsidRPr="00204B45">
        <w:tab/>
      </w:r>
      <w:r>
        <w:rPr>
          <w:b/>
          <w:color w:val="000000" w:themeColor="text1"/>
        </w:rPr>
        <w:t>Pay</w:t>
      </w:r>
      <w:r w:rsidR="00833963">
        <w:rPr>
          <w:b/>
          <w:color w:val="000000" w:themeColor="text1"/>
        </w:rPr>
        <w:t>-</w:t>
      </w:r>
      <w:r>
        <w:rPr>
          <w:b/>
          <w:color w:val="000000" w:themeColor="text1"/>
        </w:rPr>
        <w:t>off from lighting upgrades</w:t>
      </w:r>
      <w:bookmarkEnd w:id="721"/>
      <w:bookmarkEnd w:id="722"/>
      <w:r>
        <w:rPr>
          <w:b/>
          <w:color w:val="000000" w:themeColor="text1"/>
        </w:rPr>
        <w:tab/>
      </w:r>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1953A7" w14:paraId="60E9D86B" w14:textId="77777777">
        <w:trPr>
          <w:cantSplit/>
        </w:trPr>
        <w:tc>
          <w:tcPr>
            <w:tcW w:w="5000" w:type="pct"/>
          </w:tcPr>
          <w:p w14:paraId="577C9195" w14:textId="77777777" w:rsidR="001953A7" w:rsidRDefault="001953A7" w:rsidP="00DD31C2">
            <w:pPr>
              <w:pStyle w:val="SmallDeltasRightAligned"/>
              <w:keepNext/>
            </w:pPr>
            <w:r>
              <w:rPr>
                <w:noProof/>
                <w:lang w:eastAsia="en-AU"/>
              </w:rPr>
              <w:drawing>
                <wp:inline distT="0" distB="0" distL="0" distR="0" wp14:anchorId="36EB398C" wp14:editId="10B053B3">
                  <wp:extent cx="481585" cy="234696"/>
                  <wp:effectExtent l="0" t="0" r="0" b="0"/>
                  <wp:docPr id="62" name="Picture 62"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1953A7" w14:paraId="25C88150" w14:textId="77777777">
        <w:tblPrEx>
          <w:tblCellMar>
            <w:left w:w="108" w:type="dxa"/>
            <w:right w:w="108" w:type="dxa"/>
          </w:tblCellMar>
        </w:tblPrEx>
        <w:trPr>
          <w:cantSplit/>
        </w:trPr>
        <w:tc>
          <w:tcPr>
            <w:tcW w:w="5000" w:type="pct"/>
          </w:tcPr>
          <w:p w14:paraId="0620722B" w14:textId="77777777" w:rsidR="001953A7" w:rsidRDefault="001953A7" w:rsidP="00DD31C2">
            <w:pPr>
              <w:pStyle w:val="Figure"/>
            </w:pPr>
            <w:r w:rsidRPr="004268E3">
              <w:rPr>
                <w:noProof/>
                <w:lang w:eastAsia="en-AU"/>
              </w:rPr>
              <w:drawing>
                <wp:inline distT="0" distB="0" distL="0" distR="0" wp14:anchorId="4A9D2A7A" wp14:editId="109C0DFA">
                  <wp:extent cx="4543425" cy="3296285"/>
                  <wp:effectExtent l="0" t="0" r="0" b="0"/>
                  <wp:docPr id="130" name="Chart 130" descr="Pay-off from lighting upgrades" title="Pay-off from lighting upgrad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bl>
    <w:p w14:paraId="18159B8D" w14:textId="77777777" w:rsidR="001953A7" w:rsidRDefault="001953A7" w:rsidP="001953A7">
      <w:pPr>
        <w:pStyle w:val="Source"/>
      </w:pPr>
      <w:r>
        <w:t>S</w:t>
      </w:r>
      <w:r w:rsidRPr="00B50A1B">
        <w:t>ource:</w:t>
      </w:r>
      <w:r w:rsidRPr="00954EED">
        <w:t xml:space="preserve"> </w:t>
      </w:r>
      <w:r>
        <w:t>ACIL Allen analysis of CBD data</w:t>
      </w:r>
    </w:p>
    <w:p w14:paraId="0FFD40A0" w14:textId="5F7F97D4" w:rsidR="001953A7" w:rsidRPr="006772C7" w:rsidRDefault="001953A7" w:rsidP="001953A7">
      <w:pPr>
        <w:pStyle w:val="BodyText"/>
      </w:pPr>
      <w:r>
        <w:t xml:space="preserve">While this analysis provides an evidentiary basis for estimating the economic benefit of lighting upgrades, it is based on a relatively small sample of </w:t>
      </w:r>
      <w:r w:rsidR="00B379DF">
        <w:t>pay-off</w:t>
      </w:r>
      <w:r>
        <w:t xml:space="preserve"> data</w:t>
      </w:r>
      <w:r w:rsidR="00833963">
        <w:t>;</w:t>
      </w:r>
      <w:r>
        <w:t xml:space="preserve"> publicly available estimates</w:t>
      </w:r>
      <w:r w:rsidR="00833963">
        <w:t>,</w:t>
      </w:r>
      <w:r>
        <w:t xml:space="preserve"> which could be used to validate the results</w:t>
      </w:r>
      <w:r w:rsidR="00833963">
        <w:t>,</w:t>
      </w:r>
      <w:r>
        <w:t xml:space="preserve"> were not found</w:t>
      </w:r>
      <w:r w:rsidR="00CB3EC7">
        <w:t xml:space="preserve">. </w:t>
      </w:r>
      <w:r>
        <w:t>Therefore, the net benefits from lighting upgrade is one of the key variables used in sensitivity analysis.</w:t>
      </w:r>
    </w:p>
    <w:p w14:paraId="01A4E9C9" w14:textId="77777777" w:rsidR="001953A7" w:rsidRDefault="001953A7" w:rsidP="001953A7">
      <w:pPr>
        <w:pStyle w:val="Heading8"/>
        <w:numPr>
          <w:ilvl w:val="7"/>
          <w:numId w:val="20"/>
        </w:numPr>
      </w:pPr>
      <w:bookmarkStart w:id="723" w:name="_Ref409797494"/>
      <w:r>
        <w:t>GHG reductions</w:t>
      </w:r>
      <w:bookmarkEnd w:id="723"/>
    </w:p>
    <w:p w14:paraId="2EA96537" w14:textId="77777777" w:rsidR="001953A7" w:rsidRDefault="001953A7" w:rsidP="001953A7">
      <w:pPr>
        <w:pStyle w:val="BodyText"/>
      </w:pPr>
      <w:r>
        <w:t xml:space="preserve">The estimated improvements in energy </w:t>
      </w:r>
      <w:r w:rsidR="00567261">
        <w:t xml:space="preserve">efficiency </w:t>
      </w:r>
      <w:r>
        <w:t xml:space="preserve">(from both base building energy </w:t>
      </w:r>
      <w:r w:rsidR="00F64E41">
        <w:t xml:space="preserve">efficiency </w:t>
      </w:r>
      <w:r>
        <w:t xml:space="preserve">improvements and </w:t>
      </w:r>
      <w:r w:rsidR="00461F12">
        <w:t xml:space="preserve">tenancy </w:t>
      </w:r>
      <w:r>
        <w:t>lighting upgrades) have been translated into estimated GHG reductions (tCO</w:t>
      </w:r>
      <w:r w:rsidRPr="00860430">
        <w:rPr>
          <w:vertAlign w:val="subscript"/>
        </w:rPr>
        <w:t>2</w:t>
      </w:r>
      <w:r w:rsidRPr="00662B1A">
        <w:rPr>
          <w:vertAlign w:val="subscript"/>
        </w:rPr>
        <w:t>e</w:t>
      </w:r>
      <w:r>
        <w:t>) based on assumed electricity, fuel and diesel savings and associated fuel emissions intensities</w:t>
      </w:r>
      <w:r w:rsidR="00CB3EC7">
        <w:t xml:space="preserve">. </w:t>
      </w:r>
    </w:p>
    <w:p w14:paraId="339CB45E" w14:textId="77777777" w:rsidR="001953A7" w:rsidRDefault="001953A7" w:rsidP="001953A7">
      <w:pPr>
        <w:pStyle w:val="Heading9"/>
        <w:numPr>
          <w:ilvl w:val="8"/>
          <w:numId w:val="20"/>
        </w:numPr>
      </w:pPr>
      <w:r>
        <w:t>Estimates of electricity, fuel and diesel savings</w:t>
      </w:r>
    </w:p>
    <w:p w14:paraId="1DC040C5" w14:textId="77777777" w:rsidR="001953A7" w:rsidRPr="00BA03EE" w:rsidRDefault="001953A7" w:rsidP="001953A7">
      <w:pPr>
        <w:pStyle w:val="BodyText"/>
        <w:keepNext/>
        <w:rPr>
          <w:rFonts w:asciiTheme="majorHAnsi" w:hAnsiTheme="majorHAnsi" w:cstheme="majorHAnsi"/>
          <w:b/>
          <w:color w:val="9757A6" w:themeColor="text2"/>
        </w:rPr>
      </w:pPr>
      <w:r w:rsidRPr="00BA03EE">
        <w:rPr>
          <w:rFonts w:asciiTheme="majorHAnsi" w:hAnsiTheme="majorHAnsi" w:cstheme="majorHAnsi"/>
          <w:b/>
          <w:color w:val="9757A6" w:themeColor="text2"/>
        </w:rPr>
        <w:t>Fuel savings from base building energy efficiency upgrades</w:t>
      </w:r>
    </w:p>
    <w:p w14:paraId="738193C0" w14:textId="77777777" w:rsidR="001953A7" w:rsidRDefault="00F27A68" w:rsidP="001953A7">
      <w:pPr>
        <w:pStyle w:val="BodyText"/>
      </w:pPr>
      <w:r>
        <w:t>F</w:t>
      </w:r>
      <w:r w:rsidR="001953A7">
        <w:t>uel savings from base building energy efficiency upgrades were estimated based on differences in assumed breakdown of fuel consumption (per cent of total MJ) of buildings between the counterfactual with CBD scenarios</w:t>
      </w:r>
      <w:r w:rsidR="00CB3EC7">
        <w:t xml:space="preserve">. </w:t>
      </w:r>
      <w:r w:rsidR="001953A7">
        <w:t>This was done by calculating:</w:t>
      </w:r>
    </w:p>
    <w:p w14:paraId="4D0E2E90" w14:textId="77777777" w:rsidR="001953A7" w:rsidRDefault="001953A7" w:rsidP="001953A7">
      <w:pPr>
        <w:pStyle w:val="ListDash"/>
      </w:pPr>
      <w:r>
        <w:lastRenderedPageBreak/>
        <w:t>The average proportion (per cent of total MJ) of electricity use, gas use and diesel use (or the ‘fuel mix’) for buildings in various star bands (0-1.5, 2-3.5 and 4-6) for the years 2010, 2011, 2012 and 2013 (</w:t>
      </w:r>
      <w:r w:rsidR="00F27A68">
        <w:t xml:space="preserve">derived </w:t>
      </w:r>
      <w:r>
        <w:t>based on NABERS data on energy use).</w:t>
      </w:r>
    </w:p>
    <w:p w14:paraId="341D2BA5" w14:textId="77777777" w:rsidR="001953A7" w:rsidRDefault="001953A7" w:rsidP="001953A7">
      <w:pPr>
        <w:pStyle w:val="ListDash"/>
      </w:pPr>
      <w:r>
        <w:t>Total electricity, gas and diesel fuel consumption for both the counterfactual and with CBD scenarios based on this fuel mix.</w:t>
      </w:r>
    </w:p>
    <w:p w14:paraId="5E2030E8" w14:textId="77777777" w:rsidR="001953A7" w:rsidRDefault="001953A7" w:rsidP="001953A7">
      <w:pPr>
        <w:pStyle w:val="ListDash"/>
      </w:pPr>
      <w:r>
        <w:t>Fuel savings as the difference in fuel use between the with CBD and counterfactual scenarios.</w:t>
      </w:r>
    </w:p>
    <w:p w14:paraId="14011790" w14:textId="77777777" w:rsidR="001953A7" w:rsidRPr="00BA03EE" w:rsidRDefault="001953A7" w:rsidP="001953A7">
      <w:pPr>
        <w:pStyle w:val="Heading10"/>
        <w:rPr>
          <w:rFonts w:cstheme="majorHAnsi"/>
          <w:color w:val="9757A6" w:themeColor="text2"/>
          <w:sz w:val="22"/>
        </w:rPr>
      </w:pPr>
      <w:r w:rsidRPr="00BA03EE">
        <w:rPr>
          <w:rFonts w:cstheme="majorHAnsi"/>
          <w:color w:val="9757A6" w:themeColor="text2"/>
          <w:sz w:val="22"/>
        </w:rPr>
        <w:t xml:space="preserve">Electricity savings from </w:t>
      </w:r>
      <w:r w:rsidR="003C1148">
        <w:rPr>
          <w:rFonts w:cstheme="majorHAnsi"/>
          <w:color w:val="9757A6" w:themeColor="text2"/>
          <w:sz w:val="22"/>
        </w:rPr>
        <w:t xml:space="preserve">tenancy </w:t>
      </w:r>
      <w:r w:rsidRPr="00BA03EE">
        <w:rPr>
          <w:rFonts w:cstheme="majorHAnsi"/>
          <w:color w:val="9757A6" w:themeColor="text2"/>
          <w:sz w:val="22"/>
        </w:rPr>
        <w:t>lighting upgrades</w:t>
      </w:r>
    </w:p>
    <w:p w14:paraId="08F1BCA4" w14:textId="77777777" w:rsidR="001953A7" w:rsidRPr="00662B1A" w:rsidRDefault="001953A7" w:rsidP="001953A7">
      <w:pPr>
        <w:pStyle w:val="BodyText"/>
      </w:pPr>
      <w:r>
        <w:t xml:space="preserve">Estimates of electricity savings from </w:t>
      </w:r>
      <w:r w:rsidR="003C1148">
        <w:t xml:space="preserve">tenancy </w:t>
      </w:r>
      <w:r>
        <w:t xml:space="preserve">lighting upgrades have been derived from changes to total power capacity (MW) of </w:t>
      </w:r>
      <w:r w:rsidR="00F27A68">
        <w:t xml:space="preserve">tenancy lighting in </w:t>
      </w:r>
      <w:r>
        <w:t xml:space="preserve">commercial buildings </w:t>
      </w:r>
      <w:r w:rsidR="00F27A68">
        <w:t>attributable to CBD</w:t>
      </w:r>
      <w:r w:rsidR="00C84504">
        <w:t>,</w:t>
      </w:r>
      <w:r w:rsidR="00F27A68">
        <w:t xml:space="preserve"> </w:t>
      </w:r>
      <w:r>
        <w:t>and an assumed average capacity factor of 35</w:t>
      </w:r>
      <w:r w:rsidR="004B5E1F">
        <w:t xml:space="preserve"> per cent</w:t>
      </w:r>
      <w:r>
        <w:t xml:space="preserve"> (e.g</w:t>
      </w:r>
      <w:r w:rsidR="00CB3EC7">
        <w:t xml:space="preserve">. </w:t>
      </w:r>
      <w:r>
        <w:t>a 1 MW total reduction due to improvements in power density is estimated to result in approximately 300 MWh of electricity savings).</w:t>
      </w:r>
    </w:p>
    <w:p w14:paraId="3CDEA470" w14:textId="77777777" w:rsidR="001953A7" w:rsidRDefault="001953A7" w:rsidP="001953A7">
      <w:pPr>
        <w:pStyle w:val="Heading9"/>
        <w:numPr>
          <w:ilvl w:val="8"/>
          <w:numId w:val="20"/>
        </w:numPr>
      </w:pPr>
      <w:r>
        <w:t>Estimated fuel emissions intensities</w:t>
      </w:r>
    </w:p>
    <w:p w14:paraId="445733C1" w14:textId="77777777" w:rsidR="001953A7" w:rsidRDefault="001953A7" w:rsidP="001953A7">
      <w:pPr>
        <w:pStyle w:val="BodyText"/>
      </w:pPr>
      <w:r>
        <w:t xml:space="preserve">Emissions intensities for electricity, gas and diesel were derived from </w:t>
      </w:r>
      <w:r w:rsidR="008B0D36">
        <w:t xml:space="preserve">the </w:t>
      </w:r>
      <w:r w:rsidR="000332A4">
        <w:t xml:space="preserve">Australian Government Department of Environment </w:t>
      </w:r>
      <w:r w:rsidRPr="00C84504">
        <w:t>(2014)</w:t>
      </w:r>
      <w:r w:rsidR="00CB3EC7">
        <w:rPr>
          <w:b/>
        </w:rPr>
        <w:t xml:space="preserve">. </w:t>
      </w:r>
      <w:r>
        <w:t xml:space="preserve">An average electricity emissions </w:t>
      </w:r>
      <w:r w:rsidR="00C84504">
        <w:t xml:space="preserve">intensity </w:t>
      </w:r>
      <w:r>
        <w:t>for Australia was estimated as the weighted average state grid emissions intensities (weighted by the state’s proportion of total building NLA for buildings in the NABERS database)</w:t>
      </w:r>
      <w:r w:rsidR="00CB3EC7">
        <w:t xml:space="preserve">. </w:t>
      </w:r>
      <w:r>
        <w:t xml:space="preserve">The resulting estimates of Australian average emissions intensities are shown in </w:t>
      </w:r>
      <w:r w:rsidR="00492194">
        <w:rPr>
          <w:b/>
        </w:rPr>
        <w:fldChar w:fldCharType="begin"/>
      </w:r>
      <w:r w:rsidR="00C84504">
        <w:instrText xml:space="preserve"> REF _Ref409630589 \h </w:instrText>
      </w:r>
      <w:r w:rsidR="00492194">
        <w:rPr>
          <w:b/>
        </w:rPr>
      </w:r>
      <w:r w:rsidR="00492194">
        <w:rPr>
          <w:b/>
        </w:rPr>
        <w:fldChar w:fldCharType="separate"/>
      </w:r>
      <w:r w:rsidR="006A273E">
        <w:t xml:space="preserve">Table </w:t>
      </w:r>
      <w:r w:rsidR="006A273E" w:rsidRPr="006A273E">
        <w:rPr>
          <w:noProof/>
          <w:lang w:val="en-US"/>
        </w:rPr>
        <w:t>A</w:t>
      </w:r>
      <w:r w:rsidR="006A273E">
        <w:rPr>
          <w:noProof/>
        </w:rPr>
        <w:t>6</w:t>
      </w:r>
      <w:r w:rsidR="00492194">
        <w:rPr>
          <w:b/>
        </w:rPr>
        <w:fldChar w:fldCharType="end"/>
      </w:r>
      <w:r>
        <w:t xml:space="preserve"> below.</w:t>
      </w:r>
    </w:p>
    <w:p w14:paraId="60694F80" w14:textId="77777777" w:rsidR="001953A7" w:rsidRPr="00857D65" w:rsidRDefault="001953A7" w:rsidP="001953A7">
      <w:pPr>
        <w:pStyle w:val="Caption"/>
        <w:rPr>
          <w:rStyle w:val="CaptionLabel"/>
          <w:rFonts w:asciiTheme="minorHAnsi" w:hAnsiTheme="minorHAnsi" w:cs="Times New Roman"/>
          <w:sz w:val="22"/>
          <w:szCs w:val="22"/>
          <w:lang w:eastAsia="en-AU"/>
        </w:rPr>
      </w:pPr>
      <w:bookmarkStart w:id="724" w:name="_Ref409630589"/>
      <w:bookmarkStart w:id="725" w:name="_Toc409536692"/>
      <w:bookmarkStart w:id="726" w:name="_Toc415661037"/>
      <w:r>
        <w:t xml:space="preserve">Table </w:t>
      </w:r>
      <w:r w:rsidR="00366ADF">
        <w:fldChar w:fldCharType="begin"/>
      </w:r>
      <w:r w:rsidR="00366ADF">
        <w:instrText xml:space="preserve"> STYLEREF 7 \s \* MERGEFORMA</w:instrText>
      </w:r>
      <w:r w:rsidR="00366ADF">
        <w:instrText xml:space="preserve">T </w:instrText>
      </w:r>
      <w:r w:rsidR="00366ADF">
        <w:fldChar w:fldCharType="separate"/>
      </w:r>
      <w:r w:rsidR="006A273E" w:rsidRPr="006A273E">
        <w:rPr>
          <w:noProof/>
          <w:lang w:val="en-US"/>
        </w:rPr>
        <w:t>A</w:t>
      </w:r>
      <w:r w:rsidR="00366ADF">
        <w:rPr>
          <w:noProof/>
          <w:lang w:val="en-US"/>
        </w:rPr>
        <w:fldChar w:fldCharType="end"/>
      </w:r>
      <w:r w:rsidR="00492194">
        <w:fldChar w:fldCharType="begin"/>
      </w:r>
      <w:r w:rsidR="0044208C">
        <w:instrText xml:space="preserve"> SEQ Table \s 7\* ARABIC </w:instrText>
      </w:r>
      <w:r w:rsidR="00492194">
        <w:fldChar w:fldCharType="separate"/>
      </w:r>
      <w:r w:rsidR="006A273E">
        <w:rPr>
          <w:noProof/>
        </w:rPr>
        <w:t>6</w:t>
      </w:r>
      <w:r w:rsidR="00492194">
        <w:rPr>
          <w:noProof/>
        </w:rPr>
        <w:fldChar w:fldCharType="end"/>
      </w:r>
      <w:bookmarkEnd w:id="724"/>
      <w:r w:rsidRPr="004C2569">
        <w:tab/>
      </w:r>
      <w:r>
        <w:rPr>
          <w:rStyle w:val="CaptionLabel"/>
        </w:rPr>
        <w:t>Assumed emissions intensities for CBA</w:t>
      </w:r>
      <w:bookmarkEnd w:id="725"/>
      <w:bookmarkEnd w:id="726"/>
    </w:p>
    <w:tbl>
      <w:tblPr>
        <w:tblStyle w:val="ACILAllenTable"/>
        <w:tblW w:w="0" w:type="auto"/>
        <w:tblLook w:val="04A0" w:firstRow="1" w:lastRow="0" w:firstColumn="1" w:lastColumn="0" w:noHBand="0" w:noVBand="1"/>
        <w:tblCaption w:val="Assumed emissions intensities for CBA"/>
        <w:tblDescription w:val="Assumed emissions intensities for CBA"/>
      </w:tblPr>
      <w:tblGrid>
        <w:gridCol w:w="4111"/>
        <w:gridCol w:w="3261"/>
      </w:tblGrid>
      <w:tr w:rsidR="001953A7" w:rsidRPr="00474D6E" w14:paraId="49990342" w14:textId="77777777" w:rsidTr="00CF4527">
        <w:trPr>
          <w:cnfStyle w:val="100000000000" w:firstRow="1" w:lastRow="0" w:firstColumn="0" w:lastColumn="0" w:oddVBand="0" w:evenVBand="0" w:oddHBand="0" w:evenHBand="0" w:firstRowFirstColumn="0" w:firstRowLastColumn="0" w:lastRowFirstColumn="0" w:lastRowLastColumn="0"/>
          <w:tblHeader/>
        </w:trPr>
        <w:tc>
          <w:tcPr>
            <w:tcW w:w="4111" w:type="dxa"/>
          </w:tcPr>
          <w:p w14:paraId="431BB9EA" w14:textId="77777777" w:rsidR="001953A7" w:rsidRPr="00D20FCC" w:rsidRDefault="001953A7" w:rsidP="00DD31C2">
            <w:pPr>
              <w:pStyle w:val="Tabletext"/>
              <w:rPr>
                <w:color w:val="FFFFFF" w:themeColor="background1"/>
              </w:rPr>
            </w:pPr>
            <w:r w:rsidRPr="00D20FCC">
              <w:rPr>
                <w:color w:val="FFFFFF" w:themeColor="background1"/>
              </w:rPr>
              <w:t xml:space="preserve">Fuel </w:t>
            </w:r>
          </w:p>
        </w:tc>
        <w:tc>
          <w:tcPr>
            <w:tcW w:w="3261" w:type="dxa"/>
          </w:tcPr>
          <w:p w14:paraId="19B82CBD" w14:textId="77777777" w:rsidR="001953A7" w:rsidRPr="00D20FCC" w:rsidRDefault="001953A7" w:rsidP="005E7DDA">
            <w:pPr>
              <w:pStyle w:val="Tabletext"/>
              <w:jc w:val="center"/>
              <w:rPr>
                <w:color w:val="FFFFFF" w:themeColor="background1"/>
              </w:rPr>
            </w:pPr>
            <w:r w:rsidRPr="00D20FCC">
              <w:rPr>
                <w:color w:val="FFFFFF" w:themeColor="background1"/>
              </w:rPr>
              <w:t>Assumed emissions intensity</w:t>
            </w:r>
          </w:p>
        </w:tc>
      </w:tr>
      <w:tr w:rsidR="001953A7" w:rsidRPr="00474D6E" w14:paraId="68275153" w14:textId="77777777">
        <w:tc>
          <w:tcPr>
            <w:tcW w:w="4111" w:type="dxa"/>
          </w:tcPr>
          <w:p w14:paraId="0E1EE873" w14:textId="77777777" w:rsidR="001953A7" w:rsidRPr="00D20FCC" w:rsidRDefault="001953A7" w:rsidP="00DD31C2">
            <w:pPr>
              <w:pStyle w:val="Tabletext"/>
            </w:pPr>
            <w:r>
              <w:t>Electricity</w:t>
            </w:r>
          </w:p>
        </w:tc>
        <w:tc>
          <w:tcPr>
            <w:tcW w:w="3261" w:type="dxa"/>
          </w:tcPr>
          <w:p w14:paraId="52C845B7" w14:textId="77777777" w:rsidR="001953A7" w:rsidRPr="00D20FCC" w:rsidRDefault="001953A7" w:rsidP="005E7DDA">
            <w:pPr>
              <w:pStyle w:val="Tabletext"/>
              <w:jc w:val="center"/>
            </w:pPr>
            <w:r w:rsidRPr="007E0652">
              <w:t>0.90139</w:t>
            </w:r>
            <w:r>
              <w:t xml:space="preserve"> kg/kWh</w:t>
            </w:r>
          </w:p>
        </w:tc>
      </w:tr>
      <w:tr w:rsidR="001953A7" w:rsidRPr="00474D6E" w14:paraId="63E6EFFB" w14:textId="77777777">
        <w:tc>
          <w:tcPr>
            <w:tcW w:w="4111" w:type="dxa"/>
          </w:tcPr>
          <w:p w14:paraId="4767C0CF" w14:textId="77777777" w:rsidR="001953A7" w:rsidRPr="00D20FCC" w:rsidRDefault="001953A7" w:rsidP="00DD31C2">
            <w:pPr>
              <w:pStyle w:val="Tabletext"/>
            </w:pPr>
            <w:r>
              <w:t>Gas</w:t>
            </w:r>
          </w:p>
        </w:tc>
        <w:tc>
          <w:tcPr>
            <w:tcW w:w="3261" w:type="dxa"/>
          </w:tcPr>
          <w:p w14:paraId="725C8F00" w14:textId="77777777" w:rsidR="001953A7" w:rsidRPr="00D20FCC" w:rsidRDefault="001953A7" w:rsidP="005E7DDA">
            <w:pPr>
              <w:pStyle w:val="Tabletext"/>
              <w:jc w:val="center"/>
            </w:pPr>
            <w:r w:rsidRPr="007E0652">
              <w:t>0.05133</w:t>
            </w:r>
            <w:r>
              <w:t xml:space="preserve"> kg/MJ</w:t>
            </w:r>
          </w:p>
        </w:tc>
      </w:tr>
      <w:tr w:rsidR="001953A7" w:rsidRPr="00474D6E" w14:paraId="0DBB22E6" w14:textId="77777777">
        <w:tc>
          <w:tcPr>
            <w:tcW w:w="4111" w:type="dxa"/>
          </w:tcPr>
          <w:p w14:paraId="2D914920" w14:textId="77777777" w:rsidR="001953A7" w:rsidRPr="00D20FCC" w:rsidRDefault="001953A7" w:rsidP="00DD31C2">
            <w:pPr>
              <w:pStyle w:val="Tabletext"/>
            </w:pPr>
            <w:r>
              <w:t>Diesel</w:t>
            </w:r>
          </w:p>
        </w:tc>
        <w:tc>
          <w:tcPr>
            <w:tcW w:w="3261" w:type="dxa"/>
          </w:tcPr>
          <w:p w14:paraId="39AF1B67" w14:textId="77777777" w:rsidR="001953A7" w:rsidRPr="00D20FCC" w:rsidRDefault="001953A7" w:rsidP="005E7DDA">
            <w:pPr>
              <w:pStyle w:val="Tabletext"/>
              <w:jc w:val="center"/>
            </w:pPr>
            <w:r w:rsidRPr="007E0652">
              <w:t>2.68270</w:t>
            </w:r>
            <w:r>
              <w:t xml:space="preserve"> kg/L</w:t>
            </w:r>
          </w:p>
        </w:tc>
      </w:tr>
    </w:tbl>
    <w:p w14:paraId="5F369B48" w14:textId="77777777" w:rsidR="001953A7" w:rsidRPr="000B11FF" w:rsidRDefault="001953A7" w:rsidP="001953A7">
      <w:pPr>
        <w:pStyle w:val="Source"/>
      </w:pPr>
      <w:r w:rsidRPr="000B11FF">
        <w:t xml:space="preserve">Source: </w:t>
      </w:r>
      <w:r>
        <w:t>NGA (2014), NABERS Database</w:t>
      </w:r>
    </w:p>
    <w:p w14:paraId="4CF00F2B" w14:textId="77777777" w:rsidR="001953A7" w:rsidRDefault="001953A7" w:rsidP="001953A7">
      <w:pPr>
        <w:pStyle w:val="BodyText"/>
      </w:pPr>
      <w:r>
        <w:t>The same emissions intensities have been applied for all years of analysis</w:t>
      </w:r>
      <w:r w:rsidR="00CB3EC7">
        <w:t xml:space="preserve">. </w:t>
      </w:r>
      <w:r w:rsidR="004354AE">
        <w:t xml:space="preserve">Although </w:t>
      </w:r>
      <w:r>
        <w:t>average electricity grid intensity is expected to decline over time, future emissions reduction from energy efficiency will depend primarily on the intensity of displaced electricity generation, rather than the average intensity itself</w:t>
      </w:r>
      <w:r w:rsidR="00CB3EC7">
        <w:t xml:space="preserve">. </w:t>
      </w:r>
      <w:r>
        <w:t>This displaced generation may have a lower or higher energy intensity than the grid average</w:t>
      </w:r>
      <w:r w:rsidR="00CB3EC7">
        <w:t xml:space="preserve">. </w:t>
      </w:r>
      <w:r>
        <w:t xml:space="preserve">Therefore, the </w:t>
      </w:r>
      <w:r w:rsidR="004354AE">
        <w:t xml:space="preserve">assumed emissions </w:t>
      </w:r>
      <w:r>
        <w:t>intensity</w:t>
      </w:r>
      <w:r w:rsidR="004354AE">
        <w:t xml:space="preserve"> factor applying to energy efficiency improvements</w:t>
      </w:r>
      <w:r>
        <w:t xml:space="preserve"> is </w:t>
      </w:r>
      <w:r w:rsidR="004354AE">
        <w:t>not reduced over time</w:t>
      </w:r>
      <w:r>
        <w:t>.</w:t>
      </w:r>
    </w:p>
    <w:p w14:paraId="3082C1AF" w14:textId="77777777" w:rsidR="001953A7" w:rsidRDefault="001953A7" w:rsidP="001953A7">
      <w:pPr>
        <w:pStyle w:val="Heading8"/>
        <w:numPr>
          <w:ilvl w:val="7"/>
          <w:numId w:val="20"/>
        </w:numPr>
      </w:pPr>
      <w:bookmarkStart w:id="727" w:name="_Ref409624232"/>
      <w:r>
        <w:t>Increase in productivity</w:t>
      </w:r>
      <w:bookmarkEnd w:id="727"/>
    </w:p>
    <w:p w14:paraId="234D20FB" w14:textId="77777777" w:rsidR="001953A7" w:rsidRPr="001D422C" w:rsidRDefault="001953A7" w:rsidP="001953A7">
      <w:pPr>
        <w:pStyle w:val="BodyText"/>
      </w:pPr>
      <w:r w:rsidRPr="001D422C">
        <w:t>In May 2009, CBRE and the University of San Diego surveyed 534 managers of tenant companies that moved from standard buildings into buildings with ENERGY STAR labels or Leadership in Energy and Environmental Design (LEED) certifications</w:t>
      </w:r>
      <w:r>
        <w:t xml:space="preserve"> </w:t>
      </w:r>
      <w:r w:rsidRPr="0053138F">
        <w:t>(Norm et al</w:t>
      </w:r>
      <w:r w:rsidR="00CB3EC7" w:rsidRPr="0053138F">
        <w:t>.</w:t>
      </w:r>
      <w:r w:rsidR="00CB3EC7">
        <w:t xml:space="preserve"> </w:t>
      </w:r>
      <w:r w:rsidRPr="0053138F">
        <w:t>2009)</w:t>
      </w:r>
      <w:r w:rsidRPr="001D422C">
        <w:t>.</w:t>
      </w:r>
    </w:p>
    <w:p w14:paraId="60F6FED2" w14:textId="77777777" w:rsidR="001953A7" w:rsidRPr="001D422C" w:rsidRDefault="00622DBA" w:rsidP="001953A7">
      <w:pPr>
        <w:pStyle w:val="BodyText"/>
      </w:pPr>
      <w:r>
        <w:t>Forty-two-and-a-half (</w:t>
      </w:r>
      <w:r w:rsidR="001953A7" w:rsidRPr="001D422C">
        <w:t>42.5</w:t>
      </w:r>
      <w:r>
        <w:t>)</w:t>
      </w:r>
      <w:r w:rsidR="001953A7">
        <w:t xml:space="preserve"> per cent</w:t>
      </w:r>
      <w:r w:rsidR="001953A7" w:rsidRPr="001D422C">
        <w:t xml:space="preserve"> agreed that employees were more productive</w:t>
      </w:r>
      <w:r>
        <w:t>,</w:t>
      </w:r>
      <w:r w:rsidR="001953A7" w:rsidRPr="001D422C">
        <w:t xml:space="preserve"> with a perceived average productivity increase of 4.88</w:t>
      </w:r>
      <w:r w:rsidR="001953A7">
        <w:t xml:space="preserve"> per cent.</w:t>
      </w:r>
    </w:p>
    <w:p w14:paraId="7E9A9C9F" w14:textId="3CF07D3A" w:rsidR="001953A7" w:rsidRDefault="001953A7" w:rsidP="001953A7">
      <w:pPr>
        <w:pStyle w:val="BodyText"/>
      </w:pPr>
      <w:r w:rsidRPr="001D422C">
        <w:t xml:space="preserve">Making further assumptions (and adjustments for uncertainty) results in a potential productivity </w:t>
      </w:r>
      <w:r w:rsidRPr="00205A01">
        <w:t xml:space="preserve">benefit of </w:t>
      </w:r>
      <w:r w:rsidRPr="003F5F13">
        <w:t>$</w:t>
      </w:r>
      <w:r w:rsidR="0053138F" w:rsidRPr="003F5F13">
        <w:t>3</w:t>
      </w:r>
      <w:r w:rsidRPr="003F5F13">
        <w:t>.</w:t>
      </w:r>
      <w:r w:rsidR="0053138F" w:rsidRPr="003F5F13">
        <w:t>07 per star and square met</w:t>
      </w:r>
      <w:r w:rsidR="00622DBA">
        <w:t>re</w:t>
      </w:r>
      <w:r w:rsidR="0053138F">
        <w:t xml:space="preserve"> </w:t>
      </w:r>
      <w:r>
        <w:t xml:space="preserve">as shown in </w:t>
      </w:r>
      <w:r w:rsidR="00492194">
        <w:rPr>
          <w:b/>
          <w:highlight w:val="yellow"/>
        </w:rPr>
        <w:fldChar w:fldCharType="begin"/>
      </w:r>
      <w:r w:rsidR="0053138F">
        <w:instrText xml:space="preserve"> REF _Ref409630736 \h </w:instrText>
      </w:r>
      <w:r w:rsidR="00492194">
        <w:rPr>
          <w:b/>
          <w:highlight w:val="yellow"/>
        </w:rPr>
      </w:r>
      <w:r w:rsidR="00492194">
        <w:rPr>
          <w:b/>
          <w:highlight w:val="yellow"/>
        </w:rPr>
        <w:fldChar w:fldCharType="separate"/>
      </w:r>
      <w:r w:rsidR="006A273E">
        <w:t xml:space="preserve">Table </w:t>
      </w:r>
      <w:r w:rsidR="006A273E" w:rsidRPr="006A273E">
        <w:rPr>
          <w:noProof/>
          <w:lang w:val="en-US"/>
        </w:rPr>
        <w:t>A</w:t>
      </w:r>
      <w:r w:rsidR="006A273E">
        <w:rPr>
          <w:noProof/>
        </w:rPr>
        <w:t>7</w:t>
      </w:r>
      <w:r w:rsidR="00492194">
        <w:rPr>
          <w:b/>
          <w:highlight w:val="yellow"/>
        </w:rPr>
        <w:fldChar w:fldCharType="end"/>
      </w:r>
      <w:r>
        <w:t xml:space="preserve"> below.</w:t>
      </w:r>
    </w:p>
    <w:p w14:paraId="0C7773E7" w14:textId="77777777" w:rsidR="001953A7" w:rsidRPr="00857D65" w:rsidRDefault="001953A7" w:rsidP="001953A7">
      <w:pPr>
        <w:pStyle w:val="Caption"/>
        <w:rPr>
          <w:rStyle w:val="CaptionLabel"/>
          <w:rFonts w:asciiTheme="minorHAnsi" w:hAnsiTheme="minorHAnsi" w:cs="Times New Roman"/>
          <w:sz w:val="22"/>
          <w:szCs w:val="22"/>
          <w:lang w:eastAsia="en-AU"/>
        </w:rPr>
      </w:pPr>
      <w:bookmarkStart w:id="728" w:name="_Ref409630736"/>
      <w:bookmarkStart w:id="729" w:name="_Toc409536693"/>
      <w:bookmarkStart w:id="730" w:name="_Toc415661038"/>
      <w:r>
        <w:lastRenderedPageBreak/>
        <w:t xml:space="preserve">Table </w:t>
      </w:r>
      <w:r w:rsidR="00366ADF">
        <w:fldChar w:fldCharType="begin"/>
      </w:r>
      <w:r w:rsidR="00366ADF">
        <w:instrText xml:space="preserve"> STYLEREF 7 \s \* MERGEFORMAT </w:instrText>
      </w:r>
      <w:r w:rsidR="00366ADF">
        <w:fldChar w:fldCharType="separate"/>
      </w:r>
      <w:r w:rsidR="006A273E" w:rsidRPr="006A273E">
        <w:rPr>
          <w:noProof/>
          <w:lang w:val="en-US"/>
        </w:rPr>
        <w:t>A</w:t>
      </w:r>
      <w:r w:rsidR="00366ADF">
        <w:rPr>
          <w:noProof/>
          <w:lang w:val="en-US"/>
        </w:rPr>
        <w:fldChar w:fldCharType="end"/>
      </w:r>
      <w:r w:rsidR="00492194">
        <w:fldChar w:fldCharType="begin"/>
      </w:r>
      <w:r w:rsidR="0044208C">
        <w:instrText xml:space="preserve"> SEQ Table \s 7\* ARABIC </w:instrText>
      </w:r>
      <w:r w:rsidR="00492194">
        <w:fldChar w:fldCharType="separate"/>
      </w:r>
      <w:r w:rsidR="006A273E">
        <w:rPr>
          <w:noProof/>
        </w:rPr>
        <w:t>7</w:t>
      </w:r>
      <w:r w:rsidR="00492194">
        <w:rPr>
          <w:noProof/>
        </w:rPr>
        <w:fldChar w:fldCharType="end"/>
      </w:r>
      <w:bookmarkEnd w:id="728"/>
      <w:r w:rsidRPr="004C2569">
        <w:tab/>
      </w:r>
      <w:r>
        <w:rPr>
          <w:rStyle w:val="CaptionLabel"/>
        </w:rPr>
        <w:t>Assumed value of productivity improvements due to improvements in star rating</w:t>
      </w:r>
      <w:bookmarkEnd w:id="729"/>
      <w:bookmarkEnd w:id="730"/>
    </w:p>
    <w:tbl>
      <w:tblPr>
        <w:tblStyle w:val="ACILAllenTable"/>
        <w:tblW w:w="7230" w:type="dxa"/>
        <w:tblLook w:val="04A0" w:firstRow="1" w:lastRow="0" w:firstColumn="1" w:lastColumn="0" w:noHBand="0" w:noVBand="1"/>
        <w:tblCaption w:val="Assumed value of productivity improvements due to improvements in star rating"/>
        <w:tblDescription w:val="Assumed value of productivity improvements due to improvements in star rating"/>
      </w:tblPr>
      <w:tblGrid>
        <w:gridCol w:w="2977"/>
        <w:gridCol w:w="1843"/>
        <w:gridCol w:w="2410"/>
      </w:tblGrid>
      <w:tr w:rsidR="001953A7" w:rsidRPr="00474D6E" w14:paraId="60315659" w14:textId="77777777" w:rsidTr="00CF4527">
        <w:trPr>
          <w:cnfStyle w:val="100000000000" w:firstRow="1" w:lastRow="0" w:firstColumn="0" w:lastColumn="0" w:oddVBand="0" w:evenVBand="0" w:oddHBand="0" w:evenHBand="0" w:firstRowFirstColumn="0" w:firstRowLastColumn="0" w:lastRowFirstColumn="0" w:lastRowLastColumn="0"/>
          <w:tblHeader/>
        </w:trPr>
        <w:tc>
          <w:tcPr>
            <w:tcW w:w="2977" w:type="dxa"/>
          </w:tcPr>
          <w:p w14:paraId="5DA62D5F" w14:textId="77777777" w:rsidR="001953A7" w:rsidRPr="00D20FCC" w:rsidRDefault="001953A7" w:rsidP="00DD31C2">
            <w:pPr>
              <w:pStyle w:val="Tabletext"/>
              <w:rPr>
                <w:color w:val="FFFFFF" w:themeColor="background1"/>
              </w:rPr>
            </w:pPr>
            <w:r w:rsidRPr="00471245">
              <w:rPr>
                <w:color w:val="FFFFFF" w:themeColor="background1"/>
              </w:rPr>
              <w:t>Assumption/</w:t>
            </w:r>
            <w:r>
              <w:rPr>
                <w:color w:val="FFFFFF" w:themeColor="background1"/>
              </w:rPr>
              <w:t>a</w:t>
            </w:r>
            <w:r w:rsidRPr="00471245">
              <w:rPr>
                <w:color w:val="FFFFFF" w:themeColor="background1"/>
              </w:rPr>
              <w:t>djustment</w:t>
            </w:r>
          </w:p>
        </w:tc>
        <w:tc>
          <w:tcPr>
            <w:tcW w:w="1843" w:type="dxa"/>
          </w:tcPr>
          <w:p w14:paraId="4B278827" w14:textId="77777777" w:rsidR="001953A7" w:rsidRPr="00D20FCC" w:rsidRDefault="001953A7" w:rsidP="00DD31C2">
            <w:pPr>
              <w:pStyle w:val="Tabletext"/>
              <w:jc w:val="center"/>
              <w:rPr>
                <w:color w:val="FFFFFF" w:themeColor="background1"/>
              </w:rPr>
            </w:pPr>
            <w:r>
              <w:rPr>
                <w:color w:val="FFFFFF" w:themeColor="background1"/>
              </w:rPr>
              <w:t>Value</w:t>
            </w:r>
          </w:p>
        </w:tc>
        <w:tc>
          <w:tcPr>
            <w:tcW w:w="2410" w:type="dxa"/>
          </w:tcPr>
          <w:p w14:paraId="469F168F" w14:textId="77777777" w:rsidR="001953A7" w:rsidRPr="00D20FCC" w:rsidRDefault="001953A7" w:rsidP="00DD31C2">
            <w:pPr>
              <w:pStyle w:val="Tabletext"/>
              <w:jc w:val="center"/>
              <w:rPr>
                <w:color w:val="FFFFFF" w:themeColor="background1"/>
              </w:rPr>
            </w:pPr>
            <w:r>
              <w:rPr>
                <w:color w:val="FFFFFF" w:themeColor="background1"/>
              </w:rPr>
              <w:t>Source/note</w:t>
            </w:r>
          </w:p>
        </w:tc>
      </w:tr>
      <w:tr w:rsidR="001953A7" w:rsidRPr="00474D6E" w14:paraId="42BC7B3C" w14:textId="77777777">
        <w:tc>
          <w:tcPr>
            <w:tcW w:w="2977" w:type="dxa"/>
            <w:vAlign w:val="center"/>
          </w:tcPr>
          <w:p w14:paraId="5FCA6B79" w14:textId="77777777" w:rsidR="001953A7" w:rsidRPr="00D20FCC" w:rsidRDefault="001953A7" w:rsidP="00DD31C2">
            <w:pPr>
              <w:pStyle w:val="Tabletext"/>
            </w:pPr>
            <w:r w:rsidRPr="00471245">
              <w:t>Star improvement equivalent to ENERGY STAR or LEED certification</w:t>
            </w:r>
          </w:p>
        </w:tc>
        <w:tc>
          <w:tcPr>
            <w:tcW w:w="1843" w:type="dxa"/>
            <w:vAlign w:val="center"/>
          </w:tcPr>
          <w:p w14:paraId="7389E44F" w14:textId="77777777" w:rsidR="001953A7" w:rsidRPr="00D20FCC" w:rsidRDefault="001953A7" w:rsidP="00DD31C2">
            <w:pPr>
              <w:pStyle w:val="Tabletext"/>
              <w:jc w:val="center"/>
            </w:pPr>
            <w:r w:rsidRPr="00471245">
              <w:t>3 stars</w:t>
            </w:r>
          </w:p>
        </w:tc>
        <w:tc>
          <w:tcPr>
            <w:tcW w:w="2410" w:type="dxa"/>
            <w:vAlign w:val="center"/>
          </w:tcPr>
          <w:p w14:paraId="0C08A55C" w14:textId="77777777" w:rsidR="001953A7" w:rsidRPr="007E0652" w:rsidRDefault="001953A7" w:rsidP="00DD31C2">
            <w:pPr>
              <w:pStyle w:val="Tabletext"/>
              <w:jc w:val="center"/>
            </w:pPr>
            <w:r>
              <w:t>ACIL Allen assumption</w:t>
            </w:r>
          </w:p>
        </w:tc>
      </w:tr>
      <w:tr w:rsidR="001953A7" w:rsidRPr="00474D6E" w14:paraId="75F13746" w14:textId="77777777">
        <w:tc>
          <w:tcPr>
            <w:tcW w:w="2977" w:type="dxa"/>
            <w:vAlign w:val="center"/>
          </w:tcPr>
          <w:p w14:paraId="53D08B35" w14:textId="77777777" w:rsidR="001953A7" w:rsidRPr="00D20FCC" w:rsidRDefault="001953A7" w:rsidP="00DD31C2">
            <w:pPr>
              <w:pStyle w:val="Tabletext"/>
            </w:pPr>
            <w:r w:rsidRPr="00471245">
              <w:t>Productivity gain per star improvement (unadjusted)</w:t>
            </w:r>
          </w:p>
        </w:tc>
        <w:tc>
          <w:tcPr>
            <w:tcW w:w="1843" w:type="dxa"/>
            <w:vAlign w:val="center"/>
          </w:tcPr>
          <w:p w14:paraId="02794500" w14:textId="77777777" w:rsidR="001953A7" w:rsidRPr="00D20FCC" w:rsidRDefault="001953A7" w:rsidP="00DD31C2">
            <w:pPr>
              <w:pStyle w:val="Tabletext"/>
              <w:jc w:val="center"/>
            </w:pPr>
            <w:r w:rsidRPr="00471245">
              <w:t>0.7%</w:t>
            </w:r>
          </w:p>
        </w:tc>
        <w:tc>
          <w:tcPr>
            <w:tcW w:w="2410" w:type="dxa"/>
            <w:vAlign w:val="center"/>
          </w:tcPr>
          <w:p w14:paraId="0158D530" w14:textId="77777777" w:rsidR="001953A7" w:rsidRPr="000F4ACA" w:rsidRDefault="001953A7" w:rsidP="00DD31C2">
            <w:pPr>
              <w:pStyle w:val="NormalWeb"/>
              <w:spacing w:before="0" w:after="0"/>
              <w:jc w:val="center"/>
              <w:textAlignment w:val="bottom"/>
              <w:rPr>
                <w:rFonts w:ascii="Arial" w:hAnsi="Arial"/>
                <w:color w:val="000000"/>
                <w:u w:val="single"/>
              </w:rPr>
            </w:pPr>
            <w:r w:rsidRPr="000F4ACA">
              <w:rPr>
                <w:rFonts w:ascii="Arial" w:hAnsi="Arial"/>
                <w:color w:val="000000"/>
                <w:u w:val="single"/>
              </w:rPr>
              <w:t>42.5% x 4.88%</w:t>
            </w:r>
          </w:p>
          <w:p w14:paraId="47F75128" w14:textId="77777777" w:rsidR="001953A7" w:rsidRPr="007E0652" w:rsidRDefault="001953A7" w:rsidP="00DD31C2">
            <w:pPr>
              <w:pStyle w:val="Tabletext"/>
              <w:jc w:val="center"/>
            </w:pPr>
            <w:r w:rsidRPr="00471245">
              <w:t>3</w:t>
            </w:r>
          </w:p>
        </w:tc>
      </w:tr>
      <w:tr w:rsidR="001953A7" w:rsidRPr="00474D6E" w14:paraId="6F1B1F40" w14:textId="77777777">
        <w:tc>
          <w:tcPr>
            <w:tcW w:w="2977" w:type="dxa"/>
            <w:vAlign w:val="center"/>
          </w:tcPr>
          <w:p w14:paraId="41E27E07" w14:textId="77777777" w:rsidR="001953A7" w:rsidRPr="00D20FCC" w:rsidRDefault="001953A7" w:rsidP="00DD31C2">
            <w:pPr>
              <w:pStyle w:val="Tabletext"/>
            </w:pPr>
            <w:r w:rsidRPr="00471245">
              <w:t>Productivity gain per star improvement (adjusted)</w:t>
            </w:r>
          </w:p>
        </w:tc>
        <w:tc>
          <w:tcPr>
            <w:tcW w:w="1843" w:type="dxa"/>
            <w:vAlign w:val="center"/>
          </w:tcPr>
          <w:p w14:paraId="2909A74A" w14:textId="77777777" w:rsidR="001953A7" w:rsidRPr="00D20FCC" w:rsidRDefault="001953A7" w:rsidP="00DD31C2">
            <w:pPr>
              <w:pStyle w:val="Tabletext"/>
              <w:jc w:val="center"/>
            </w:pPr>
            <w:r w:rsidRPr="00471245">
              <w:t>0.1%</w:t>
            </w:r>
          </w:p>
        </w:tc>
        <w:tc>
          <w:tcPr>
            <w:tcW w:w="2410" w:type="dxa"/>
            <w:vAlign w:val="center"/>
          </w:tcPr>
          <w:p w14:paraId="72638611" w14:textId="77777777" w:rsidR="001953A7" w:rsidRPr="007E0652" w:rsidRDefault="001953A7" w:rsidP="00DD31C2">
            <w:pPr>
              <w:pStyle w:val="Tabletext"/>
              <w:jc w:val="center"/>
            </w:pPr>
            <w:r w:rsidRPr="00471245">
              <w:t>Uncertainty in study (e.g</w:t>
            </w:r>
            <w:r w:rsidR="00CB3EC7" w:rsidRPr="00471245">
              <w:t>.</w:t>
            </w:r>
            <w:r w:rsidR="00CB3EC7">
              <w:t xml:space="preserve"> </w:t>
            </w:r>
            <w:r w:rsidRPr="00471245">
              <w:t>control of other factors, bias etc.)</w:t>
            </w:r>
          </w:p>
        </w:tc>
      </w:tr>
      <w:tr w:rsidR="001953A7" w:rsidRPr="00474D6E" w14:paraId="70D10D46" w14:textId="77777777">
        <w:tc>
          <w:tcPr>
            <w:tcW w:w="2977" w:type="dxa"/>
            <w:vAlign w:val="center"/>
          </w:tcPr>
          <w:p w14:paraId="7E8ADBCC" w14:textId="77777777" w:rsidR="001953A7" w:rsidRPr="00D20FCC" w:rsidRDefault="001953A7" w:rsidP="00DD31C2">
            <w:pPr>
              <w:pStyle w:val="Tabletext"/>
            </w:pPr>
            <w:r w:rsidRPr="00471245">
              <w:t xml:space="preserve">Average annual earnings per </w:t>
            </w:r>
            <w:r>
              <w:t xml:space="preserve">office </w:t>
            </w:r>
            <w:r w:rsidRPr="00471245">
              <w:t>worker</w:t>
            </w:r>
          </w:p>
        </w:tc>
        <w:tc>
          <w:tcPr>
            <w:tcW w:w="1843" w:type="dxa"/>
            <w:vAlign w:val="center"/>
          </w:tcPr>
          <w:p w14:paraId="301F2390" w14:textId="77777777" w:rsidR="001953A7" w:rsidRPr="00D20FCC" w:rsidRDefault="001953A7" w:rsidP="00DD31C2">
            <w:pPr>
              <w:pStyle w:val="Tabletext"/>
              <w:jc w:val="center"/>
            </w:pPr>
            <w:r w:rsidRPr="00471245">
              <w:t>$72,800</w:t>
            </w:r>
          </w:p>
        </w:tc>
        <w:tc>
          <w:tcPr>
            <w:tcW w:w="2410" w:type="dxa"/>
            <w:vAlign w:val="center"/>
          </w:tcPr>
          <w:p w14:paraId="35A407EE" w14:textId="77777777" w:rsidR="001953A7" w:rsidRPr="007E0652" w:rsidRDefault="001953A7" w:rsidP="00DD31C2">
            <w:pPr>
              <w:pStyle w:val="Tabletext"/>
              <w:jc w:val="center"/>
            </w:pPr>
            <w:r w:rsidRPr="00471245">
              <w:t>ABS Labour Force Survey</w:t>
            </w:r>
          </w:p>
        </w:tc>
      </w:tr>
      <w:tr w:rsidR="001953A7" w:rsidRPr="00474D6E" w14:paraId="5B997A7D" w14:textId="77777777">
        <w:tc>
          <w:tcPr>
            <w:tcW w:w="2977" w:type="dxa"/>
            <w:vAlign w:val="center"/>
          </w:tcPr>
          <w:p w14:paraId="1EF73223" w14:textId="77777777" w:rsidR="001953A7" w:rsidRPr="00D20FCC" w:rsidRDefault="001953A7" w:rsidP="00DD31C2">
            <w:pPr>
              <w:pStyle w:val="Tabletext"/>
            </w:pPr>
            <w:r w:rsidRPr="00471245">
              <w:t>Density (m</w:t>
            </w:r>
            <w:r w:rsidRPr="000F4ACA">
              <w:rPr>
                <w:vertAlign w:val="superscript"/>
              </w:rPr>
              <w:t>2</w:t>
            </w:r>
            <w:r w:rsidRPr="00471245">
              <w:t xml:space="preserve"> per worker)</w:t>
            </w:r>
          </w:p>
        </w:tc>
        <w:tc>
          <w:tcPr>
            <w:tcW w:w="1843" w:type="dxa"/>
            <w:vAlign w:val="center"/>
          </w:tcPr>
          <w:p w14:paraId="0C4B3E5D" w14:textId="77777777" w:rsidR="001953A7" w:rsidRPr="00D20FCC" w:rsidRDefault="001953A7" w:rsidP="00DD31C2">
            <w:pPr>
              <w:pStyle w:val="Tabletext"/>
              <w:jc w:val="center"/>
            </w:pPr>
            <w:r w:rsidRPr="00471245">
              <w:t>24</w:t>
            </w:r>
          </w:p>
        </w:tc>
        <w:tc>
          <w:tcPr>
            <w:tcW w:w="2410" w:type="dxa"/>
            <w:vAlign w:val="center"/>
          </w:tcPr>
          <w:p w14:paraId="3DA41A80" w14:textId="77777777" w:rsidR="001953A7" w:rsidRPr="007E0652" w:rsidRDefault="001953A7" w:rsidP="00DD31C2">
            <w:pPr>
              <w:pStyle w:val="Tabletext"/>
              <w:jc w:val="center"/>
            </w:pPr>
            <w:r w:rsidRPr="00471245">
              <w:t>Australian Government Office Occupancy Report, 2009</w:t>
            </w:r>
          </w:p>
        </w:tc>
      </w:tr>
      <w:tr w:rsidR="001953A7" w:rsidRPr="00474D6E" w14:paraId="547BDF76" w14:textId="77777777">
        <w:tc>
          <w:tcPr>
            <w:tcW w:w="2977" w:type="dxa"/>
            <w:shd w:val="clear" w:color="auto" w:fill="DBDBDB" w:themeFill="accent3" w:themeFillTint="66"/>
            <w:vAlign w:val="center"/>
          </w:tcPr>
          <w:p w14:paraId="29FCED05" w14:textId="77777777" w:rsidR="001953A7" w:rsidRPr="00D42C39" w:rsidRDefault="001953A7" w:rsidP="00DD31C2">
            <w:pPr>
              <w:pStyle w:val="Tabletext"/>
              <w:rPr>
                <w:b/>
              </w:rPr>
            </w:pPr>
            <w:r w:rsidRPr="00D42C39">
              <w:rPr>
                <w:b/>
              </w:rPr>
              <w:t>Estimated productivity benefit per star and m</w:t>
            </w:r>
            <w:r w:rsidRPr="00D42C39">
              <w:rPr>
                <w:b/>
                <w:vertAlign w:val="superscript"/>
              </w:rPr>
              <w:t>2</w:t>
            </w:r>
          </w:p>
        </w:tc>
        <w:tc>
          <w:tcPr>
            <w:tcW w:w="1843" w:type="dxa"/>
            <w:shd w:val="clear" w:color="auto" w:fill="DBDBDB" w:themeFill="accent3" w:themeFillTint="66"/>
            <w:vAlign w:val="center"/>
          </w:tcPr>
          <w:p w14:paraId="671DA9F6" w14:textId="77777777" w:rsidR="001953A7" w:rsidRPr="00D42C39" w:rsidRDefault="001953A7" w:rsidP="00DD31C2">
            <w:pPr>
              <w:pStyle w:val="Tabletext"/>
              <w:jc w:val="center"/>
              <w:rPr>
                <w:b/>
              </w:rPr>
            </w:pPr>
            <w:r w:rsidRPr="00D42C39">
              <w:rPr>
                <w:b/>
              </w:rPr>
              <w:t>$3.07 per star.m</w:t>
            </w:r>
            <w:r w:rsidRPr="00D42C39">
              <w:rPr>
                <w:b/>
                <w:vertAlign w:val="superscript"/>
              </w:rPr>
              <w:t>2</w:t>
            </w:r>
          </w:p>
        </w:tc>
        <w:tc>
          <w:tcPr>
            <w:tcW w:w="2410" w:type="dxa"/>
            <w:shd w:val="clear" w:color="auto" w:fill="DBDBDB" w:themeFill="accent3" w:themeFillTint="66"/>
            <w:vAlign w:val="center"/>
          </w:tcPr>
          <w:p w14:paraId="780E37B4" w14:textId="77777777" w:rsidR="001953A7" w:rsidRPr="00D42C39" w:rsidRDefault="001953A7" w:rsidP="00DD31C2">
            <w:pPr>
              <w:pStyle w:val="Tabletext"/>
              <w:jc w:val="center"/>
              <w:rPr>
                <w:b/>
              </w:rPr>
            </w:pPr>
            <w:r>
              <w:rPr>
                <w:b/>
              </w:rPr>
              <w:t>Applied to total improvements in star rating (see note below)</w:t>
            </w:r>
          </w:p>
        </w:tc>
      </w:tr>
    </w:tbl>
    <w:p w14:paraId="2F38A170" w14:textId="77777777" w:rsidR="001953A7" w:rsidRDefault="001953A7" w:rsidP="001953A7">
      <w:pPr>
        <w:pStyle w:val="Note"/>
      </w:pPr>
      <w:r>
        <w:rPr>
          <w:i/>
        </w:rPr>
        <w:t>Note:</w:t>
      </w:r>
      <w:r>
        <w:t xml:space="preserve"> The total annual productivity benefit for any given segment in the analysis is calculated as $3.07 </w:t>
      </w:r>
      <w:r>
        <w:rPr>
          <w:rFonts w:cs="Arial"/>
        </w:rPr>
        <w:t>×</w:t>
      </w:r>
      <w:r>
        <w:t xml:space="preserve"> (</w:t>
      </w:r>
      <w:r>
        <w:sym w:font="Symbol" w:char="F044"/>
      </w:r>
      <w:r>
        <w:t xml:space="preserve"> in average star rating) </w:t>
      </w:r>
      <w:r>
        <w:rPr>
          <w:rFonts w:cs="Arial"/>
        </w:rPr>
        <w:t>× (total estimated NLA of segment in m</w:t>
      </w:r>
      <w:r w:rsidRPr="000934A1">
        <w:rPr>
          <w:rFonts w:cs="Arial"/>
          <w:vertAlign w:val="superscript"/>
        </w:rPr>
        <w:t>2</w:t>
      </w:r>
      <w:r>
        <w:rPr>
          <w:rFonts w:cs="Arial"/>
        </w:rPr>
        <w:t>)</w:t>
      </w:r>
      <w:r w:rsidR="00622DBA">
        <w:rPr>
          <w:rFonts w:cs="Arial"/>
        </w:rPr>
        <w:t>.</w:t>
      </w:r>
    </w:p>
    <w:p w14:paraId="2A960AEC" w14:textId="77777777" w:rsidR="001953A7" w:rsidRPr="000B11FF" w:rsidRDefault="001953A7" w:rsidP="001953A7">
      <w:pPr>
        <w:pStyle w:val="Source"/>
      </w:pPr>
      <w:r w:rsidRPr="000B11FF">
        <w:t xml:space="preserve">Source: </w:t>
      </w:r>
      <w:r w:rsidR="0055787C">
        <w:t xml:space="preserve">Miller </w:t>
      </w:r>
      <w:r>
        <w:t>et al</w:t>
      </w:r>
      <w:r w:rsidR="00CB3EC7">
        <w:t xml:space="preserve">. </w:t>
      </w:r>
      <w:r>
        <w:t xml:space="preserve">(2009), ABS Labour Force Survey, </w:t>
      </w:r>
      <w:r w:rsidR="00446901">
        <w:t xml:space="preserve">Australian Government </w:t>
      </w:r>
      <w:r>
        <w:t>Department of Finance and Deregulation (2009)</w:t>
      </w:r>
    </w:p>
    <w:p w14:paraId="592DD347" w14:textId="77777777" w:rsidR="001953A7" w:rsidRPr="005B4DB4" w:rsidRDefault="001953A7" w:rsidP="001953A7">
      <w:pPr>
        <w:pStyle w:val="BodyText"/>
      </w:pPr>
    </w:p>
    <w:bookmarkEnd w:id="700"/>
    <w:bookmarkEnd w:id="701"/>
    <w:p w14:paraId="4E0F38F0" w14:textId="77777777" w:rsidR="00220BB7" w:rsidRDefault="00220BB7" w:rsidP="00E37B03">
      <w:pPr>
        <w:pStyle w:val="ListDash"/>
        <w:numPr>
          <w:ilvl w:val="0"/>
          <w:numId w:val="0"/>
        </w:numPr>
        <w:ind w:left="284" w:hanging="284"/>
      </w:pPr>
    </w:p>
    <w:p w14:paraId="3908297A" w14:textId="77777777" w:rsidR="00220BB7" w:rsidRDefault="00220BB7" w:rsidP="00E37B03">
      <w:pPr>
        <w:pStyle w:val="ListDash"/>
        <w:numPr>
          <w:ilvl w:val="0"/>
          <w:numId w:val="0"/>
        </w:numPr>
        <w:ind w:left="284" w:hanging="284"/>
        <w:sectPr w:rsidR="00220BB7">
          <w:footerReference w:type="default" r:id="rId66"/>
          <w:pgSz w:w="11907" w:h="16839" w:code="9"/>
          <w:pgMar w:top="1134" w:right="850" w:bottom="709" w:left="3118" w:header="709" w:footer="567" w:gutter="567"/>
          <w:pgNumType w:start="1" w:chapStyle="7"/>
          <w:cols w:space="720"/>
          <w:docGrid w:linePitch="326"/>
        </w:sectPr>
      </w:pPr>
    </w:p>
    <w:tbl>
      <w:tblPr>
        <w:tblStyle w:val="TableGrid"/>
        <w:tblW w:w="6563" w:type="dxa"/>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IL Allen contact details"/>
        <w:tblDescription w:val="ACIL Allen contact details"/>
      </w:tblPr>
      <w:tblGrid>
        <w:gridCol w:w="4011"/>
        <w:gridCol w:w="2552"/>
      </w:tblGrid>
      <w:tr w:rsidR="00220BB7" w14:paraId="6246E8C7" w14:textId="77777777" w:rsidTr="00CF4527">
        <w:trPr>
          <w:trHeight w:hRule="exact" w:val="7824"/>
          <w:tblHeader/>
        </w:trPr>
        <w:tc>
          <w:tcPr>
            <w:tcW w:w="4011" w:type="dxa"/>
          </w:tcPr>
          <w:p w14:paraId="6CA4AAC6" w14:textId="77777777" w:rsidR="00220BB7" w:rsidRDefault="00220BB7" w:rsidP="005609B3"/>
        </w:tc>
        <w:tc>
          <w:tcPr>
            <w:tcW w:w="2552" w:type="dxa"/>
          </w:tcPr>
          <w:p w14:paraId="043865AB" w14:textId="77777777" w:rsidR="00220BB7" w:rsidRPr="00434A86" w:rsidRDefault="00220BB7" w:rsidP="005609B3">
            <w:pPr>
              <w:pStyle w:val="Contact"/>
            </w:pPr>
            <w:r w:rsidRPr="00434A86">
              <w:t>ACIL ALLEN CONSULTING PTY LTD</w:t>
            </w:r>
            <w:r w:rsidRPr="00434A86">
              <w:br/>
              <w:t>ABN 68 102 652 148</w:t>
            </w:r>
          </w:p>
          <w:p w14:paraId="02A10ECB" w14:textId="77777777" w:rsidR="00220BB7" w:rsidRPr="00434A86" w:rsidRDefault="00220BB7" w:rsidP="005609B3">
            <w:pPr>
              <w:pStyle w:val="Contact"/>
            </w:pPr>
            <w:r w:rsidRPr="00434A86">
              <w:t>Level FIFTEEN</w:t>
            </w:r>
            <w:r w:rsidRPr="00434A86">
              <w:br/>
              <w:t>127 Creek Street</w:t>
            </w:r>
            <w:r w:rsidRPr="00434A86">
              <w:br/>
              <w:t>Brisbane QLD 4000</w:t>
            </w:r>
            <w:r w:rsidRPr="00434A86">
              <w:br/>
              <w:t>Australia</w:t>
            </w:r>
            <w:r w:rsidRPr="00434A86">
              <w:br/>
              <w:t>T+61 7 3009 8700</w:t>
            </w:r>
            <w:r w:rsidRPr="00434A86">
              <w:br/>
              <w:t>F+61 7 3009 8799</w:t>
            </w:r>
          </w:p>
          <w:p w14:paraId="77C121AA" w14:textId="77777777" w:rsidR="00220BB7" w:rsidRPr="00434A86" w:rsidRDefault="00220BB7" w:rsidP="005609B3">
            <w:pPr>
              <w:pStyle w:val="Contact"/>
            </w:pPr>
            <w:r w:rsidRPr="00434A86">
              <w:t xml:space="preserve">Level </w:t>
            </w:r>
            <w:r>
              <w:t>TWO</w:t>
            </w:r>
            <w:r>
              <w:br/>
              <w:t>33 Ainslie Place</w:t>
            </w:r>
            <w:r>
              <w:br/>
              <w:t>CAN</w:t>
            </w:r>
            <w:r w:rsidRPr="00434A86">
              <w:t>BERRA ACT 2600</w:t>
            </w:r>
            <w:r w:rsidRPr="00434A86">
              <w:br/>
              <w:t>AUSTRALIA</w:t>
            </w:r>
            <w:r w:rsidRPr="00434A86">
              <w:br/>
              <w:t>T+61 2 6103 8200</w:t>
            </w:r>
            <w:r w:rsidRPr="00434A86">
              <w:br/>
              <w:t>F+61 2 6103 8233</w:t>
            </w:r>
          </w:p>
          <w:p w14:paraId="47355F23" w14:textId="77777777" w:rsidR="00220BB7" w:rsidRPr="00434A86" w:rsidRDefault="00220BB7" w:rsidP="005609B3">
            <w:pPr>
              <w:pStyle w:val="Contact"/>
            </w:pPr>
            <w:r w:rsidRPr="00434A86">
              <w:t>Level NINE</w:t>
            </w:r>
            <w:r w:rsidRPr="00434A86">
              <w:br/>
              <w:t>60 Collins Street</w:t>
            </w:r>
            <w:r w:rsidRPr="00434A86">
              <w:br/>
              <w:t>MELBOURNE VIC 3000</w:t>
            </w:r>
            <w:r w:rsidRPr="00434A86">
              <w:br/>
              <w:t>AUSTRALIA</w:t>
            </w:r>
            <w:r w:rsidRPr="00434A86">
              <w:br/>
              <w:t>T+61 3 8650 6000</w:t>
            </w:r>
            <w:r w:rsidRPr="00434A86">
              <w:br/>
              <w:t>F+61 3 9654 6363</w:t>
            </w:r>
          </w:p>
          <w:p w14:paraId="658F8D2A" w14:textId="77777777" w:rsidR="00220BB7" w:rsidRPr="00434A86" w:rsidRDefault="00220BB7" w:rsidP="005609B3">
            <w:pPr>
              <w:pStyle w:val="Contact"/>
            </w:pPr>
            <w:r w:rsidRPr="00434A86">
              <w:t>Level one</w:t>
            </w:r>
            <w:r w:rsidRPr="00434A86">
              <w:br/>
              <w:t>50 Pitt Street</w:t>
            </w:r>
            <w:r w:rsidRPr="00434A86">
              <w:br/>
              <w:t>SYDNEY NSW 2000</w:t>
            </w:r>
            <w:r w:rsidRPr="00434A86">
              <w:br/>
              <w:t>AUSTRALIA</w:t>
            </w:r>
            <w:r w:rsidRPr="00434A86">
              <w:br/>
              <w:t>T+61 2 8272 5100</w:t>
            </w:r>
            <w:r w:rsidRPr="00434A86">
              <w:br/>
              <w:t>F+61 2 9247 2455</w:t>
            </w:r>
          </w:p>
          <w:p w14:paraId="4F278116" w14:textId="77777777" w:rsidR="00220BB7" w:rsidRPr="00434A86" w:rsidRDefault="00220BB7" w:rsidP="005609B3">
            <w:pPr>
              <w:pStyle w:val="Contact"/>
            </w:pPr>
            <w:r w:rsidRPr="00434A86">
              <w:t>Suite C2 Centa Building</w:t>
            </w:r>
            <w:r w:rsidRPr="00434A86">
              <w:br/>
              <w:t>118 Railway Street</w:t>
            </w:r>
            <w:r w:rsidRPr="00434A86">
              <w:br/>
              <w:t>WEST PERTH WA 6005</w:t>
            </w:r>
            <w:r w:rsidRPr="00434A86">
              <w:br/>
              <w:t>AUSTRALIA</w:t>
            </w:r>
            <w:r w:rsidRPr="00434A86">
              <w:br/>
              <w:t>T+61 8 9449 9600</w:t>
            </w:r>
            <w:r w:rsidRPr="00434A86">
              <w:br/>
              <w:t>F+61 8 9322 3955</w:t>
            </w:r>
          </w:p>
          <w:p w14:paraId="39901A5C" w14:textId="77777777" w:rsidR="00220BB7" w:rsidRPr="00434A86" w:rsidRDefault="00220BB7" w:rsidP="005609B3">
            <w:pPr>
              <w:pStyle w:val="Contact"/>
            </w:pPr>
            <w:r w:rsidRPr="00434A86">
              <w:t>Acilallen.com.au</w:t>
            </w:r>
          </w:p>
          <w:p w14:paraId="68500E71" w14:textId="77777777" w:rsidR="00220BB7" w:rsidRDefault="00220BB7" w:rsidP="005609B3">
            <w:pPr>
              <w:pStyle w:val="Contact"/>
            </w:pPr>
          </w:p>
        </w:tc>
        <w:bookmarkStart w:id="731" w:name="_GoBack"/>
        <w:bookmarkEnd w:id="731"/>
      </w:tr>
      <w:tr w:rsidR="00220BB7" w14:paraId="38F710D2" w14:textId="77777777">
        <w:trPr>
          <w:trHeight w:hRule="exact" w:val="794"/>
        </w:trPr>
        <w:tc>
          <w:tcPr>
            <w:tcW w:w="4011" w:type="dxa"/>
            <w:tcBorders>
              <w:bottom w:val="single" w:sz="8" w:space="0" w:color="A6A6A6" w:themeColor="background1" w:themeShade="A6"/>
            </w:tcBorders>
            <w:vAlign w:val="bottom"/>
          </w:tcPr>
          <w:p w14:paraId="555D116E" w14:textId="77777777" w:rsidR="00220BB7" w:rsidRDefault="00220BB7" w:rsidP="005609B3">
            <w:pPr>
              <w:spacing w:before="0" w:line="240" w:lineRule="auto"/>
            </w:pPr>
          </w:p>
        </w:tc>
        <w:tc>
          <w:tcPr>
            <w:tcW w:w="2552" w:type="dxa"/>
            <w:tcBorders>
              <w:bottom w:val="single" w:sz="8" w:space="0" w:color="A6A6A6" w:themeColor="background1" w:themeShade="A6"/>
            </w:tcBorders>
            <w:vAlign w:val="center"/>
          </w:tcPr>
          <w:p w14:paraId="6E727B74" w14:textId="77777777" w:rsidR="00220BB7" w:rsidRPr="00434A86" w:rsidRDefault="00220BB7" w:rsidP="005609B3">
            <w:pPr>
              <w:pStyle w:val="SmallDeltasRightAligned"/>
            </w:pPr>
            <w:r>
              <w:rPr>
                <w:noProof/>
                <w:lang w:eastAsia="en-AU"/>
              </w:rPr>
              <w:drawing>
                <wp:inline distT="0" distB="0" distL="0" distR="0" wp14:anchorId="05B9E2E2" wp14:editId="09D8EDE5">
                  <wp:extent cx="882595" cy="441297"/>
                  <wp:effectExtent l="0" t="0" r="0" b="0"/>
                  <wp:docPr id="8" name="Picture 8" descr="Decorative imag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2184" cy="441092"/>
                          </a:xfrm>
                          <a:prstGeom prst="rect">
                            <a:avLst/>
                          </a:prstGeom>
                        </pic:spPr>
                      </pic:pic>
                    </a:graphicData>
                  </a:graphic>
                </wp:inline>
              </w:drawing>
            </w:r>
          </w:p>
        </w:tc>
      </w:tr>
    </w:tbl>
    <w:p w14:paraId="794D0F8B" w14:textId="77777777" w:rsidR="00220BB7" w:rsidRPr="003475B9" w:rsidRDefault="00220BB7" w:rsidP="00E37B03">
      <w:pPr>
        <w:pStyle w:val="ListDash"/>
        <w:numPr>
          <w:ilvl w:val="0"/>
          <w:numId w:val="0"/>
        </w:numPr>
        <w:ind w:left="284" w:hanging="284"/>
      </w:pPr>
    </w:p>
    <w:p w14:paraId="1C5A3DBC" w14:textId="77777777" w:rsidR="00D36829" w:rsidRPr="003475B9" w:rsidRDefault="00D36829">
      <w:pPr>
        <w:pStyle w:val="ListDash"/>
        <w:numPr>
          <w:ilvl w:val="0"/>
          <w:numId w:val="0"/>
        </w:numPr>
        <w:ind w:left="284" w:hanging="284"/>
      </w:pPr>
    </w:p>
    <w:sectPr w:rsidR="00D36829" w:rsidRPr="003475B9" w:rsidSect="004572F4">
      <w:headerReference w:type="even" r:id="rId67"/>
      <w:headerReference w:type="default" r:id="rId68"/>
      <w:footerReference w:type="even" r:id="rId69"/>
      <w:footerReference w:type="default" r:id="rId70"/>
      <w:headerReference w:type="first" r:id="rId71"/>
      <w:footerReference w:type="first" r:id="rId72"/>
      <w:pgSz w:w="11907" w:h="16839" w:code="9"/>
      <w:pgMar w:top="1134" w:right="851" w:bottom="907" w:left="3119" w:header="0" w:footer="0" w:gutter="567"/>
      <w:pgNumType w:start="1"/>
      <w:cols w:space="720"/>
      <w:vAlign w:val="bottom"/>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7DECFB" w14:textId="77777777" w:rsidR="008075DB" w:rsidRDefault="008075DB">
      <w:r>
        <w:separator/>
      </w:r>
    </w:p>
  </w:endnote>
  <w:endnote w:type="continuationSeparator" w:id="0">
    <w:p w14:paraId="7FD6EDFB" w14:textId="77777777" w:rsidR="008075DB" w:rsidRDefault="00807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Novecento UltraLight">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ovecento Book">
    <w:altName w:val="Arial"/>
    <w:panose1 w:val="00000000000000000000"/>
    <w:charset w:val="00"/>
    <w:family w:val="modern"/>
    <w:notTrueType/>
    <w:pitch w:val="variable"/>
    <w:sig w:usb0="00000007" w:usb1="00000000" w:usb2="00000000" w:usb3="00000000" w:csb0="00000093" w:csb1="00000000"/>
  </w:font>
  <w:font w:name="HelveticaNeueLT Std Lt Cn">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B9DE4" w14:textId="77777777" w:rsidR="008075DB" w:rsidRDefault="008075D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1A6ED" w14:textId="77777777" w:rsidR="008075DB" w:rsidRPr="00452AD3" w:rsidRDefault="008075DB" w:rsidP="00452AD3">
    <w:pPr>
      <w:pStyle w:val="Footer"/>
      <w:tabs>
        <w:tab w:val="right" w:pos="6521"/>
      </w:tabs>
      <w:jc w:val="right"/>
      <w:rPr>
        <w:rFonts w:ascii="Novecento Book" w:eastAsiaTheme="minorHAnsi" w:hAnsi="Novecento Book"/>
        <w:szCs w:val="1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FBD01" w14:textId="77777777" w:rsidR="008075DB" w:rsidRDefault="008075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267" w:type="pct"/>
      <w:tblInd w:w="-1922" w:type="dxa"/>
      <w:tblLook w:val="04A0" w:firstRow="1" w:lastRow="0" w:firstColumn="1" w:lastColumn="0" w:noHBand="0" w:noVBand="1"/>
    </w:tblPr>
    <w:tblGrid>
      <w:gridCol w:w="9033"/>
      <w:gridCol w:w="478"/>
    </w:tblGrid>
    <w:tr w:rsidR="008075DB" w:rsidRPr="00126062" w14:paraId="1BB64A1E" w14:textId="77777777">
      <w:trPr>
        <w:trHeight w:val="288"/>
      </w:trPr>
      <w:tc>
        <w:tcPr>
          <w:tcW w:w="9029" w:type="dxa"/>
          <w:vAlign w:val="bottom"/>
        </w:tcPr>
        <w:p w14:paraId="05108806" w14:textId="77777777" w:rsidR="008075DB" w:rsidRPr="00126062" w:rsidRDefault="008075DB" w:rsidP="005609B3">
          <w:pPr>
            <w:pStyle w:val="PortraitFooter"/>
            <w:rPr>
              <w:b/>
              <w:bCs/>
              <w:color w:val="4F81BD"/>
            </w:rPr>
          </w:pPr>
        </w:p>
      </w:tc>
      <w:tc>
        <w:tcPr>
          <w:tcW w:w="478" w:type="dxa"/>
        </w:tcPr>
        <w:p w14:paraId="663F0BD8" w14:textId="77777777" w:rsidR="008075DB" w:rsidRPr="00126062" w:rsidRDefault="008075DB" w:rsidP="005609B3">
          <w:pPr>
            <w:jc w:val="right"/>
            <w:rPr>
              <w:rFonts w:ascii="HelveticaNeueLT Std Lt Cn" w:eastAsia="Calibri" w:hAnsi="HelveticaNeueLT Std Lt Cn"/>
            </w:rPr>
          </w:pPr>
        </w:p>
      </w:tc>
    </w:tr>
  </w:tbl>
  <w:p w14:paraId="3B4622E9" w14:textId="77777777" w:rsidR="008075DB" w:rsidRPr="00126062" w:rsidRDefault="008075DB" w:rsidP="005609B3">
    <w:pPr>
      <w:pStyle w:val="Footer"/>
      <w:tabs>
        <w:tab w:val="right" w:pos="6521"/>
      </w:tabs>
      <w:jc w:val="right"/>
      <w:rPr>
        <w:rFonts w:ascii="Novecento Book" w:eastAsiaTheme="minorHAnsi" w:hAnsi="Novecento Book"/>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0C6A8" w14:textId="77777777" w:rsidR="008075DB" w:rsidRDefault="008075D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23968" w14:textId="77777777" w:rsidR="008075DB" w:rsidRDefault="008075D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267" w:type="pct"/>
      <w:tblInd w:w="-1922" w:type="dxa"/>
      <w:tblBorders>
        <w:insideH w:val="single" w:sz="8" w:space="0" w:color="auto"/>
        <w:insideV w:val="single" w:sz="8" w:space="0" w:color="auto"/>
      </w:tblBorders>
      <w:tblLook w:val="04A0" w:firstRow="1" w:lastRow="0" w:firstColumn="1" w:lastColumn="0" w:noHBand="0" w:noVBand="1"/>
    </w:tblPr>
    <w:tblGrid>
      <w:gridCol w:w="8837"/>
      <w:gridCol w:w="674"/>
    </w:tblGrid>
    <w:tr w:rsidR="008075DB" w:rsidRPr="00126062" w14:paraId="3C2F32C8" w14:textId="77777777">
      <w:trPr>
        <w:trHeight w:val="288"/>
      </w:trPr>
      <w:tc>
        <w:tcPr>
          <w:tcW w:w="8834" w:type="dxa"/>
          <w:vAlign w:val="bottom"/>
        </w:tcPr>
        <w:p w14:paraId="4D1388B2" w14:textId="77777777" w:rsidR="008075DB" w:rsidRPr="00126062" w:rsidRDefault="008075DB" w:rsidP="000E21BF">
          <w:pPr>
            <w:pStyle w:val="PortraitFooter"/>
            <w:rPr>
              <w:b/>
              <w:bCs/>
              <w:color w:val="4F81BD"/>
            </w:rPr>
          </w:pPr>
          <w:r w:rsidRPr="00126062">
            <w:fldChar w:fldCharType="begin"/>
          </w:r>
          <w:r w:rsidRPr="00126062">
            <w:instrText xml:space="preserve"> IF</w:instrText>
          </w:r>
          <w:r w:rsidRPr="00126062">
            <w:fldChar w:fldCharType="begin"/>
          </w:r>
          <w:r w:rsidRPr="00126062">
            <w:instrText xml:space="preserve"> STYLEREF </w:instrText>
          </w:r>
          <w:r>
            <w:instrText>"</w:instrText>
          </w:r>
          <w:r w:rsidRPr="00126062">
            <w:instrText>Title</w:instrText>
          </w:r>
          <w:r>
            <w:instrText xml:space="preserve"> SHORT"</w:instrText>
          </w:r>
          <w:r w:rsidRPr="00126062">
            <w:instrText xml:space="preserve"> \* Charformat </w:instrText>
          </w:r>
          <w:r w:rsidRPr="00126062">
            <w:fldChar w:fldCharType="separate"/>
          </w:r>
          <w:r w:rsidR="00366ADF">
            <w:rPr>
              <w:noProof/>
            </w:rPr>
            <w:instrText>Commercial building Disclosure</w:instrText>
          </w:r>
          <w:r w:rsidRPr="00126062">
            <w:fldChar w:fldCharType="end"/>
          </w:r>
          <w:r w:rsidRPr="00126062">
            <w:instrText xml:space="preserve"> &lt;&gt; "Error*" </w:instrText>
          </w:r>
          <w:fldSimple w:instr=" STYLEREF &quot;Title SHORT&quot; \* Charformat ">
            <w:r w:rsidR="00366ADF">
              <w:rPr>
                <w:noProof/>
              </w:rPr>
              <w:instrText>Commercial building Disclosure</w:instrText>
            </w:r>
          </w:fldSimple>
          <w:r w:rsidRPr="00126062">
            <w:instrText xml:space="preserve"> </w:instrText>
          </w:r>
          <w:r w:rsidRPr="00126062">
            <w:fldChar w:fldCharType="separate"/>
          </w:r>
          <w:r w:rsidR="00366ADF">
            <w:rPr>
              <w:noProof/>
            </w:rPr>
            <w:t>Commercial building Disclosure</w:t>
          </w:r>
          <w:r w:rsidRPr="00126062">
            <w:fldChar w:fldCharType="end"/>
          </w:r>
          <w:r>
            <w:t xml:space="preserve"> </w:t>
          </w:r>
          <w:r w:rsidRPr="00126062">
            <w:fldChar w:fldCharType="begin"/>
          </w:r>
          <w:r w:rsidRPr="00126062">
            <w:instrText xml:space="preserve"> IF</w:instrText>
          </w:r>
          <w:fldSimple w:instr=" STYLEREF Title \* Charformat ">
            <w:r w:rsidR="00366ADF">
              <w:rPr>
                <w:noProof/>
              </w:rPr>
              <w:instrText>Program review</w:instrText>
            </w:r>
          </w:fldSimple>
          <w:r w:rsidRPr="00126062">
            <w:instrText xml:space="preserve"> &lt;&gt; "Error*" </w:instrText>
          </w:r>
          <w:fldSimple w:instr=" STYLEREF Title \* Charformat ">
            <w:r w:rsidR="00366ADF">
              <w:rPr>
                <w:noProof/>
              </w:rPr>
              <w:instrText>Program review</w:instrText>
            </w:r>
          </w:fldSimple>
          <w:r w:rsidRPr="00126062">
            <w:instrText xml:space="preserve"> </w:instrText>
          </w:r>
          <w:r w:rsidRPr="00126062">
            <w:fldChar w:fldCharType="separate"/>
          </w:r>
          <w:r w:rsidR="00366ADF">
            <w:rPr>
              <w:noProof/>
            </w:rPr>
            <w:t>Program review</w:t>
          </w:r>
          <w:r w:rsidRPr="00126062">
            <w:fldChar w:fldCharType="end"/>
          </w:r>
        </w:p>
      </w:tc>
      <w:tc>
        <w:tcPr>
          <w:tcW w:w="674" w:type="dxa"/>
        </w:tcPr>
        <w:p w14:paraId="016FE19F" w14:textId="77777777" w:rsidR="008075DB" w:rsidRPr="00452AD3" w:rsidRDefault="008075DB" w:rsidP="000E21BF">
          <w:pPr>
            <w:jc w:val="right"/>
            <w:rPr>
              <w:rStyle w:val="PageNumber"/>
              <w:caps/>
            </w:rPr>
          </w:pPr>
          <w:r>
            <w:fldChar w:fldCharType="begin"/>
          </w:r>
          <w:r>
            <w:instrText xml:space="preserve"> PAGE   \* MERGEFORMAT </w:instrText>
          </w:r>
          <w:r>
            <w:fldChar w:fldCharType="separate"/>
          </w:r>
          <w:r w:rsidR="00366ADF" w:rsidRPr="00366ADF">
            <w:rPr>
              <w:rStyle w:val="PageNumber"/>
              <w:noProof/>
            </w:rPr>
            <w:t>vii</w:t>
          </w:r>
          <w:r>
            <w:rPr>
              <w:rStyle w:val="PageNumber"/>
              <w:noProof/>
            </w:rPr>
            <w:fldChar w:fldCharType="end"/>
          </w:r>
        </w:p>
      </w:tc>
    </w:tr>
  </w:tbl>
  <w:p w14:paraId="79BBE7F7" w14:textId="77777777" w:rsidR="008075DB" w:rsidRPr="00452AD3" w:rsidRDefault="008075DB" w:rsidP="00452AD3">
    <w:pPr>
      <w:pStyle w:val="Footer"/>
      <w:tabs>
        <w:tab w:val="right" w:pos="6521"/>
      </w:tabs>
      <w:jc w:val="right"/>
      <w:rPr>
        <w:rFonts w:ascii="Novecento Book" w:eastAsiaTheme="minorHAnsi" w:hAnsi="Novecento Book"/>
        <w:szCs w:val="1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06131" w14:textId="77777777" w:rsidR="008075DB" w:rsidRDefault="008075D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267" w:type="pct"/>
      <w:tblInd w:w="-1922" w:type="dxa"/>
      <w:tblBorders>
        <w:insideH w:val="single" w:sz="8" w:space="0" w:color="auto"/>
        <w:insideV w:val="single" w:sz="8" w:space="0" w:color="auto"/>
      </w:tblBorders>
      <w:tblLook w:val="04A0" w:firstRow="1" w:lastRow="0" w:firstColumn="1" w:lastColumn="0" w:noHBand="0" w:noVBand="1"/>
    </w:tblPr>
    <w:tblGrid>
      <w:gridCol w:w="8837"/>
      <w:gridCol w:w="674"/>
    </w:tblGrid>
    <w:tr w:rsidR="008075DB" w:rsidRPr="00126062" w14:paraId="077EBCF4" w14:textId="77777777">
      <w:trPr>
        <w:trHeight w:val="288"/>
      </w:trPr>
      <w:tc>
        <w:tcPr>
          <w:tcW w:w="8834" w:type="dxa"/>
          <w:vAlign w:val="bottom"/>
        </w:tcPr>
        <w:p w14:paraId="3DDA0A62" w14:textId="77777777" w:rsidR="008075DB" w:rsidRPr="00126062" w:rsidRDefault="008075DB" w:rsidP="000E21BF">
          <w:pPr>
            <w:pStyle w:val="PortraitFooter"/>
            <w:rPr>
              <w:b/>
              <w:bCs/>
              <w:color w:val="4F81BD"/>
            </w:rPr>
          </w:pPr>
          <w:r w:rsidRPr="00126062">
            <w:fldChar w:fldCharType="begin"/>
          </w:r>
          <w:r w:rsidRPr="00126062">
            <w:instrText xml:space="preserve"> IF</w:instrText>
          </w:r>
          <w:r w:rsidRPr="00126062">
            <w:fldChar w:fldCharType="begin"/>
          </w:r>
          <w:r w:rsidRPr="00126062">
            <w:instrText xml:space="preserve"> STYLEREF </w:instrText>
          </w:r>
          <w:r>
            <w:instrText>"</w:instrText>
          </w:r>
          <w:r w:rsidRPr="00126062">
            <w:instrText>Title</w:instrText>
          </w:r>
          <w:r>
            <w:instrText xml:space="preserve"> SHORT"</w:instrText>
          </w:r>
          <w:r w:rsidRPr="00126062">
            <w:instrText xml:space="preserve"> \* Charformat </w:instrText>
          </w:r>
          <w:r w:rsidRPr="00126062">
            <w:fldChar w:fldCharType="separate"/>
          </w:r>
          <w:r w:rsidR="00366ADF">
            <w:rPr>
              <w:noProof/>
            </w:rPr>
            <w:instrText>Commercial building Disclosure</w:instrText>
          </w:r>
          <w:r w:rsidRPr="00126062">
            <w:fldChar w:fldCharType="end"/>
          </w:r>
          <w:r w:rsidRPr="00126062">
            <w:instrText xml:space="preserve"> &lt;&gt; "Error*" </w:instrText>
          </w:r>
          <w:fldSimple w:instr=" STYLEREF &quot;Title SHORT&quot; \* Charformat ">
            <w:r w:rsidR="00366ADF">
              <w:rPr>
                <w:noProof/>
              </w:rPr>
              <w:instrText>Commercial building Disclosure</w:instrText>
            </w:r>
          </w:fldSimple>
          <w:r w:rsidRPr="00126062">
            <w:instrText xml:space="preserve"> </w:instrText>
          </w:r>
          <w:r w:rsidRPr="00126062">
            <w:fldChar w:fldCharType="separate"/>
          </w:r>
          <w:r w:rsidR="00366ADF">
            <w:rPr>
              <w:noProof/>
            </w:rPr>
            <w:t>Commercial building Disclosure</w:t>
          </w:r>
          <w:r w:rsidRPr="00126062">
            <w:fldChar w:fldCharType="end"/>
          </w:r>
          <w:r>
            <w:t xml:space="preserve"> </w:t>
          </w:r>
          <w:r w:rsidRPr="00126062">
            <w:fldChar w:fldCharType="begin"/>
          </w:r>
          <w:r w:rsidRPr="00126062">
            <w:instrText xml:space="preserve"> IF</w:instrText>
          </w:r>
          <w:fldSimple w:instr=" STYLEREF Title \* Charformat ">
            <w:r w:rsidR="00366ADF">
              <w:rPr>
                <w:noProof/>
              </w:rPr>
              <w:instrText>Program review</w:instrText>
            </w:r>
          </w:fldSimple>
          <w:r w:rsidRPr="00126062">
            <w:instrText xml:space="preserve"> &lt;&gt; "Error*" </w:instrText>
          </w:r>
          <w:fldSimple w:instr=" STYLEREF Title \* Charformat ">
            <w:r w:rsidR="00366ADF">
              <w:rPr>
                <w:noProof/>
              </w:rPr>
              <w:instrText>Program review</w:instrText>
            </w:r>
          </w:fldSimple>
          <w:r w:rsidRPr="00126062">
            <w:instrText xml:space="preserve"> </w:instrText>
          </w:r>
          <w:r w:rsidRPr="00126062">
            <w:fldChar w:fldCharType="separate"/>
          </w:r>
          <w:r w:rsidR="00366ADF">
            <w:rPr>
              <w:noProof/>
            </w:rPr>
            <w:t>Program review</w:t>
          </w:r>
          <w:r w:rsidRPr="00126062">
            <w:fldChar w:fldCharType="end"/>
          </w:r>
        </w:p>
      </w:tc>
      <w:tc>
        <w:tcPr>
          <w:tcW w:w="674" w:type="dxa"/>
        </w:tcPr>
        <w:p w14:paraId="70CD1A81" w14:textId="77777777" w:rsidR="008075DB" w:rsidRPr="00452AD3" w:rsidRDefault="008075DB" w:rsidP="000E21BF">
          <w:pPr>
            <w:jc w:val="right"/>
            <w:rPr>
              <w:rStyle w:val="PageNumber"/>
              <w:caps/>
            </w:rPr>
          </w:pPr>
          <w:r>
            <w:fldChar w:fldCharType="begin"/>
          </w:r>
          <w:r>
            <w:instrText xml:space="preserve"> PAGE   \* MERGEFORMAT </w:instrText>
          </w:r>
          <w:r>
            <w:fldChar w:fldCharType="separate"/>
          </w:r>
          <w:r w:rsidR="00366ADF" w:rsidRPr="00366ADF">
            <w:rPr>
              <w:rStyle w:val="PageNumber"/>
              <w:noProof/>
            </w:rPr>
            <w:t>104</w:t>
          </w:r>
          <w:r>
            <w:rPr>
              <w:rStyle w:val="PageNumber"/>
              <w:noProof/>
            </w:rPr>
            <w:fldChar w:fldCharType="end"/>
          </w:r>
        </w:p>
      </w:tc>
    </w:tr>
  </w:tbl>
  <w:p w14:paraId="24239A4F" w14:textId="77777777" w:rsidR="008075DB" w:rsidRPr="00452AD3" w:rsidRDefault="008075DB" w:rsidP="00452AD3">
    <w:pPr>
      <w:pStyle w:val="Footer"/>
      <w:tabs>
        <w:tab w:val="right" w:pos="6521"/>
      </w:tabs>
      <w:jc w:val="right"/>
      <w:rPr>
        <w:rFonts w:ascii="Novecento Book" w:eastAsiaTheme="minorHAnsi" w:hAnsi="Novecento Book"/>
        <w:szCs w:val="1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267" w:type="pct"/>
      <w:tblInd w:w="-1922" w:type="dxa"/>
      <w:tblBorders>
        <w:insideH w:val="single" w:sz="8" w:space="0" w:color="auto"/>
        <w:insideV w:val="single" w:sz="8" w:space="0" w:color="auto"/>
      </w:tblBorders>
      <w:tblLook w:val="04A0" w:firstRow="1" w:lastRow="0" w:firstColumn="1" w:lastColumn="0" w:noHBand="0" w:noVBand="1"/>
    </w:tblPr>
    <w:tblGrid>
      <w:gridCol w:w="8837"/>
      <w:gridCol w:w="674"/>
    </w:tblGrid>
    <w:tr w:rsidR="008075DB" w:rsidRPr="00126062" w14:paraId="588B735F" w14:textId="77777777">
      <w:trPr>
        <w:trHeight w:val="288"/>
      </w:trPr>
      <w:tc>
        <w:tcPr>
          <w:tcW w:w="8834" w:type="dxa"/>
          <w:vAlign w:val="bottom"/>
        </w:tcPr>
        <w:p w14:paraId="28F11B8F" w14:textId="77777777" w:rsidR="008075DB" w:rsidRPr="00126062" w:rsidRDefault="008075DB" w:rsidP="000E21BF">
          <w:pPr>
            <w:pStyle w:val="PortraitFooter"/>
            <w:rPr>
              <w:b/>
              <w:bCs/>
              <w:color w:val="4F81BD"/>
            </w:rPr>
          </w:pPr>
          <w:r w:rsidRPr="00126062">
            <w:fldChar w:fldCharType="begin"/>
          </w:r>
          <w:r w:rsidRPr="00126062">
            <w:instrText xml:space="preserve"> IF</w:instrText>
          </w:r>
          <w:r w:rsidRPr="00126062">
            <w:fldChar w:fldCharType="begin"/>
          </w:r>
          <w:r w:rsidRPr="00126062">
            <w:instrText xml:space="preserve"> STYLEREF </w:instrText>
          </w:r>
          <w:r>
            <w:instrText>"</w:instrText>
          </w:r>
          <w:r w:rsidRPr="00126062">
            <w:instrText>Title</w:instrText>
          </w:r>
          <w:r>
            <w:instrText xml:space="preserve"> SHORT"</w:instrText>
          </w:r>
          <w:r w:rsidRPr="00126062">
            <w:instrText xml:space="preserve"> \* Charformat </w:instrText>
          </w:r>
          <w:r w:rsidRPr="00126062">
            <w:fldChar w:fldCharType="separate"/>
          </w:r>
          <w:r w:rsidR="00366ADF">
            <w:rPr>
              <w:noProof/>
            </w:rPr>
            <w:instrText>Commercial building Disclosure</w:instrText>
          </w:r>
          <w:r w:rsidRPr="00126062">
            <w:fldChar w:fldCharType="end"/>
          </w:r>
          <w:r w:rsidRPr="00126062">
            <w:instrText xml:space="preserve"> &lt;&gt; "Error*" </w:instrText>
          </w:r>
          <w:fldSimple w:instr=" STYLEREF &quot;Title SHORT&quot; \* Charformat ">
            <w:r w:rsidR="00366ADF">
              <w:rPr>
                <w:noProof/>
              </w:rPr>
              <w:instrText>Commercial building Disclosure</w:instrText>
            </w:r>
          </w:fldSimple>
          <w:r w:rsidRPr="00126062">
            <w:instrText xml:space="preserve"> </w:instrText>
          </w:r>
          <w:r w:rsidRPr="00126062">
            <w:fldChar w:fldCharType="separate"/>
          </w:r>
          <w:r w:rsidR="00366ADF">
            <w:rPr>
              <w:noProof/>
            </w:rPr>
            <w:t>Commercial building Disclosure</w:t>
          </w:r>
          <w:r w:rsidRPr="00126062">
            <w:fldChar w:fldCharType="end"/>
          </w:r>
          <w:r>
            <w:t xml:space="preserve"> </w:t>
          </w:r>
          <w:r w:rsidRPr="00126062">
            <w:fldChar w:fldCharType="begin"/>
          </w:r>
          <w:r w:rsidRPr="00126062">
            <w:instrText xml:space="preserve"> IF</w:instrText>
          </w:r>
          <w:fldSimple w:instr=" STYLEREF Title \* Charformat ">
            <w:r w:rsidR="00366ADF">
              <w:rPr>
                <w:noProof/>
              </w:rPr>
              <w:instrText>Program review</w:instrText>
            </w:r>
          </w:fldSimple>
          <w:r w:rsidRPr="00126062">
            <w:instrText xml:space="preserve"> &lt;&gt; "Error*" </w:instrText>
          </w:r>
          <w:fldSimple w:instr=" STYLEREF Title \* Charformat ">
            <w:r w:rsidR="00366ADF">
              <w:rPr>
                <w:noProof/>
              </w:rPr>
              <w:instrText>Program review</w:instrText>
            </w:r>
          </w:fldSimple>
          <w:r w:rsidRPr="00126062">
            <w:instrText xml:space="preserve"> </w:instrText>
          </w:r>
          <w:r w:rsidRPr="00126062">
            <w:fldChar w:fldCharType="separate"/>
          </w:r>
          <w:r w:rsidR="00366ADF">
            <w:rPr>
              <w:noProof/>
            </w:rPr>
            <w:t>Program review</w:t>
          </w:r>
          <w:r w:rsidRPr="00126062">
            <w:fldChar w:fldCharType="end"/>
          </w:r>
        </w:p>
      </w:tc>
      <w:tc>
        <w:tcPr>
          <w:tcW w:w="674" w:type="dxa"/>
        </w:tcPr>
        <w:p w14:paraId="44BB17C3" w14:textId="77777777" w:rsidR="008075DB" w:rsidRPr="00452AD3" w:rsidRDefault="008075DB" w:rsidP="000E21BF">
          <w:pPr>
            <w:jc w:val="right"/>
            <w:rPr>
              <w:rStyle w:val="PageNumber"/>
              <w:caps/>
            </w:rPr>
          </w:pPr>
          <w:r>
            <w:fldChar w:fldCharType="begin"/>
          </w:r>
          <w:r>
            <w:instrText xml:space="preserve"> PAGE   \* MERGEFORMAT </w:instrText>
          </w:r>
          <w:r>
            <w:fldChar w:fldCharType="separate"/>
          </w:r>
          <w:r w:rsidR="00366ADF" w:rsidRPr="00366ADF">
            <w:rPr>
              <w:rStyle w:val="PageNumber"/>
              <w:noProof/>
            </w:rPr>
            <w:t>A-10</w:t>
          </w:r>
          <w:r>
            <w:rPr>
              <w:rStyle w:val="PageNumber"/>
              <w:noProof/>
            </w:rPr>
            <w:fldChar w:fldCharType="end"/>
          </w:r>
        </w:p>
      </w:tc>
    </w:tr>
  </w:tbl>
  <w:p w14:paraId="78D5F40D" w14:textId="77777777" w:rsidR="008075DB" w:rsidRPr="00452AD3" w:rsidRDefault="008075DB" w:rsidP="00452AD3">
    <w:pPr>
      <w:pStyle w:val="Footer"/>
      <w:tabs>
        <w:tab w:val="right" w:pos="6521"/>
      </w:tabs>
      <w:jc w:val="right"/>
      <w:rPr>
        <w:rFonts w:ascii="Novecento Book" w:eastAsiaTheme="minorHAnsi" w:hAnsi="Novecento Book"/>
        <w:szCs w:val="1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10C35" w14:textId="77777777" w:rsidR="008075DB" w:rsidRDefault="008075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068491" w14:textId="77777777" w:rsidR="008075DB" w:rsidRDefault="008075DB">
      <w:r>
        <w:separator/>
      </w:r>
    </w:p>
  </w:footnote>
  <w:footnote w:type="continuationSeparator" w:id="0">
    <w:p w14:paraId="762C504F" w14:textId="77777777" w:rsidR="008075DB" w:rsidRDefault="008075DB">
      <w:r>
        <w:continuationSeparator/>
      </w:r>
    </w:p>
  </w:footnote>
  <w:footnote w:id="1">
    <w:p w14:paraId="04503CD9" w14:textId="77777777" w:rsidR="008075DB" w:rsidRDefault="008075DB">
      <w:pPr>
        <w:pStyle w:val="FootnoteText"/>
      </w:pPr>
      <w:r>
        <w:rPr>
          <w:rStyle w:val="FootnoteReference"/>
        </w:rPr>
        <w:footnoteRef/>
      </w:r>
      <w:r>
        <w:t xml:space="preserve"> </w:t>
      </w:r>
      <w:r>
        <w:tab/>
      </w:r>
      <w:r w:rsidRPr="00B54BBA">
        <w:t xml:space="preserve">In 2014 dollars under a </w:t>
      </w:r>
      <w:r>
        <w:t>7</w:t>
      </w:r>
      <w:r w:rsidRPr="00B54BBA">
        <w:t xml:space="preserve"> per cent real discount rate. Includes ongoing benefits to 2023 from upgrades undertaken between 2010 and 2014.</w:t>
      </w:r>
    </w:p>
  </w:footnote>
  <w:footnote w:id="2">
    <w:p w14:paraId="153AF420" w14:textId="77777777" w:rsidR="008075DB" w:rsidRDefault="008075DB">
      <w:pPr>
        <w:pStyle w:val="FootnoteText"/>
      </w:pPr>
      <w:r>
        <w:rPr>
          <w:rStyle w:val="FootnoteReference"/>
        </w:rPr>
        <w:footnoteRef/>
      </w:r>
      <w:r>
        <w:t xml:space="preserve"> </w:t>
      </w:r>
      <w:r>
        <w:tab/>
        <w:t>As above.</w:t>
      </w:r>
    </w:p>
  </w:footnote>
  <w:footnote w:id="3">
    <w:p w14:paraId="11B4384F" w14:textId="77777777" w:rsidR="008075DB" w:rsidRDefault="008075DB">
      <w:pPr>
        <w:pStyle w:val="FootnoteText"/>
      </w:pPr>
      <w:r>
        <w:rPr>
          <w:rStyle w:val="FootnoteReference"/>
        </w:rPr>
        <w:footnoteRef/>
      </w:r>
      <w:r>
        <w:t xml:space="preserve"> </w:t>
      </w:r>
      <w:r>
        <w:tab/>
      </w:r>
      <w:r w:rsidRPr="0041568D">
        <w:t xml:space="preserve">In 2014 dollars under a </w:t>
      </w:r>
      <w:r>
        <w:t>7</w:t>
      </w:r>
      <w:r w:rsidRPr="0041568D">
        <w:t xml:space="preserve"> per cent real discount rate. Includes ongoing benefits to 2028 from upgrades projected to be undertaken between 2015 and 2019.</w:t>
      </w:r>
    </w:p>
  </w:footnote>
  <w:footnote w:id="4">
    <w:p w14:paraId="49E0E985" w14:textId="77777777" w:rsidR="008075DB" w:rsidRDefault="008075DB">
      <w:pPr>
        <w:pStyle w:val="FootnoteText"/>
      </w:pPr>
      <w:r>
        <w:rPr>
          <w:rStyle w:val="FootnoteReference"/>
        </w:rPr>
        <w:footnoteRef/>
      </w:r>
      <w:r>
        <w:t xml:space="preserve"> </w:t>
      </w:r>
      <w:r>
        <w:tab/>
        <w:t>As above.</w:t>
      </w:r>
    </w:p>
  </w:footnote>
  <w:footnote w:id="5">
    <w:p w14:paraId="546B5D58" w14:textId="77777777" w:rsidR="008075DB" w:rsidRDefault="008075DB">
      <w:pPr>
        <w:pStyle w:val="FootnoteText"/>
      </w:pPr>
      <w:r>
        <w:rPr>
          <w:rStyle w:val="FootnoteReference"/>
        </w:rPr>
        <w:footnoteRef/>
      </w:r>
      <w:r>
        <w:t xml:space="preserve"> </w:t>
      </w:r>
      <w:r>
        <w:tab/>
        <w:t>As above.</w:t>
      </w:r>
    </w:p>
  </w:footnote>
  <w:footnote w:id="6">
    <w:p w14:paraId="200CC5DE" w14:textId="37F91C73" w:rsidR="008075DB" w:rsidRDefault="008075DB">
      <w:pPr>
        <w:pStyle w:val="FootnoteText"/>
      </w:pPr>
      <w:r>
        <w:rPr>
          <w:rStyle w:val="FootnoteReference"/>
        </w:rPr>
        <w:footnoteRef/>
      </w:r>
      <w:r>
        <w:t xml:space="preserve"> </w:t>
      </w:r>
      <w:r>
        <w:tab/>
        <w:t>This is an indicative cost for 50,000 4.5 kW rooftop solar panels, based on the economic costs of installation (excluding GST and benefits from the government Small Scale Renewable Energy Scheme). Taxes and subsidies have been excluded as these are not economic costs but simply transfers between the government and installers/households.</w:t>
      </w:r>
    </w:p>
  </w:footnote>
  <w:footnote w:id="7">
    <w:p w14:paraId="35E8E47E" w14:textId="77777777" w:rsidR="008075DB" w:rsidRDefault="008075DB">
      <w:pPr>
        <w:pStyle w:val="FootnoteText"/>
      </w:pPr>
      <w:r>
        <w:rPr>
          <w:rStyle w:val="FootnoteReference"/>
        </w:rPr>
        <w:footnoteRef/>
      </w:r>
      <w:r>
        <w:t xml:space="preserve"> </w:t>
      </w:r>
      <w:r>
        <w:tab/>
      </w:r>
      <w:r w:rsidRPr="000036E5">
        <w:t>In 2014 dollars under a seven per cent real discount rate. Includes ongoing benefits to 2028 from upgrades projected to be undertaken between 2015 and 2019.</w:t>
      </w:r>
    </w:p>
  </w:footnote>
  <w:footnote w:id="8">
    <w:p w14:paraId="4292825A" w14:textId="7100F268" w:rsidR="008075DB" w:rsidRDefault="008075DB">
      <w:pPr>
        <w:pStyle w:val="FootnoteText"/>
      </w:pPr>
      <w:r>
        <w:rPr>
          <w:rStyle w:val="FootnoteReference"/>
        </w:rPr>
        <w:footnoteRef/>
      </w:r>
      <w:r>
        <w:t xml:space="preserve"> </w:t>
      </w:r>
      <w:r>
        <w:tab/>
        <w:t>The power output per square metre (measured as Watts per m</w:t>
      </w:r>
      <w:r w:rsidRPr="0098132D">
        <w:rPr>
          <w:vertAlign w:val="superscript"/>
        </w:rPr>
        <w:t>2</w:t>
      </w:r>
      <w:r>
        <w:t>).</w:t>
      </w:r>
    </w:p>
  </w:footnote>
  <w:footnote w:id="9">
    <w:p w14:paraId="099F829A" w14:textId="77777777" w:rsidR="008075DB" w:rsidRDefault="008075DB">
      <w:pPr>
        <w:pStyle w:val="FootnoteText"/>
      </w:pPr>
      <w:r>
        <w:rPr>
          <w:rStyle w:val="FootnoteReference"/>
        </w:rPr>
        <w:footnoteRef/>
      </w:r>
      <w:r>
        <w:t xml:space="preserve"> </w:t>
      </w:r>
      <w:r>
        <w:tab/>
      </w:r>
      <w:r w:rsidRPr="00DB7E41">
        <w:t>In 2014 dollars under a seven per cent real discount rate</w:t>
      </w:r>
      <w:r>
        <w:t>.</w:t>
      </w:r>
    </w:p>
  </w:footnote>
  <w:footnote w:id="10">
    <w:p w14:paraId="4762017F" w14:textId="77777777" w:rsidR="008075DB" w:rsidRDefault="008075DB">
      <w:pPr>
        <w:pStyle w:val="FootnoteText"/>
      </w:pPr>
      <w:r>
        <w:rPr>
          <w:rStyle w:val="FootnoteReference"/>
        </w:rPr>
        <w:footnoteRef/>
      </w:r>
      <w:r>
        <w:t xml:space="preserve"> </w:t>
      </w:r>
      <w:r>
        <w:tab/>
      </w:r>
      <w:proofErr w:type="spellStart"/>
      <w:r>
        <w:t>Pitt&amp;sherry</w:t>
      </w:r>
      <w:proofErr w:type="spellEnd"/>
      <w:r>
        <w:t>, Baseline Energy Consumption and Greenhouse Gas Emissions in Commercial Buildings in Australia – Part 1 – Report, 2012</w:t>
      </w:r>
    </w:p>
  </w:footnote>
  <w:footnote w:id="11">
    <w:p w14:paraId="15E03DC8" w14:textId="77777777" w:rsidR="008075DB" w:rsidRDefault="008075DB">
      <w:pPr>
        <w:pStyle w:val="FootnoteText"/>
      </w:pPr>
      <w:r>
        <w:rPr>
          <w:rStyle w:val="FootnoteReference"/>
        </w:rPr>
        <w:footnoteRef/>
      </w:r>
      <w:r>
        <w:t xml:space="preserve"> </w:t>
      </w:r>
      <w:r>
        <w:tab/>
      </w:r>
      <w:proofErr w:type="spellStart"/>
      <w:r>
        <w:t>ClimateWorks</w:t>
      </w:r>
      <w:proofErr w:type="spellEnd"/>
      <w:r>
        <w:t>, Tracking Progress Towards a Low Carbon Economy: 1. National Progress Report, July 2013</w:t>
      </w:r>
    </w:p>
  </w:footnote>
  <w:footnote w:id="12">
    <w:p w14:paraId="56AED08F" w14:textId="77777777" w:rsidR="008075DB" w:rsidRDefault="008075DB">
      <w:pPr>
        <w:pStyle w:val="FootnoteText"/>
      </w:pPr>
      <w:r>
        <w:rPr>
          <w:rStyle w:val="FootnoteReference"/>
        </w:rPr>
        <w:footnoteRef/>
      </w:r>
      <w:r>
        <w:t xml:space="preserve"> </w:t>
      </w:r>
      <w:r>
        <w:tab/>
        <w:t>A building’s energy efficiency can be measured in terms of ‘base building’ (excludes energy consumption in tenanted spaces) or ‘whole building’ (includes energy consumption in tenanted spaces) performance. The CBD requires disclosure of the base building NABERS ratings but allows disclosure of whole building NABERS rating where metering is inadequate.</w:t>
      </w:r>
    </w:p>
  </w:footnote>
  <w:footnote w:id="13">
    <w:p w14:paraId="0B83F2EA" w14:textId="77777777" w:rsidR="008075DB" w:rsidRPr="001B28B6" w:rsidRDefault="008075DB">
      <w:pPr>
        <w:pStyle w:val="FootnoteText"/>
      </w:pPr>
      <w:r>
        <w:rPr>
          <w:rStyle w:val="FootnoteReference"/>
        </w:rPr>
        <w:footnoteRef/>
      </w:r>
      <w:r>
        <w:t xml:space="preserve"> </w:t>
      </w:r>
      <w:r>
        <w:tab/>
        <w:t xml:space="preserve">An </w:t>
      </w:r>
      <w:r w:rsidRPr="002432BA">
        <w:t>R</w:t>
      </w:r>
      <w:r w:rsidRPr="005F0932">
        <w:rPr>
          <w:vertAlign w:val="superscript"/>
        </w:rPr>
        <w:t>2</w:t>
      </w:r>
      <w:r>
        <w:t xml:space="preserve"> value indicates how well a hypothesised model fits the available data. In this case (observing energy intensities over time) it indicates how well the hypothesis that energy intensities are trending lower at a certain rate is explained by the data. </w:t>
      </w:r>
      <w:r w:rsidRPr="002432BA">
        <w:t>R</w:t>
      </w:r>
      <w:r w:rsidRPr="005F0932">
        <w:rPr>
          <w:vertAlign w:val="superscript"/>
        </w:rPr>
        <w:t>2</w:t>
      </w:r>
      <w:r>
        <w:rPr>
          <w:vertAlign w:val="superscript"/>
        </w:rPr>
        <w:t xml:space="preserve"> </w:t>
      </w:r>
      <w:r w:rsidRPr="003F5F13">
        <w:t xml:space="preserve">values are </w:t>
      </w:r>
      <w:r>
        <w:t xml:space="preserve">measured between 0 and 1. A high </w:t>
      </w:r>
      <w:r w:rsidRPr="002432BA">
        <w:t>R</w:t>
      </w:r>
      <w:r w:rsidRPr="005F0932">
        <w:rPr>
          <w:vertAlign w:val="superscript"/>
        </w:rPr>
        <w:t>2</w:t>
      </w:r>
      <w:r>
        <w:t xml:space="preserve"> (closer to 1) would have suggested a strong trend over time. However, the low calculated </w:t>
      </w:r>
      <w:r w:rsidRPr="002432BA">
        <w:t>R</w:t>
      </w:r>
      <w:r w:rsidRPr="005F0932">
        <w:rPr>
          <w:vertAlign w:val="superscript"/>
        </w:rPr>
        <w:t>2</w:t>
      </w:r>
      <w:r>
        <w:t xml:space="preserve"> value of 0.04 suggests there is a weak trend.</w:t>
      </w:r>
    </w:p>
  </w:footnote>
  <w:footnote w:id="14">
    <w:p w14:paraId="600AC33D" w14:textId="77777777" w:rsidR="008075DB" w:rsidRPr="00573F9C" w:rsidRDefault="008075DB" w:rsidP="003C215F">
      <w:pPr>
        <w:pStyle w:val="FootnoteText"/>
        <w:rPr>
          <w:lang w:val="en-US"/>
        </w:rPr>
      </w:pPr>
      <w:r>
        <w:rPr>
          <w:rStyle w:val="FootnoteReference"/>
        </w:rPr>
        <w:footnoteRef/>
      </w:r>
      <w:r>
        <w:t xml:space="preserve"> </w:t>
      </w:r>
      <w:r>
        <w:tab/>
        <w:t>As many important mechanical parts and other elements of a vehicle are hidden from view and not easily accessible for inspection, the buyer of a used car does not know beforehand whether it is a good one or a bad one (a “lemon”). The buyer's best guess for a given car is that the car is of average quality; accordingly, he/she will be willing to pay only the price of a car of known average quality. The owner of a carefully maintained, never-abused, good used car will thus be unable to obtain a high enough price to make selling that car worthwhile. Consequently, owners of good cars will not place their cars on the used car market. The withdrawal of good cars reduces the average quality of cars on the market, causing buyers to revise downward their expectations for any given car. This, in turn, motivates the owners of moderately good cars not to sell, and so on.</w:t>
      </w:r>
    </w:p>
  </w:footnote>
  <w:footnote w:id="15">
    <w:p w14:paraId="2971B8FC" w14:textId="77777777" w:rsidR="008075DB" w:rsidRDefault="008075DB" w:rsidP="00952797">
      <w:pPr>
        <w:pStyle w:val="FootnoteText"/>
      </w:pPr>
      <w:r>
        <w:rPr>
          <w:rStyle w:val="FootnoteReference"/>
        </w:rPr>
        <w:footnoteRef/>
      </w:r>
      <w:r>
        <w:t xml:space="preserve"> For simple summaries of these potential sources of behavioural failure, see </w:t>
      </w:r>
      <w:proofErr w:type="spellStart"/>
      <w:r>
        <w:t>Thaler</w:t>
      </w:r>
      <w:proofErr w:type="spellEnd"/>
      <w:r>
        <w:t xml:space="preserve">, </w:t>
      </w:r>
      <w:proofErr w:type="spellStart"/>
      <w:r>
        <w:t>Sunstein</w:t>
      </w:r>
      <w:proofErr w:type="spellEnd"/>
      <w:r>
        <w:t xml:space="preserve"> (2009), </w:t>
      </w:r>
      <w:proofErr w:type="spellStart"/>
      <w:r>
        <w:t>ch.</w:t>
      </w:r>
      <w:proofErr w:type="spellEnd"/>
      <w:r>
        <w:t xml:space="preserve"> 1 and Congdon et al (2011), ch.2.  For discussions in the context of the environment and energy efficiency, see </w:t>
      </w:r>
      <w:proofErr w:type="spellStart"/>
      <w:r>
        <w:t>Shogren</w:t>
      </w:r>
      <w:proofErr w:type="spellEnd"/>
      <w:r>
        <w:t xml:space="preserve">, Taylor (2008); </w:t>
      </w:r>
      <w:proofErr w:type="spellStart"/>
      <w:r>
        <w:t>Brekke</w:t>
      </w:r>
      <w:proofErr w:type="spellEnd"/>
      <w:r>
        <w:t>, Johansson-</w:t>
      </w:r>
      <w:proofErr w:type="spellStart"/>
      <w:r>
        <w:t>Stenman</w:t>
      </w:r>
      <w:proofErr w:type="spellEnd"/>
      <w:r>
        <w:t xml:space="preserve"> (2008); Gillingham, Newell, Palmer (2009); </w:t>
      </w:r>
      <w:proofErr w:type="spellStart"/>
      <w:r>
        <w:t>Tietenberg</w:t>
      </w:r>
      <w:proofErr w:type="spellEnd"/>
      <w:r>
        <w:t xml:space="preserve"> (2009).</w:t>
      </w:r>
    </w:p>
  </w:footnote>
  <w:footnote w:id="16">
    <w:p w14:paraId="407A4C30" w14:textId="77777777" w:rsidR="008075DB" w:rsidRPr="00C8365B" w:rsidRDefault="008075DB" w:rsidP="007B6CC5">
      <w:pPr>
        <w:pStyle w:val="FootnoteText"/>
        <w:rPr>
          <w:lang w:val="en-US"/>
        </w:rPr>
      </w:pPr>
      <w:r>
        <w:rPr>
          <w:rStyle w:val="FootnoteReference"/>
        </w:rPr>
        <w:footnoteRef/>
      </w:r>
      <w:r>
        <w:t xml:space="preserve"> </w:t>
      </w:r>
      <w:r>
        <w:tab/>
        <w:t>For example, s</w:t>
      </w:r>
      <w:proofErr w:type="spellStart"/>
      <w:r>
        <w:rPr>
          <w:lang w:val="en-US"/>
        </w:rPr>
        <w:t>ee</w:t>
      </w:r>
      <w:proofErr w:type="spellEnd"/>
      <w:r>
        <w:rPr>
          <w:lang w:val="en-US"/>
        </w:rPr>
        <w:t xml:space="preserve"> </w:t>
      </w:r>
      <w:r>
        <w:t xml:space="preserve">Jaffe, Newell, </w:t>
      </w:r>
      <w:proofErr w:type="spellStart"/>
      <w:r>
        <w:t>Stavins</w:t>
      </w:r>
      <w:proofErr w:type="spellEnd"/>
      <w:r>
        <w:t xml:space="preserve"> (2005); Stern (2007); </w:t>
      </w:r>
      <w:proofErr w:type="spellStart"/>
      <w:r>
        <w:rPr>
          <w:lang w:val="en-US"/>
        </w:rPr>
        <w:t>Bennear</w:t>
      </w:r>
      <w:proofErr w:type="spellEnd"/>
      <w:r>
        <w:rPr>
          <w:lang w:val="en-US"/>
        </w:rPr>
        <w:t xml:space="preserve">, </w:t>
      </w:r>
      <w:proofErr w:type="spellStart"/>
      <w:r>
        <w:rPr>
          <w:lang w:val="en-US"/>
        </w:rPr>
        <w:t>Stavins</w:t>
      </w:r>
      <w:proofErr w:type="spellEnd"/>
      <w:r>
        <w:rPr>
          <w:lang w:val="en-US"/>
        </w:rPr>
        <w:t xml:space="preserve"> (2007); </w:t>
      </w:r>
      <w:r>
        <w:t xml:space="preserve">Fischer and Newell (2008); </w:t>
      </w:r>
      <w:proofErr w:type="spellStart"/>
      <w:r>
        <w:t>Goulder</w:t>
      </w:r>
      <w:proofErr w:type="spellEnd"/>
      <w:r>
        <w:t xml:space="preserve"> and Parry (2008); Productivity Commission (2008).</w:t>
      </w:r>
    </w:p>
  </w:footnote>
  <w:footnote w:id="17">
    <w:p w14:paraId="2EC9AF25" w14:textId="77777777" w:rsidR="008075DB" w:rsidRDefault="008075DB" w:rsidP="00DD5378">
      <w:pPr>
        <w:pStyle w:val="FootnoteText"/>
      </w:pPr>
      <w:r>
        <w:rPr>
          <w:rStyle w:val="FootnoteReference"/>
        </w:rPr>
        <w:footnoteRef/>
      </w:r>
      <w:r>
        <w:t xml:space="preserve"> </w:t>
      </w:r>
      <w:r>
        <w:tab/>
        <w:t>A present value (PV) is a measure of the aggregate value over all years of the analysis time horizon for a cost or benefit stream. PVs take into account the ‘time value of money’ by discounting (attaching a lower value) to costs and benefits further into the future.</w:t>
      </w:r>
    </w:p>
  </w:footnote>
  <w:footnote w:id="18">
    <w:p w14:paraId="0A50F2E4" w14:textId="77777777" w:rsidR="008075DB" w:rsidRDefault="008075DB">
      <w:pPr>
        <w:pStyle w:val="FootnoteText"/>
      </w:pPr>
      <w:r>
        <w:rPr>
          <w:rStyle w:val="FootnoteReference"/>
        </w:rPr>
        <w:footnoteRef/>
      </w:r>
      <w:r>
        <w:t xml:space="preserve"> </w:t>
      </w:r>
      <w:r>
        <w:tab/>
        <w:t>Based on discussions with NSW OEH NABERS team.</w:t>
      </w:r>
    </w:p>
  </w:footnote>
  <w:footnote w:id="19">
    <w:p w14:paraId="5E82BD23" w14:textId="77777777" w:rsidR="008075DB" w:rsidRDefault="008075DB" w:rsidP="005F7592">
      <w:pPr>
        <w:pStyle w:val="FootnoteText"/>
      </w:pPr>
      <w:r>
        <w:rPr>
          <w:rStyle w:val="FootnoteReference"/>
        </w:rPr>
        <w:footnoteRef/>
      </w:r>
      <w:r>
        <w:t xml:space="preserve"> </w:t>
      </w:r>
      <w:r>
        <w:tab/>
        <w:t xml:space="preserve">0.7 </w:t>
      </w:r>
      <w:proofErr w:type="gramStart"/>
      <w:r>
        <w:t>million</w:t>
      </w:r>
      <w:proofErr w:type="gramEnd"/>
      <w:r>
        <w:t xml:space="preserve"> m</w:t>
      </w:r>
      <w:r w:rsidRPr="00487E6D">
        <w:rPr>
          <w:vertAlign w:val="superscript"/>
        </w:rPr>
        <w:t>2</w:t>
      </w:r>
      <w:r>
        <w:t xml:space="preserve"> of floor space which was rated after 1 July 2011 had a NABERS rating of 1 star or less. This is 81 per cent of the amount of floor space assigned to the mandatory 4</w:t>
      </w:r>
      <w:r w:rsidRPr="00487E6D">
        <w:rPr>
          <w:vertAlign w:val="superscript"/>
        </w:rPr>
        <w:t>th</w:t>
      </w:r>
      <w:r>
        <w:t xml:space="preserve"> quartile (which also had NABERS ratings of 1 star or less)</w:t>
      </w:r>
      <w:r w:rsidRPr="00487E6D">
        <w:t>.</w:t>
      </w:r>
      <w:r>
        <w:t xml:space="preserve"> This percentage is applied to scale-up all quartiles of the mandatory group.</w:t>
      </w:r>
    </w:p>
  </w:footnote>
  <w:footnote w:id="20">
    <w:p w14:paraId="589EDD47" w14:textId="77777777" w:rsidR="008075DB" w:rsidRDefault="008075DB" w:rsidP="00E4692A">
      <w:pPr>
        <w:pStyle w:val="FootnoteText"/>
      </w:pPr>
      <w:r>
        <w:rPr>
          <w:rStyle w:val="FootnoteReference"/>
        </w:rPr>
        <w:footnoteRef/>
      </w:r>
      <w:r>
        <w:t xml:space="preserve"> </w:t>
      </w:r>
      <w:r>
        <w:tab/>
        <w:t>While energy intensity reductions appear to have accelerated following the introduction of mandatory disclosure for voluntary 3</w:t>
      </w:r>
      <w:r w:rsidRPr="0095682B">
        <w:rPr>
          <w:vertAlign w:val="superscript"/>
        </w:rPr>
        <w:t>rd</w:t>
      </w:r>
      <w:r>
        <w:t xml:space="preserve"> and 4</w:t>
      </w:r>
      <w:r w:rsidRPr="0095682B">
        <w:rPr>
          <w:vertAlign w:val="superscript"/>
        </w:rPr>
        <w:t>th</w:t>
      </w:r>
      <w:r>
        <w:t xml:space="preserve"> quartiles (see </w:t>
      </w:r>
      <w:r>
        <w:fldChar w:fldCharType="begin"/>
      </w:r>
      <w:r>
        <w:instrText xml:space="preserve"> REF _Ref407011829 \h  \* MERGEFORMAT </w:instrText>
      </w:r>
      <w:r>
        <w:fldChar w:fldCharType="separate"/>
      </w:r>
      <w:r>
        <w:t>Table 8</w:t>
      </w:r>
      <w:r>
        <w:fldChar w:fldCharType="end"/>
      </w:r>
      <w:r>
        <w:t>), this is driven by an anomalous measurement in 2007 (i.e. higher than 2006) which is likely to be the result of the previous described ‘noise’ in the data.</w:t>
      </w:r>
    </w:p>
  </w:footnote>
  <w:footnote w:id="21">
    <w:p w14:paraId="619BC668" w14:textId="77777777" w:rsidR="008075DB" w:rsidRDefault="008075DB" w:rsidP="00E4692A">
      <w:pPr>
        <w:pStyle w:val="FootnoteText"/>
      </w:pPr>
      <w:r>
        <w:rPr>
          <w:rStyle w:val="FootnoteReference"/>
        </w:rPr>
        <w:footnoteRef/>
      </w:r>
      <w:r>
        <w:t xml:space="preserve"> </w:t>
      </w:r>
      <w:r>
        <w:tab/>
        <w:t>There is a very wide range of energy performance for 0 star buildings. Therefore a building may have improved significantly while its rating has remained at 0 stars.</w:t>
      </w:r>
    </w:p>
  </w:footnote>
  <w:footnote w:id="22">
    <w:p w14:paraId="301766EA" w14:textId="77777777" w:rsidR="008075DB" w:rsidRDefault="008075DB" w:rsidP="0058684E">
      <w:pPr>
        <w:pStyle w:val="FootnoteText"/>
      </w:pPr>
      <w:r>
        <w:rPr>
          <w:rStyle w:val="FootnoteReference"/>
        </w:rPr>
        <w:footnoteRef/>
      </w:r>
      <w:r>
        <w:t xml:space="preserve"> </w:t>
      </w:r>
      <w:r>
        <w:tab/>
        <w:t>Anecdotal evidence suggests that while a number of very generous schemes were available to building owners, these were not being taken up by a portion of the market.</w:t>
      </w:r>
    </w:p>
  </w:footnote>
  <w:footnote w:id="23">
    <w:p w14:paraId="0CD3DE67" w14:textId="2D425A66" w:rsidR="008075DB" w:rsidRDefault="008075DB">
      <w:pPr>
        <w:pStyle w:val="FootnoteText"/>
      </w:pPr>
      <w:r>
        <w:rPr>
          <w:rStyle w:val="FootnoteReference"/>
        </w:rPr>
        <w:footnoteRef/>
      </w:r>
      <w:r>
        <w:t xml:space="preserve"> </w:t>
      </w:r>
      <w:r>
        <w:tab/>
        <w:t>The CBD database, updated weekly, is publically available (</w:t>
      </w:r>
      <w:hyperlink r:id="rId1" w:tooltip="CBD Website" w:history="1">
        <w:r w:rsidRPr="00375DB6">
          <w:rPr>
            <w:rStyle w:val="Hyperlink"/>
          </w:rPr>
          <w:t>http://www.cbd.gov.au/registers/cbd-downloadable-data-set</w:t>
        </w:r>
      </w:hyperlink>
      <w:r>
        <w:t>) and records data contained in BEEC and associated NABERS and TLA certificates.</w:t>
      </w:r>
    </w:p>
  </w:footnote>
  <w:footnote w:id="24">
    <w:p w14:paraId="3707BC28" w14:textId="77777777" w:rsidR="008075DB" w:rsidRPr="00E31D71" w:rsidRDefault="008075DB" w:rsidP="00AF1A76">
      <w:pPr>
        <w:pStyle w:val="FootnoteText"/>
      </w:pPr>
      <w:r>
        <w:rPr>
          <w:rStyle w:val="FootnoteReference"/>
        </w:rPr>
        <w:footnoteRef/>
      </w:r>
      <w:r>
        <w:t xml:space="preserve"> </w:t>
      </w:r>
      <w:r>
        <w:tab/>
        <w:t>For this analysis, the assumed economic value for GHG reductions of $23/tCO</w:t>
      </w:r>
      <w:r w:rsidRPr="00860430">
        <w:rPr>
          <w:vertAlign w:val="subscript"/>
        </w:rPr>
        <w:t>2</w:t>
      </w:r>
      <w:r w:rsidRPr="00E31D71">
        <w:rPr>
          <w:vertAlign w:val="subscript"/>
        </w:rPr>
        <w:t>e</w:t>
      </w:r>
      <w:r>
        <w:t xml:space="preserve"> was applied over the entire time horizon (2010 to 2023). The assumed economic value is based on the approximate carbon price under the CPM (in place between 2010 and 2014), which serves as a proxy for this value throughout this period. Assuming an economic value only for the years 2010 and 2014 reduces benefits by approximately $8.2m PV.</w:t>
      </w:r>
    </w:p>
  </w:footnote>
  <w:footnote w:id="25">
    <w:p w14:paraId="3ECA20D9" w14:textId="77777777" w:rsidR="008075DB" w:rsidRDefault="008075DB" w:rsidP="0032738C">
      <w:pPr>
        <w:pStyle w:val="FootnoteText"/>
      </w:pPr>
      <w:r>
        <w:rPr>
          <w:rStyle w:val="FootnoteReference"/>
        </w:rPr>
        <w:footnoteRef/>
      </w:r>
      <w:r>
        <w:t xml:space="preserve"> </w:t>
      </w:r>
      <w:r>
        <w:tab/>
        <w:t>Project life of energy efficiency improvements will vary. An assumed average project life of 10 years was modelled. Some equipment may have a much longer working life. However, a 10 year average life was chosen to reflect that in some cases the effect of the policy may have simply ‘brought forward’ an improvement that would have otherwise occurred in the future, therefore counting benefits over a longer time horizon would not be appropriate. The shorter time horizon relative to other studies is also consistent with the conservative approach adopted for this analysis.</w:t>
      </w:r>
    </w:p>
  </w:footnote>
  <w:footnote w:id="26">
    <w:p w14:paraId="6B5B0842" w14:textId="77777777" w:rsidR="008075DB" w:rsidRDefault="008075DB">
      <w:pPr>
        <w:pStyle w:val="FootnoteText"/>
      </w:pPr>
      <w:r>
        <w:rPr>
          <w:rStyle w:val="FootnoteReference"/>
        </w:rPr>
        <w:footnoteRef/>
      </w:r>
      <w:r>
        <w:t xml:space="preserve"> </w:t>
      </w:r>
      <w:r>
        <w:tab/>
        <w:t>For this analysis, the assumed economic value for GHG reductions of $23/tCO</w:t>
      </w:r>
      <w:r w:rsidRPr="00860430">
        <w:rPr>
          <w:vertAlign w:val="subscript"/>
        </w:rPr>
        <w:t>2</w:t>
      </w:r>
      <w:r w:rsidRPr="00E31D71">
        <w:rPr>
          <w:vertAlign w:val="subscript"/>
        </w:rPr>
        <w:t>e</w:t>
      </w:r>
      <w:r>
        <w:t xml:space="preserve"> was applied over the entire time horizon (2010 to 2023). The assumed economic value is based on the approximate carbon price under the CPM (in place between 2010 and 2014), which serves as a proxy for this value throughout this period. Assuming an economic value only for the years 2010 and 2014 reduces benefits by approximately $17.5m PV.</w:t>
      </w:r>
    </w:p>
  </w:footnote>
  <w:footnote w:id="27">
    <w:p w14:paraId="26625AB4" w14:textId="287F4998" w:rsidR="008075DB" w:rsidRDefault="008075DB">
      <w:pPr>
        <w:pStyle w:val="FootnoteText"/>
      </w:pPr>
      <w:r>
        <w:rPr>
          <w:rStyle w:val="FootnoteReference"/>
        </w:rPr>
        <w:footnoteRef/>
      </w:r>
      <w:r>
        <w:t xml:space="preserve"> Differences in base building (rather than whole building) energy costs have been represented in this example as these are the costs subject to market failures (the tenant incurs the costs but does not have direct control over them). The relativities between whole building energy use and costs by star rating will be similar.</w:t>
      </w:r>
    </w:p>
  </w:footnote>
  <w:footnote w:id="28">
    <w:p w14:paraId="1E58CD9B" w14:textId="77777777" w:rsidR="008075DB" w:rsidRDefault="008075DB" w:rsidP="00580CF4">
      <w:pPr>
        <w:pStyle w:val="FootnoteText"/>
      </w:pPr>
      <w:r>
        <w:rPr>
          <w:rStyle w:val="FootnoteReference"/>
        </w:rPr>
        <w:footnoteRef/>
      </w:r>
      <w:r>
        <w:t xml:space="preserve"> </w:t>
      </w:r>
      <w:r>
        <w:tab/>
        <w:t>Incremental improvements refers to those that have occurred beyond what was estimated to have occurred anyway without the CBD in place.</w:t>
      </w:r>
    </w:p>
  </w:footnote>
  <w:footnote w:id="29">
    <w:p w14:paraId="4FD47013" w14:textId="77777777" w:rsidR="008075DB" w:rsidRDefault="008075DB" w:rsidP="00FF21DE">
      <w:pPr>
        <w:pStyle w:val="FootnoteText"/>
      </w:pPr>
      <w:r>
        <w:rPr>
          <w:rStyle w:val="FootnoteReference"/>
        </w:rPr>
        <w:footnoteRef/>
      </w:r>
      <w:r>
        <w:t xml:space="preserve"> </w:t>
      </w:r>
      <w:r>
        <w:tab/>
        <w:t>That is, assuming that a 1 per cent increase in supply of available abatement led to a 1 per cent reduction in the marginal price</w:t>
      </w:r>
    </w:p>
  </w:footnote>
  <w:footnote w:id="30">
    <w:p w14:paraId="23DC6EA8" w14:textId="77777777" w:rsidR="008075DB" w:rsidRDefault="008075DB" w:rsidP="00951742">
      <w:pPr>
        <w:pStyle w:val="FootnoteText"/>
      </w:pPr>
      <w:r>
        <w:rPr>
          <w:rStyle w:val="FootnoteReference"/>
        </w:rPr>
        <w:footnoteRef/>
      </w:r>
      <w:r>
        <w:t xml:space="preserve"> </w:t>
      </w:r>
      <w:r>
        <w:tab/>
        <w:t xml:space="preserve">Based on </w:t>
      </w:r>
      <w:r w:rsidRPr="00C35558">
        <w:t>discussions with Paul Suter, NSW Government Property</w:t>
      </w:r>
    </w:p>
  </w:footnote>
  <w:footnote w:id="31">
    <w:p w14:paraId="5A8DF022" w14:textId="77777777" w:rsidR="008075DB" w:rsidRDefault="008075DB" w:rsidP="00951742">
      <w:pPr>
        <w:pStyle w:val="FootnoteText"/>
      </w:pPr>
      <w:r>
        <w:rPr>
          <w:rStyle w:val="FootnoteReference"/>
        </w:rPr>
        <w:footnoteRef/>
      </w:r>
      <w:r>
        <w:t xml:space="preserve"> </w:t>
      </w:r>
      <w:r>
        <w:tab/>
        <w:t xml:space="preserve">Calculated as the percentage of building floor space where the average NLPD for that building (weighted by TLA rated floor space) in NLPD band. </w:t>
      </w:r>
    </w:p>
  </w:footnote>
  <w:footnote w:id="32">
    <w:p w14:paraId="12421EAC" w14:textId="77777777" w:rsidR="008075DB" w:rsidRDefault="008075DB">
      <w:pPr>
        <w:pStyle w:val="FootnoteText"/>
      </w:pPr>
      <w:r>
        <w:rPr>
          <w:rStyle w:val="FootnoteReference"/>
        </w:rPr>
        <w:footnoteRef/>
      </w:r>
      <w:r>
        <w:t xml:space="preserve"> </w:t>
      </w:r>
      <w:r>
        <w:tab/>
        <w:t>Using the same sample as used in the assessment of tenancy lighting outcomes to date.</w:t>
      </w:r>
    </w:p>
  </w:footnote>
  <w:footnote w:id="33">
    <w:p w14:paraId="0D9F698E" w14:textId="77777777" w:rsidR="008075DB" w:rsidRDefault="008075DB">
      <w:pPr>
        <w:pStyle w:val="FootnoteText"/>
      </w:pPr>
      <w:r>
        <w:rPr>
          <w:rStyle w:val="FootnoteReference"/>
        </w:rPr>
        <w:footnoteRef/>
      </w:r>
      <w:r>
        <w:t xml:space="preserve">  </w:t>
      </w:r>
      <w:r>
        <w:tab/>
        <w:t>IPD (2014) notes a weighted average lease expiry (WALE) of 5.0 for their ‘Total Office’ sample as at December 2013. This suggests an average commercial lease length of 10 years, assuming that the distribution of lease expiries is symmetrical.</w:t>
      </w:r>
    </w:p>
  </w:footnote>
  <w:footnote w:id="34">
    <w:p w14:paraId="37A1217C" w14:textId="77777777" w:rsidR="008075DB" w:rsidRDefault="008075DB" w:rsidP="00951742">
      <w:pPr>
        <w:pStyle w:val="FootnoteText"/>
      </w:pPr>
      <w:r>
        <w:rPr>
          <w:rStyle w:val="FootnoteReference"/>
        </w:rPr>
        <w:footnoteRef/>
      </w:r>
      <w:r>
        <w:t xml:space="preserve"> </w:t>
      </w:r>
      <w:r>
        <w:tab/>
        <w:t>Implicitly this assumes that only a portion of the floor space in each NLPD band is upgraded every year, gradually increasing to the point where all floor space within the NLPD band is upgraded by 2024.</w:t>
      </w:r>
    </w:p>
  </w:footnote>
  <w:footnote w:id="35">
    <w:p w14:paraId="3B8E7507" w14:textId="4C6085E7" w:rsidR="008075DB" w:rsidRDefault="008075DB">
      <w:pPr>
        <w:pStyle w:val="FootnoteText"/>
      </w:pPr>
      <w:r>
        <w:rPr>
          <w:rStyle w:val="FootnoteReference"/>
        </w:rPr>
        <w:footnoteRef/>
      </w:r>
      <w:r>
        <w:t xml:space="preserve"> </w:t>
      </w:r>
      <w:r>
        <w:tab/>
        <w:t>I</w:t>
      </w:r>
      <w:r w:rsidRPr="00122DAB">
        <w:t>t is expected the star ratings will be extended as the market approaches this point</w:t>
      </w:r>
      <w:r>
        <w:t xml:space="preserve"> (e.g. introduction of a 7 star rating </w:t>
      </w:r>
      <w:proofErr w:type="spellStart"/>
      <w:r>
        <w:t>etc</w:t>
      </w:r>
      <w:proofErr w:type="spellEnd"/>
      <w:r>
        <w:t>)</w:t>
      </w:r>
      <w:r w:rsidRPr="00122DAB">
        <w:t>.</w:t>
      </w:r>
    </w:p>
  </w:footnote>
  <w:footnote w:id="36">
    <w:p w14:paraId="632C655B" w14:textId="2DFDCE27" w:rsidR="008075DB" w:rsidRDefault="008075DB">
      <w:pPr>
        <w:pStyle w:val="FootnoteText"/>
      </w:pPr>
      <w:r>
        <w:rPr>
          <w:rStyle w:val="FootnoteReference"/>
        </w:rPr>
        <w:footnoteRef/>
      </w:r>
      <w:r>
        <w:t xml:space="preserve"> </w:t>
      </w:r>
      <w:r>
        <w:tab/>
        <w:t>In the context of this analysis, an assumed high retention of behaviour in the counterfactual is considered conservative, since it reduces the benefits attributable to the NABERS component. If benefits exceed costs in the conservative case, there will be greater net benefits in the case where lower counterfactual retention is assumed.</w:t>
      </w:r>
    </w:p>
  </w:footnote>
  <w:footnote w:id="37">
    <w:p w14:paraId="39394FC4" w14:textId="77777777" w:rsidR="008075DB" w:rsidRPr="00FC2BA3" w:rsidRDefault="008075DB" w:rsidP="00627505">
      <w:pPr>
        <w:pStyle w:val="FootnoteText"/>
      </w:pPr>
      <w:r>
        <w:rPr>
          <w:rStyle w:val="FootnoteReference"/>
        </w:rPr>
        <w:footnoteRef/>
      </w:r>
      <w:r>
        <w:t xml:space="preserve"> </w:t>
      </w:r>
      <w:r>
        <w:tab/>
        <w:t>The base assumption is that improvements deliver an average economic benefit of $35 per tCO</w:t>
      </w:r>
      <w:r w:rsidRPr="00860430">
        <w:rPr>
          <w:vertAlign w:val="subscript"/>
        </w:rPr>
        <w:t>2</w:t>
      </w:r>
      <w:r w:rsidRPr="00151D24">
        <w:rPr>
          <w:vertAlign w:val="subscript"/>
        </w:rPr>
        <w:t>e</w:t>
      </w:r>
      <w:r>
        <w:t xml:space="preserve"> abated in 2010 increasing to $117</w:t>
      </w:r>
      <w:r w:rsidRPr="00FC2BA3">
        <w:t xml:space="preserve"> </w:t>
      </w:r>
      <w:r>
        <w:t>per tCO</w:t>
      </w:r>
      <w:r w:rsidRPr="00860430">
        <w:rPr>
          <w:vertAlign w:val="subscript"/>
        </w:rPr>
        <w:t>2</w:t>
      </w:r>
      <w:r w:rsidRPr="00151D24">
        <w:rPr>
          <w:vertAlign w:val="subscript"/>
        </w:rPr>
        <w:t>e</w:t>
      </w:r>
      <w:r>
        <w:rPr>
          <w:vertAlign w:val="subscript"/>
        </w:rPr>
        <w:t xml:space="preserve"> </w:t>
      </w:r>
      <w:r w:rsidRPr="00487E6D">
        <w:t>in 2024</w:t>
      </w:r>
      <w:r>
        <w:t>. Assuming the net benefit is 50 per cent of the base assumptions results in assumption that of $18 per tCO</w:t>
      </w:r>
      <w:r w:rsidRPr="00860430">
        <w:rPr>
          <w:vertAlign w:val="subscript"/>
        </w:rPr>
        <w:t>2</w:t>
      </w:r>
      <w:r w:rsidRPr="00151D24">
        <w:rPr>
          <w:vertAlign w:val="subscript"/>
        </w:rPr>
        <w:t>e</w:t>
      </w:r>
      <w:r>
        <w:t xml:space="preserve"> in 2010 increasing to $59 per tCO</w:t>
      </w:r>
      <w:r w:rsidRPr="00860430">
        <w:rPr>
          <w:vertAlign w:val="subscript"/>
        </w:rPr>
        <w:t>2</w:t>
      </w:r>
      <w:r w:rsidRPr="00151D24">
        <w:rPr>
          <w:vertAlign w:val="subscript"/>
        </w:rPr>
        <w:t>e</w:t>
      </w:r>
      <w:r>
        <w:t xml:space="preserve"> in 2020.</w:t>
      </w:r>
    </w:p>
  </w:footnote>
  <w:footnote w:id="38">
    <w:p w14:paraId="66B5E7C5" w14:textId="77777777" w:rsidR="008075DB" w:rsidRDefault="008075DB" w:rsidP="006500E5">
      <w:pPr>
        <w:pStyle w:val="FootnoteText"/>
      </w:pPr>
      <w:r>
        <w:rPr>
          <w:rStyle w:val="FootnoteReference"/>
        </w:rPr>
        <w:footnoteRef/>
      </w:r>
      <w:r>
        <w:t xml:space="preserve"> </w:t>
      </w:r>
      <w:r>
        <w:tab/>
        <w:t>This minimum of 2,000 tCO</w:t>
      </w:r>
      <w:r>
        <w:rPr>
          <w:vertAlign w:val="subscript"/>
        </w:rPr>
        <w:t>2</w:t>
      </w:r>
      <w:r>
        <w:t>-e applies to bids rather than individual projects. That is, projects that deliver less than 2,000 tCO</w:t>
      </w:r>
      <w:r>
        <w:rPr>
          <w:vertAlign w:val="subscript"/>
        </w:rPr>
        <w:t>2</w:t>
      </w:r>
      <w:r>
        <w:t xml:space="preserve">-e would need to be aggregated with other projects (which could include </w:t>
      </w:r>
      <w:r w:rsidRPr="000639FE">
        <w:t>projects under different methods</w:t>
      </w:r>
      <w:r>
        <w:t>) for a combined bid of greater than 2,000 tCO</w:t>
      </w:r>
      <w:r>
        <w:rPr>
          <w:vertAlign w:val="subscript"/>
        </w:rPr>
        <w:t>2</w:t>
      </w:r>
      <w:r>
        <w:t>-e.</w:t>
      </w:r>
    </w:p>
  </w:footnote>
  <w:footnote w:id="39">
    <w:p w14:paraId="6B895B0A" w14:textId="77777777" w:rsidR="008075DB" w:rsidRDefault="008075DB">
      <w:pPr>
        <w:pStyle w:val="FootnoteText"/>
      </w:pPr>
      <w:r>
        <w:rPr>
          <w:rStyle w:val="FootnoteReference"/>
        </w:rPr>
        <w:footnoteRef/>
      </w:r>
      <w:r>
        <w:t xml:space="preserve"> </w:t>
      </w:r>
      <w:r>
        <w:tab/>
        <w:t>Based on analysis of Property Council of Australia and RP Data stock estimates.</w:t>
      </w:r>
    </w:p>
  </w:footnote>
  <w:footnote w:id="40">
    <w:p w14:paraId="0F766CBF" w14:textId="77777777" w:rsidR="008075DB" w:rsidRDefault="008075DB" w:rsidP="00344F17">
      <w:pPr>
        <w:pStyle w:val="FootnoteText"/>
      </w:pPr>
      <w:r>
        <w:rPr>
          <w:rStyle w:val="FootnoteReference"/>
        </w:rPr>
        <w:footnoteRef/>
      </w:r>
      <w:r>
        <w:t xml:space="preserve"> </w:t>
      </w:r>
      <w:r>
        <w:tab/>
      </w:r>
      <w:r w:rsidRPr="00482F22">
        <w:t>The estimated net benefits exclude productivity benefits or an assumed economic value of GHG reductions. There may be some incremental administrative costs to government but these have not been estimated</w:t>
      </w:r>
      <w:r>
        <w:t>.</w:t>
      </w:r>
    </w:p>
  </w:footnote>
  <w:footnote w:id="41">
    <w:p w14:paraId="4D369442" w14:textId="7CDA82D5" w:rsidR="008075DB" w:rsidRDefault="008075DB" w:rsidP="00344F17">
      <w:pPr>
        <w:pStyle w:val="FootnoteText"/>
      </w:pPr>
      <w:r>
        <w:rPr>
          <w:rStyle w:val="FootnoteReference"/>
        </w:rPr>
        <w:footnoteRef/>
      </w:r>
      <w:r>
        <w:t xml:space="preserve"> </w:t>
      </w:r>
      <w:r>
        <w:tab/>
        <w:t>PUE is a measure of how efficiently a data centre uses energy; specifically, how much energy is used by the computing equipment in contrast to cooling and other overheads. It is calculated by dividing total facility energy consumption by IT equipment energy consumption, with a lower PUE indicating higher energy efficiency.</w:t>
      </w:r>
    </w:p>
  </w:footnote>
  <w:footnote w:id="42">
    <w:p w14:paraId="41E27CA5" w14:textId="77777777" w:rsidR="008075DB" w:rsidRDefault="008075DB">
      <w:pPr>
        <w:pStyle w:val="FootnoteText"/>
      </w:pPr>
      <w:r>
        <w:rPr>
          <w:rStyle w:val="FootnoteReference"/>
        </w:rPr>
        <w:footnoteRef/>
      </w:r>
      <w:r>
        <w:t xml:space="preserve"> </w:t>
      </w:r>
      <w:r>
        <w:tab/>
      </w:r>
      <w:r w:rsidRPr="0024440C">
        <w:t xml:space="preserve">Certified Energy Efficient </w:t>
      </w:r>
      <w:proofErr w:type="spellStart"/>
      <w:r w:rsidRPr="0024440C">
        <w:t>Datacenter</w:t>
      </w:r>
      <w:proofErr w:type="spellEnd"/>
      <w:r w:rsidRPr="0024440C">
        <w:t xml:space="preserve"> Award (CEEDA) is certification scheme delivered worldwide by Datacentre Dynamics Ltd that focuses heavily on the operational energy efficiency of data centres.</w:t>
      </w:r>
    </w:p>
  </w:footnote>
  <w:footnote w:id="43">
    <w:p w14:paraId="28D4A986" w14:textId="7E56460F" w:rsidR="008075DB" w:rsidRDefault="008075DB">
      <w:pPr>
        <w:pStyle w:val="FootnoteText"/>
      </w:pPr>
      <w:r>
        <w:rPr>
          <w:rStyle w:val="FootnoteReference"/>
        </w:rPr>
        <w:footnoteRef/>
      </w:r>
      <w:r>
        <w:t xml:space="preserve"> </w:t>
      </w:r>
      <w:r>
        <w:tab/>
      </w:r>
      <w:r w:rsidRPr="0024440C">
        <w:t>Leadership in Energy &amp; Environmental Design (LEED) is an internationally recognised green building certification system used mainly in the United States and Canada. Third-party certification is possible against the standard, which is aimed at addressing energy use, water use, greenhouse gas emissions, indoor environmental quality and resource stewardship. LEED can be used through the building life-cycle, during design, operation and retrofit. The US Green Building Council runs the program, which covers both residential and commercial buildings.</w:t>
      </w:r>
    </w:p>
  </w:footnote>
  <w:footnote w:id="44">
    <w:p w14:paraId="01783C85" w14:textId="77777777" w:rsidR="008075DB" w:rsidRDefault="008075DB">
      <w:pPr>
        <w:pStyle w:val="FootnoteText"/>
      </w:pPr>
      <w:r>
        <w:rPr>
          <w:rStyle w:val="FootnoteReference"/>
        </w:rPr>
        <w:footnoteRef/>
      </w:r>
      <w:r>
        <w:t xml:space="preserve"> </w:t>
      </w:r>
      <w:r>
        <w:tab/>
      </w:r>
      <w:r w:rsidRPr="0024440C">
        <w:t>BRE Environmental Assessment Method (BREEAM) is a similar system that was established by BRE, a building research organisation funded mainly by the UK government</w:t>
      </w:r>
      <w:r>
        <w:t>.</w:t>
      </w:r>
    </w:p>
  </w:footnote>
  <w:footnote w:id="45">
    <w:p w14:paraId="7CB66EB0" w14:textId="74EC8EF6" w:rsidR="008075DB" w:rsidRDefault="008075DB" w:rsidP="007B6A4B">
      <w:pPr>
        <w:pStyle w:val="FootnoteText"/>
      </w:pPr>
      <w:r>
        <w:rPr>
          <w:rStyle w:val="FootnoteReference"/>
        </w:rPr>
        <w:footnoteRef/>
      </w:r>
      <w:r>
        <w:t xml:space="preserve">  </w:t>
      </w:r>
      <w:hyperlink r:id="rId2" w:tooltip="Leasa App on CBD website" w:history="1">
        <w:r w:rsidRPr="003141A3">
          <w:rPr>
            <w:rStyle w:val="Hyperlink"/>
          </w:rPr>
          <w:t>http://www.cbd.gov.au/leasa-app-for-tenants-released-based-on-cbd-data</w:t>
        </w:r>
      </w:hyperlink>
      <w:r>
        <w:t xml:space="preserve"> </w:t>
      </w:r>
    </w:p>
  </w:footnote>
  <w:footnote w:id="46">
    <w:p w14:paraId="0DC92DF9" w14:textId="030CCB2F" w:rsidR="008075DB" w:rsidRDefault="008075DB">
      <w:pPr>
        <w:pStyle w:val="FootnoteText"/>
      </w:pPr>
      <w:r>
        <w:rPr>
          <w:rStyle w:val="FootnoteReference"/>
        </w:rPr>
        <w:footnoteRef/>
      </w:r>
      <w:r>
        <w:t xml:space="preserve"> </w:t>
      </w:r>
      <w:r>
        <w:tab/>
        <w:t>The growth in market awareness refers to growth in the proportion of the market that act as ‘model tenants’</w:t>
      </w:r>
    </w:p>
  </w:footnote>
  <w:footnote w:id="47">
    <w:p w14:paraId="7DC154DD" w14:textId="77777777" w:rsidR="008075DB" w:rsidRDefault="008075DB" w:rsidP="00DD31C2">
      <w:pPr>
        <w:pStyle w:val="FootnoteText"/>
      </w:pPr>
      <w:r>
        <w:rPr>
          <w:rStyle w:val="FootnoteReference"/>
        </w:rPr>
        <w:footnoteRef/>
      </w:r>
      <w:r>
        <w:t xml:space="preserve"> </w:t>
      </w:r>
      <w:r>
        <w:tab/>
        <w:t>Based on responses to the Department from assessors.</w:t>
      </w:r>
    </w:p>
  </w:footnote>
  <w:footnote w:id="48">
    <w:p w14:paraId="7CE1A27C" w14:textId="1FC3D1DB" w:rsidR="008075DB" w:rsidRDefault="008075DB" w:rsidP="00DD31C2">
      <w:pPr>
        <w:pStyle w:val="FootnoteText"/>
      </w:pPr>
      <w:r>
        <w:rPr>
          <w:rStyle w:val="FootnoteReference"/>
        </w:rPr>
        <w:footnoteRef/>
      </w:r>
      <w:r>
        <w:t xml:space="preserve"> </w:t>
      </w:r>
      <w:r>
        <w:tab/>
        <w:t>NABERS website: (</w:t>
      </w:r>
      <w:hyperlink r:id="rId3" w:tooltip="NABERS rating processing fees" w:history="1">
        <w:r w:rsidRPr="00935F26">
          <w:rPr>
            <w:rStyle w:val="Hyperlink"/>
          </w:rPr>
          <w:t>http://www.nabers.gov.au/public/WebPages/ContentStandard.aspx?module=30&amp;template=3&amp;include=Processingfees.htm&amp;side=RatingTertiary.htm</w:t>
        </w:r>
      </w:hyperlink>
      <w:r>
        <w:t xml:space="preserve">) </w:t>
      </w:r>
    </w:p>
  </w:footnote>
  <w:footnote w:id="49">
    <w:p w14:paraId="77236727" w14:textId="77777777" w:rsidR="008075DB" w:rsidRDefault="008075DB" w:rsidP="00DD31C2">
      <w:pPr>
        <w:pStyle w:val="FootnoteText"/>
      </w:pPr>
      <w:r>
        <w:rPr>
          <w:rStyle w:val="FootnoteReference"/>
        </w:rPr>
        <w:footnoteRef/>
      </w:r>
      <w:r>
        <w:t xml:space="preserve"> </w:t>
      </w:r>
      <w:r>
        <w:tab/>
        <w:t>Based on the Department’s ‘industry burden’ analysis, using the estimated combined NABERS/TLA average cost of $5,500 minus the estimated average NABERS only cost of $3,800.</w:t>
      </w:r>
    </w:p>
  </w:footnote>
  <w:footnote w:id="50">
    <w:p w14:paraId="243949F7" w14:textId="4ECAB585" w:rsidR="008075DB" w:rsidRDefault="008075DB" w:rsidP="00DD31C2">
      <w:pPr>
        <w:pStyle w:val="FootnoteText"/>
      </w:pPr>
      <w:r>
        <w:rPr>
          <w:rStyle w:val="FootnoteReference"/>
        </w:rPr>
        <w:footnoteRef/>
      </w:r>
      <w:r>
        <w:t xml:space="preserve"> </w:t>
      </w:r>
      <w:r>
        <w:tab/>
        <w:t>Assuming that a TLA assessment accompanied each projected NABERS ratings for 2014 (in turn estimated by taking the observed number of ratings of greater than 2,000 m</w:t>
      </w:r>
      <w:r w:rsidRPr="00487E6D">
        <w:rPr>
          <w:vertAlign w:val="superscript"/>
        </w:rPr>
        <w:t>2</w:t>
      </w:r>
      <w:r>
        <w:t xml:space="preserve"> for 2014 up to 25 October 2014 and scaling up by the proportion of the 2014 year remaining). </w:t>
      </w:r>
    </w:p>
  </w:footnote>
  <w:footnote w:id="51">
    <w:p w14:paraId="44D759E1" w14:textId="77777777" w:rsidR="008075DB" w:rsidRDefault="008075DB" w:rsidP="00DD31C2">
      <w:pPr>
        <w:pStyle w:val="FootnoteText"/>
      </w:pPr>
      <w:r>
        <w:rPr>
          <w:rStyle w:val="FootnoteReference"/>
        </w:rPr>
        <w:footnoteRef/>
      </w:r>
      <w:r>
        <w:t xml:space="preserve"> </w:t>
      </w:r>
      <w:r>
        <w:tab/>
        <w:t>This is estimated to be $1.9 million based on number of ratings multiplied by the average cost of a TLA.</w:t>
      </w:r>
    </w:p>
  </w:footnote>
  <w:footnote w:id="52">
    <w:p w14:paraId="149FDBB7" w14:textId="13E0ACB3" w:rsidR="008075DB" w:rsidRDefault="008075DB" w:rsidP="00DD31C2">
      <w:pPr>
        <w:pStyle w:val="FootnoteText"/>
      </w:pPr>
      <w:r>
        <w:rPr>
          <w:rStyle w:val="FootnoteReference"/>
        </w:rPr>
        <w:footnoteRef/>
      </w:r>
      <w:r>
        <w:t xml:space="preserve"> </w:t>
      </w:r>
      <w:r>
        <w:tab/>
        <w:t>NABERS website: (</w:t>
      </w:r>
      <w:hyperlink r:id="rId4" w:tooltip="NABERS rating processing fees" w:history="1">
        <w:r w:rsidRPr="00935F26">
          <w:rPr>
            <w:rStyle w:val="Hyperlink"/>
          </w:rPr>
          <w:t>http://www.nabers.gov.au/public/WebPages/ContentStandard.aspx?module=30&amp;template=3&amp;include=Processingfees.htm&amp;side=RatingTertiary.htm</w:t>
        </w:r>
      </w:hyperlink>
      <w:r>
        <w:t>)</w:t>
      </w:r>
    </w:p>
  </w:footnote>
  <w:footnote w:id="53">
    <w:p w14:paraId="53BCC030" w14:textId="77777777" w:rsidR="008075DB" w:rsidRDefault="008075DB" w:rsidP="001953A7">
      <w:pPr>
        <w:pStyle w:val="FootnoteText"/>
      </w:pPr>
      <w:r>
        <w:rPr>
          <w:rStyle w:val="FootnoteReference"/>
        </w:rPr>
        <w:footnoteRef/>
      </w:r>
      <w:r>
        <w:t xml:space="preserve">  </w:t>
      </w:r>
      <w:r>
        <w:tab/>
        <w:t>Based on discussions and indicative upgrade cost data provided by energy performance assessors and the Energy Efficiency Council (EEC)</w:t>
      </w:r>
    </w:p>
  </w:footnote>
  <w:footnote w:id="54">
    <w:p w14:paraId="0B25E0EF" w14:textId="51A283C3" w:rsidR="008075DB" w:rsidRDefault="008075DB" w:rsidP="001953A7">
      <w:pPr>
        <w:pStyle w:val="FootnoteText"/>
      </w:pPr>
      <w:r>
        <w:rPr>
          <w:rStyle w:val="FootnoteReference"/>
        </w:rPr>
        <w:footnoteRef/>
      </w:r>
      <w:r>
        <w:t xml:space="preserve"> </w:t>
      </w:r>
      <w:r>
        <w:tab/>
        <w:t xml:space="preserve">This is based on the assumption that as at the time of the report, the costs of meeting the Renewable Energy Target (RET), which comprises the Large Scale Renewable Energy Target (LRET) and Small Scale Renewable Energy Scheme (SRES), would not be affected by building energy efficiency projects, as the LRET is a fixed target (in gigawatt-hour terms) and the uptake of SRES is driven primarily by small scale photovoltaic solar in the residential sector. </w:t>
      </w:r>
    </w:p>
  </w:footnote>
  <w:footnote w:id="55">
    <w:p w14:paraId="4732EF17" w14:textId="77777777" w:rsidR="008075DB" w:rsidRDefault="008075DB" w:rsidP="001953A7">
      <w:pPr>
        <w:pStyle w:val="FootnoteText"/>
      </w:pPr>
      <w:r>
        <w:rPr>
          <w:rStyle w:val="FootnoteReference"/>
        </w:rPr>
        <w:footnoteRef/>
      </w:r>
      <w:r>
        <w:t xml:space="preserve"> </w:t>
      </w:r>
      <w:r>
        <w:tab/>
        <w:t>Found to fit the data better than a linear model.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942FE" w14:textId="77777777" w:rsidR="008075DB" w:rsidRPr="00126062" w:rsidRDefault="008075DB" w:rsidP="000E21BF">
    <w:pPr>
      <w:pBdr>
        <w:top w:val="single" w:sz="6" w:space="2" w:color="A6A6A6" w:themeColor="background1" w:themeShade="A6"/>
      </w:pBdr>
      <w:tabs>
        <w:tab w:val="left" w:pos="567"/>
      </w:tabs>
      <w:jc w:val="right"/>
      <w:rPr>
        <w:rFonts w:ascii="Novecento Book" w:hAnsi="Novecento Book"/>
        <w:b/>
        <w:spacing w:val="22"/>
        <w:sz w:val="14"/>
        <w:szCs w:val="1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DA148" w14:textId="77777777" w:rsidR="008075DB" w:rsidRDefault="008075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2E560" w14:textId="77777777" w:rsidR="008075DB" w:rsidRDefault="008075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27F19" w14:textId="77777777" w:rsidR="008075DB" w:rsidRPr="00126062" w:rsidRDefault="008075DB" w:rsidP="005609B3">
    <w:pPr>
      <w:pStyle w:val="AACHeader"/>
    </w:pPr>
    <w:r>
      <w:t xml:space="preserve">ACIL ALLEN </w:t>
    </w:r>
    <w:r>
      <w:rPr>
        <w:color w:val="BFBFBF" w:themeColor="background1" w:themeShade="BF"/>
      </w:rPr>
      <w:t>CONSULTING</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1AB0A" w14:textId="77777777" w:rsidR="008075DB" w:rsidRDefault="008075D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2A396" w14:textId="77777777" w:rsidR="008075DB" w:rsidRDefault="008075D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4B995" w14:textId="77777777" w:rsidR="008075DB" w:rsidRPr="00C57B63" w:rsidRDefault="008075DB" w:rsidP="00EA4292">
    <w:pPr>
      <w:pStyle w:val="AACHeader"/>
    </w:pPr>
    <w:r w:rsidRPr="00C57B63">
      <w:t xml:space="preserve">ACIL ALLEN </w:t>
    </w:r>
    <w:r w:rsidRPr="00C57B63">
      <w:rPr>
        <w:color w:val="BFBFBF" w:themeColor="background1" w:themeShade="BF"/>
      </w:rPr>
      <w:t>CONSULTING</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305D7" w14:textId="77777777" w:rsidR="008075DB" w:rsidRDefault="008075D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81F7D" w14:textId="77777777" w:rsidR="008075DB" w:rsidRDefault="008075D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28DDE" w14:textId="77777777" w:rsidR="008075DB" w:rsidRPr="00C57B63" w:rsidRDefault="008075DB" w:rsidP="00EA4292">
    <w:pPr>
      <w:pStyle w:val="AAC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914FE6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11495BE"/>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1A349728"/>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C88EA846"/>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033072CA"/>
    <w:multiLevelType w:val="multilevel"/>
    <w:tmpl w:val="78C8103E"/>
    <w:styleLink w:val="ACILAllenNumberedList"/>
    <w:lvl w:ilvl="0">
      <w:start w:val="1"/>
      <w:numFmt w:val="decimal"/>
      <w:pStyle w:val="ListNumber"/>
      <w:lvlText w:val="%1."/>
      <w:lvlJc w:val="left"/>
      <w:pPr>
        <w:ind w:left="340" w:hanging="340"/>
      </w:pPr>
      <w:rPr>
        <w:rFonts w:asciiTheme="minorHAnsi" w:hAnsiTheme="minorHAnsi" w:hint="default"/>
      </w:rPr>
    </w:lvl>
    <w:lvl w:ilvl="1">
      <w:start w:val="1"/>
      <w:numFmt w:val="lowerLetter"/>
      <w:pStyle w:val="ListNumber2"/>
      <w:lvlText w:val="%2)"/>
      <w:lvlJc w:val="left"/>
      <w:pPr>
        <w:ind w:left="709" w:hanging="369"/>
      </w:pPr>
      <w:rPr>
        <w:rFonts w:hint="default"/>
      </w:rPr>
    </w:lvl>
    <w:lvl w:ilvl="2">
      <w:start w:val="1"/>
      <w:numFmt w:val="lowerRoman"/>
      <w:pStyle w:val="ListNumber3"/>
      <w:lvlText w:val="%3)"/>
      <w:lvlJc w:val="left"/>
      <w:pPr>
        <w:ind w:left="1213" w:hanging="504"/>
      </w:pPr>
      <w:rPr>
        <w:rFonts w:hint="default"/>
      </w:rPr>
    </w:lvl>
    <w:lvl w:ilvl="3">
      <w:start w:val="1"/>
      <w:numFmt w:val="decimal"/>
      <w:lvlText w:val="(%4)"/>
      <w:lvlJc w:val="left"/>
      <w:pPr>
        <w:ind w:left="1701" w:hanging="499"/>
      </w:pPr>
      <w:rPr>
        <w:rFonts w:hint="default"/>
      </w:rPr>
    </w:lvl>
    <w:lvl w:ilvl="4">
      <w:start w:val="1"/>
      <w:numFmt w:val="lowerLetter"/>
      <w:lvlText w:val="(%5)"/>
      <w:lvlJc w:val="left"/>
      <w:pPr>
        <w:ind w:left="2126" w:hanging="357"/>
      </w:pPr>
      <w:rPr>
        <w:rFonts w:hint="default"/>
      </w:rPr>
    </w:lvl>
    <w:lvl w:ilvl="5">
      <w:start w:val="1"/>
      <w:numFmt w:val="lowerRoman"/>
      <w:lvlText w:val="(%6)"/>
      <w:lvlJc w:val="left"/>
      <w:pPr>
        <w:ind w:left="2880" w:hanging="360"/>
      </w:pPr>
      <w:rPr>
        <w:rFonts w:hint="default"/>
      </w:rPr>
    </w:lvl>
    <w:lvl w:ilvl="6">
      <w:start w:val="1"/>
      <w:numFmt w:val="none"/>
      <w:lvlText w:val="%7"/>
      <w:lvlJc w:val="left"/>
      <w:pPr>
        <w:ind w:left="3240" w:hanging="360"/>
      </w:pPr>
      <w:rPr>
        <w:rFonts w:ascii="Garamond" w:hAnsi="Garamond" w:hint="default"/>
      </w:rPr>
    </w:lvl>
    <w:lvl w:ilvl="7">
      <w:start w:val="1"/>
      <w:numFmt w:val="none"/>
      <w:lvlText w:val="%8"/>
      <w:lvlJc w:val="left"/>
      <w:pPr>
        <w:ind w:left="3600" w:hanging="360"/>
      </w:pPr>
      <w:rPr>
        <w:rFonts w:ascii="Garamond" w:hAnsi="Garamond" w:hint="default"/>
      </w:rPr>
    </w:lvl>
    <w:lvl w:ilvl="8">
      <w:start w:val="1"/>
      <w:numFmt w:val="none"/>
      <w:lvlText w:val="%9"/>
      <w:lvlJc w:val="left"/>
      <w:pPr>
        <w:ind w:left="3960" w:hanging="360"/>
      </w:pPr>
      <w:rPr>
        <w:rFonts w:ascii="Garamond" w:hAnsi="Garamond" w:hint="default"/>
      </w:rPr>
    </w:lvl>
  </w:abstractNum>
  <w:abstractNum w:abstractNumId="5">
    <w:nsid w:val="088509EA"/>
    <w:multiLevelType w:val="multilevel"/>
    <w:tmpl w:val="9DB25304"/>
    <w:styleLink w:val="ACILAllenTableListNumbering"/>
    <w:lvl w:ilvl="0">
      <w:start w:val="1"/>
      <w:numFmt w:val="decimal"/>
      <w:pStyle w:val="Tablelistnumber"/>
      <w:lvlText w:val="%1."/>
      <w:lvlJc w:val="left"/>
      <w:pPr>
        <w:ind w:left="284" w:hanging="284"/>
      </w:pPr>
      <w:rPr>
        <w:rFonts w:asciiTheme="minorHAnsi" w:hAnsiTheme="minorHAnsi" w:hint="default"/>
        <w:caps w:val="0"/>
        <w:strike w:val="0"/>
        <w:dstrike w:val="0"/>
        <w:vanish w:val="0"/>
        <w:color w:val="auto"/>
        <w:sz w:val="16"/>
        <w:vertAlign w:val="baseline"/>
      </w:rPr>
    </w:lvl>
    <w:lvl w:ilvl="1">
      <w:start w:val="1"/>
      <w:numFmt w:val="lowerLetter"/>
      <w:pStyle w:val="Tablelistnumber2"/>
      <w:lvlText w:val="%2)"/>
      <w:lvlJc w:val="left"/>
      <w:pPr>
        <w:ind w:left="567" w:hanging="283"/>
      </w:pPr>
      <w:rPr>
        <w:rFonts w:hint="default"/>
      </w:rPr>
    </w:lvl>
    <w:lvl w:ilvl="2">
      <w:start w:val="1"/>
      <w:numFmt w:val="lowerRoman"/>
      <w:pStyle w:val="Tablelistnumber3"/>
      <w:lvlText w:val="%3)"/>
      <w:lvlJc w:val="left"/>
      <w:pPr>
        <w:ind w:left="851" w:hanging="284"/>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6">
    <w:nsid w:val="0ADF3838"/>
    <w:multiLevelType w:val="hybridMultilevel"/>
    <w:tmpl w:val="3732D5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C6824A6"/>
    <w:multiLevelType w:val="multilevel"/>
    <w:tmpl w:val="32403E0C"/>
    <w:styleLink w:val="ATBoxBulletedList"/>
    <w:lvl w:ilvl="0">
      <w:numFmt w:val="bullet"/>
      <w:lvlText w:val=""/>
      <w:lvlJc w:val="left"/>
      <w:pPr>
        <w:tabs>
          <w:tab w:val="num" w:pos="454"/>
        </w:tabs>
        <w:ind w:left="454" w:hanging="227"/>
      </w:pPr>
      <w:rPr>
        <w:rFonts w:ascii="Symbol" w:hAnsi="Symbol" w:hint="default"/>
        <w:color w:val="auto"/>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Garamond" w:hAnsi="Garamond" w:hint="default"/>
      </w:rPr>
    </w:lvl>
    <w:lvl w:ilvl="3">
      <w:start w:val="1"/>
      <w:numFmt w:val="none"/>
      <w:lvlText w:val=""/>
      <w:lvlJc w:val="left"/>
      <w:pPr>
        <w:ind w:left="2880" w:hanging="360"/>
      </w:pPr>
      <w:rPr>
        <w:rFonts w:hint="default"/>
      </w:rPr>
    </w:lvl>
    <w:lvl w:ilvl="4">
      <w:start w:val="1"/>
      <w:numFmt w:val="none"/>
      <w:lvlText w:val=""/>
      <w:lvlJc w:val="left"/>
      <w:pPr>
        <w:ind w:left="3600" w:hanging="360"/>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8">
    <w:nsid w:val="0FBC535B"/>
    <w:multiLevelType w:val="multilevel"/>
    <w:tmpl w:val="CC5C7C98"/>
    <w:styleLink w:val="ACILAllenDashedList"/>
    <w:lvl w:ilvl="0">
      <w:start w:val="1"/>
      <w:numFmt w:val="bullet"/>
      <w:pStyle w:val="ListDash"/>
      <w:lvlText w:val=""/>
      <w:lvlJc w:val="left"/>
      <w:pPr>
        <w:ind w:left="284" w:hanging="284"/>
      </w:pPr>
      <w:rPr>
        <w:rFonts w:ascii="Symbol" w:hAnsi="Symbol" w:hint="default"/>
      </w:rPr>
    </w:lvl>
    <w:lvl w:ilvl="1">
      <w:start w:val="1"/>
      <w:numFmt w:val="bullet"/>
      <w:pStyle w:val="ListDash2"/>
      <w:lvlText w:val=""/>
      <w:lvlJc w:val="left"/>
      <w:pPr>
        <w:ind w:left="851" w:hanging="284"/>
      </w:pPr>
      <w:rPr>
        <w:rFonts w:ascii="Symbol" w:hAnsi="Symbol" w:hint="default"/>
      </w:rPr>
    </w:lvl>
    <w:lvl w:ilvl="2">
      <w:start w:val="1"/>
      <w:numFmt w:val="bullet"/>
      <w:pStyle w:val="ListDash3"/>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9">
    <w:nsid w:val="0FD50E2C"/>
    <w:multiLevelType w:val="multilevel"/>
    <w:tmpl w:val="71F6571A"/>
    <w:styleLink w:val="ATbulletedlist"/>
    <w:lvl w:ilvl="0">
      <w:start w:val="1"/>
      <w:numFmt w:val="bullet"/>
      <w:lvlText w:val="•"/>
      <w:lvlJc w:val="left"/>
      <w:pPr>
        <w:ind w:left="340" w:hanging="340"/>
      </w:pPr>
      <w:rPr>
        <w:rFonts w:ascii="Garamond" w:hAnsi="Garamond" w:hint="default"/>
      </w:rPr>
    </w:lvl>
    <w:lvl w:ilvl="1">
      <w:start w:val="1"/>
      <w:numFmt w:val="bullet"/>
      <w:lvlText w:val="−"/>
      <w:lvlJc w:val="left"/>
      <w:pPr>
        <w:ind w:left="680" w:hanging="340"/>
      </w:pPr>
      <w:rPr>
        <w:rFonts w:ascii="Garamond" w:hAnsi="Garamond"/>
        <w:sz w:val="24"/>
      </w:rPr>
    </w:lvl>
    <w:lvl w:ilvl="2">
      <w:start w:val="1"/>
      <w:numFmt w:val="bullet"/>
      <w:lvlText w:val="…"/>
      <w:lvlJc w:val="left"/>
      <w:pPr>
        <w:ind w:left="1020" w:hanging="340"/>
      </w:pPr>
      <w:rPr>
        <w:rFonts w:ascii="Garamond" w:hAnsi="Garamond" w:hint="default"/>
      </w:rPr>
    </w:lvl>
    <w:lvl w:ilvl="3">
      <w:start w:val="1"/>
      <w:numFmt w:val="bullet"/>
      <w:lvlText w:val="•"/>
      <w:lvlJc w:val="left"/>
      <w:pPr>
        <w:ind w:left="1360" w:hanging="340"/>
      </w:pPr>
      <w:rPr>
        <w:rFonts w:ascii="Garamond" w:hAnsi="Garamond" w:hint="default"/>
      </w:rPr>
    </w:lvl>
    <w:lvl w:ilvl="4">
      <w:start w:val="1"/>
      <w:numFmt w:val="bullet"/>
      <w:lvlText w:val="−"/>
      <w:lvlJc w:val="left"/>
      <w:pPr>
        <w:ind w:left="1700" w:hanging="340"/>
      </w:pPr>
      <w:rPr>
        <w:rFonts w:ascii="Garamond" w:hAnsi="Garamond" w:hint="default"/>
      </w:rPr>
    </w:lvl>
    <w:lvl w:ilvl="5">
      <w:start w:val="1"/>
      <w:numFmt w:val="bullet"/>
      <w:lvlText w:val="…"/>
      <w:lvlJc w:val="left"/>
      <w:pPr>
        <w:ind w:left="2040" w:hanging="340"/>
      </w:pPr>
      <w:rPr>
        <w:rFonts w:ascii="Garamond" w:hAnsi="Garamond" w:hint="default"/>
      </w:rPr>
    </w:lvl>
    <w:lvl w:ilvl="6">
      <w:start w:val="1"/>
      <w:numFmt w:val="none"/>
      <w:lvlText w:val="%7"/>
      <w:lvlJc w:val="left"/>
      <w:pPr>
        <w:ind w:left="2380" w:hanging="340"/>
      </w:pPr>
      <w:rPr>
        <w:rFonts w:ascii="Garamond" w:hAnsi="Garamond" w:hint="default"/>
      </w:rPr>
    </w:lvl>
    <w:lvl w:ilvl="7">
      <w:start w:val="1"/>
      <w:numFmt w:val="none"/>
      <w:lvlText w:val="%8"/>
      <w:lvlJc w:val="left"/>
      <w:pPr>
        <w:ind w:left="2720" w:hanging="340"/>
      </w:pPr>
      <w:rPr>
        <w:rFonts w:ascii="Garamond" w:hAnsi="Garamond" w:hint="default"/>
      </w:rPr>
    </w:lvl>
    <w:lvl w:ilvl="8">
      <w:start w:val="1"/>
      <w:numFmt w:val="none"/>
      <w:lvlText w:val="%9"/>
      <w:lvlJc w:val="left"/>
      <w:pPr>
        <w:ind w:left="3060" w:hanging="340"/>
      </w:pPr>
      <w:rPr>
        <w:rFonts w:ascii="Garamond" w:hAnsi="Garamond" w:hint="default"/>
      </w:rPr>
    </w:lvl>
  </w:abstractNum>
  <w:abstractNum w:abstractNumId="10">
    <w:nsid w:val="17B8215F"/>
    <w:multiLevelType w:val="hybridMultilevel"/>
    <w:tmpl w:val="1A48B7F6"/>
    <w:lvl w:ilvl="0" w:tplc="91EEC954">
      <w:start w:val="1"/>
      <w:numFmt w:val="bullet"/>
      <w:pStyle w:val="TableQuoteBullet"/>
      <w:lvlText w:val=""/>
      <w:lvlJc w:val="left"/>
      <w:pPr>
        <w:ind w:left="473" w:hanging="360"/>
      </w:pPr>
      <w:rPr>
        <w:rFonts w:ascii="Wingdings" w:hAnsi="Wingdings"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1">
    <w:nsid w:val="184A0171"/>
    <w:multiLevelType w:val="multilevel"/>
    <w:tmpl w:val="CC5C7C98"/>
    <w:numStyleLink w:val="ACILAllenDashedList"/>
  </w:abstractNum>
  <w:abstractNum w:abstractNumId="12">
    <w:nsid w:val="23855EDD"/>
    <w:multiLevelType w:val="hybridMultilevel"/>
    <w:tmpl w:val="401AAF7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245C0796"/>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FAA5670"/>
    <w:multiLevelType w:val="multilevel"/>
    <w:tmpl w:val="5F4A1496"/>
    <w:styleLink w:val="ACILAllenPartNumbers"/>
    <w:lvl w:ilvl="0">
      <w:start w:val="1"/>
      <w:numFmt w:val="cardinalText"/>
      <w:suff w:val="nothing"/>
      <w:lvlText w:val="Part %1"/>
      <w:lvlJc w:val="left"/>
      <w:pPr>
        <w:ind w:left="360" w:hanging="360"/>
      </w:pPr>
      <w:rPr>
        <w:rFonts w:hint="default"/>
        <w:spacing w:val="40"/>
        <w:sz w:val="160"/>
      </w:rPr>
    </w:lvl>
    <w:lvl w:ilvl="1">
      <w:start w:val="1"/>
      <w:numFmt w:val="upperRoman"/>
      <w:suff w:val="nothing"/>
      <w:lvlText w:val="%2"/>
      <w:lvlJc w:val="center"/>
      <w:pPr>
        <w:ind w:left="0" w:firstLine="0"/>
      </w:pPr>
      <w:rPr>
        <w:rFonts w:ascii="Georgia" w:hAnsi="Georgia" w:hint="default"/>
        <w:b/>
        <w:i w:val="0"/>
        <w:color w:val="FFFFFF" w:themeColor="background1"/>
        <w:sz w:val="96"/>
      </w:rPr>
    </w:lvl>
    <w:lvl w:ilvl="2">
      <w:start w:val="1"/>
      <w:numFmt w:val="none"/>
      <w:suff w:val="nothing"/>
      <w:lvlText w:val=""/>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suff w:val="nothing"/>
      <w:lvlText w:val=""/>
      <w:lvlJc w:val="left"/>
      <w:pPr>
        <w:ind w:left="2520" w:hanging="360"/>
      </w:pPr>
      <w:rPr>
        <w:rFonts w:hint="default"/>
      </w:rPr>
    </w:lvl>
    <w:lvl w:ilvl="7">
      <w:start w:val="1"/>
      <w:numFmt w:val="none"/>
      <w:suff w:val="nothing"/>
      <w:lvlText w:val="%8"/>
      <w:lvlJc w:val="left"/>
      <w:pPr>
        <w:ind w:left="2880" w:hanging="360"/>
      </w:pPr>
      <w:rPr>
        <w:rFonts w:hint="default"/>
      </w:rPr>
    </w:lvl>
    <w:lvl w:ilvl="8">
      <w:start w:val="1"/>
      <w:numFmt w:val="none"/>
      <w:suff w:val="nothing"/>
      <w:lvlText w:val="%9"/>
      <w:lvlJc w:val="left"/>
      <w:pPr>
        <w:ind w:left="3240" w:hanging="360"/>
      </w:pPr>
      <w:rPr>
        <w:rFonts w:hint="default"/>
      </w:rPr>
    </w:lvl>
  </w:abstractNum>
  <w:abstractNum w:abstractNumId="15">
    <w:nsid w:val="35D26D71"/>
    <w:multiLevelType w:val="multilevel"/>
    <w:tmpl w:val="A2BED88C"/>
    <w:styleLink w:val="ACILAllenBoxBulletedList"/>
    <w:lvl w:ilvl="0">
      <w:numFmt w:val="bullet"/>
      <w:pStyle w:val="BoxListBullet"/>
      <w:lvlText w:val=""/>
      <w:lvlJc w:val="left"/>
      <w:pPr>
        <w:ind w:left="284" w:hanging="284"/>
      </w:pPr>
      <w:rPr>
        <w:rFonts w:ascii="Wingdings" w:hAnsi="Wingdings" w:hint="default"/>
        <w:color w:val="auto"/>
        <w:position w:val="-2"/>
      </w:rPr>
    </w:lvl>
    <w:lvl w:ilvl="1">
      <w:start w:val="1"/>
      <w:numFmt w:val="bullet"/>
      <w:pStyle w:val="BoxListBullet2"/>
      <w:lvlText w:val=""/>
      <w:lvlJc w:val="left"/>
      <w:pPr>
        <w:ind w:left="567" w:hanging="283"/>
      </w:pPr>
      <w:rPr>
        <w:rFonts w:ascii="Wingdings" w:hAnsi="Wingdings" w:hint="default"/>
      </w:rPr>
    </w:lvl>
    <w:lvl w:ilvl="2">
      <w:start w:val="1"/>
      <w:numFmt w:val="bullet"/>
      <w:pStyle w:val="BoxListBullet3"/>
      <w:lvlText w:val="…"/>
      <w:lvlJc w:val="left"/>
      <w:pPr>
        <w:ind w:left="851" w:hanging="284"/>
      </w:pPr>
      <w:rPr>
        <w:rFonts w:ascii="Times New Roman" w:hAnsi="Times New Roman" w:cs="Times New Roman" w:hint="default"/>
        <w:position w:val="4"/>
      </w:rPr>
    </w:lvl>
    <w:lvl w:ilvl="3">
      <w:start w:val="1"/>
      <w:numFmt w:val="none"/>
      <w:suff w:val="nothing"/>
      <w:lvlText w:val=""/>
      <w:lvlJc w:val="left"/>
      <w:pPr>
        <w:ind w:left="1134"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nsid w:val="39A11BCA"/>
    <w:multiLevelType w:val="hybridMultilevel"/>
    <w:tmpl w:val="53BEF55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3BCD694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43222DA2"/>
    <w:multiLevelType w:val="hybridMultilevel"/>
    <w:tmpl w:val="E48C4CF4"/>
    <w:lvl w:ilvl="0" w:tplc="ECBEBE16">
      <w:start w:val="1"/>
      <w:numFmt w:val="bullet"/>
      <w:pStyle w:val="BoxQuoteListBullet"/>
      <w:lvlText w:val=""/>
      <w:lvlJc w:val="left"/>
      <w:pPr>
        <w:ind w:left="587" w:hanging="360"/>
      </w:pPr>
      <w:rPr>
        <w:rFonts w:ascii="Symbol" w:hAnsi="Symbol" w:hint="default"/>
      </w:rPr>
    </w:lvl>
    <w:lvl w:ilvl="1" w:tplc="45683542" w:tentative="1">
      <w:start w:val="1"/>
      <w:numFmt w:val="bullet"/>
      <w:lvlText w:val="o"/>
      <w:lvlJc w:val="left"/>
      <w:pPr>
        <w:ind w:left="1307" w:hanging="360"/>
      </w:pPr>
      <w:rPr>
        <w:rFonts w:ascii="Courier New" w:hAnsi="Courier New" w:cs="Courier New" w:hint="default"/>
      </w:rPr>
    </w:lvl>
    <w:lvl w:ilvl="2" w:tplc="87A8D99A" w:tentative="1">
      <w:start w:val="1"/>
      <w:numFmt w:val="bullet"/>
      <w:lvlText w:val=""/>
      <w:lvlJc w:val="left"/>
      <w:pPr>
        <w:ind w:left="2027" w:hanging="360"/>
      </w:pPr>
      <w:rPr>
        <w:rFonts w:ascii="Wingdings" w:hAnsi="Wingdings" w:hint="default"/>
      </w:rPr>
    </w:lvl>
    <w:lvl w:ilvl="3" w:tplc="95429438" w:tentative="1">
      <w:start w:val="1"/>
      <w:numFmt w:val="bullet"/>
      <w:lvlText w:val=""/>
      <w:lvlJc w:val="left"/>
      <w:pPr>
        <w:ind w:left="2747" w:hanging="360"/>
      </w:pPr>
      <w:rPr>
        <w:rFonts w:ascii="Symbol" w:hAnsi="Symbol" w:hint="default"/>
      </w:rPr>
    </w:lvl>
    <w:lvl w:ilvl="4" w:tplc="BA586674" w:tentative="1">
      <w:start w:val="1"/>
      <w:numFmt w:val="bullet"/>
      <w:lvlText w:val="o"/>
      <w:lvlJc w:val="left"/>
      <w:pPr>
        <w:ind w:left="3467" w:hanging="360"/>
      </w:pPr>
      <w:rPr>
        <w:rFonts w:ascii="Courier New" w:hAnsi="Courier New" w:cs="Courier New" w:hint="default"/>
      </w:rPr>
    </w:lvl>
    <w:lvl w:ilvl="5" w:tplc="0F7A370E" w:tentative="1">
      <w:start w:val="1"/>
      <w:numFmt w:val="bullet"/>
      <w:lvlText w:val=""/>
      <w:lvlJc w:val="left"/>
      <w:pPr>
        <w:ind w:left="4187" w:hanging="360"/>
      </w:pPr>
      <w:rPr>
        <w:rFonts w:ascii="Wingdings" w:hAnsi="Wingdings" w:hint="default"/>
      </w:rPr>
    </w:lvl>
    <w:lvl w:ilvl="6" w:tplc="84D461FC" w:tentative="1">
      <w:start w:val="1"/>
      <w:numFmt w:val="bullet"/>
      <w:lvlText w:val=""/>
      <w:lvlJc w:val="left"/>
      <w:pPr>
        <w:ind w:left="4907" w:hanging="360"/>
      </w:pPr>
      <w:rPr>
        <w:rFonts w:ascii="Symbol" w:hAnsi="Symbol" w:hint="default"/>
      </w:rPr>
    </w:lvl>
    <w:lvl w:ilvl="7" w:tplc="9CE8E02C" w:tentative="1">
      <w:start w:val="1"/>
      <w:numFmt w:val="bullet"/>
      <w:lvlText w:val="o"/>
      <w:lvlJc w:val="left"/>
      <w:pPr>
        <w:ind w:left="5627" w:hanging="360"/>
      </w:pPr>
      <w:rPr>
        <w:rFonts w:ascii="Courier New" w:hAnsi="Courier New" w:cs="Courier New" w:hint="default"/>
      </w:rPr>
    </w:lvl>
    <w:lvl w:ilvl="8" w:tplc="852A1C84" w:tentative="1">
      <w:start w:val="1"/>
      <w:numFmt w:val="bullet"/>
      <w:lvlText w:val=""/>
      <w:lvlJc w:val="left"/>
      <w:pPr>
        <w:ind w:left="6347" w:hanging="360"/>
      </w:pPr>
      <w:rPr>
        <w:rFonts w:ascii="Wingdings" w:hAnsi="Wingdings" w:hint="default"/>
      </w:rPr>
    </w:lvl>
  </w:abstractNum>
  <w:abstractNum w:abstractNumId="19">
    <w:nsid w:val="43D200A3"/>
    <w:multiLevelType w:val="singleLevel"/>
    <w:tmpl w:val="5B28AA70"/>
    <w:lvl w:ilvl="0">
      <w:start w:val="1"/>
      <w:numFmt w:val="bullet"/>
      <w:pStyle w:val="SideDash"/>
      <w:lvlText w:val="–"/>
      <w:lvlJc w:val="left"/>
      <w:pPr>
        <w:tabs>
          <w:tab w:val="num" w:pos="170"/>
        </w:tabs>
        <w:ind w:left="170" w:hanging="170"/>
      </w:pPr>
      <w:rPr>
        <w:rFonts w:ascii="Times New Roman" w:hAnsi="Times New Roman" w:cs="Times New Roman" w:hint="default"/>
        <w:b w:val="0"/>
        <w:i/>
        <w:sz w:val="20"/>
      </w:rPr>
    </w:lvl>
  </w:abstractNum>
  <w:abstractNum w:abstractNumId="20">
    <w:nsid w:val="448C61FD"/>
    <w:multiLevelType w:val="multilevel"/>
    <w:tmpl w:val="1FA672DC"/>
    <w:styleLink w:val="ACILAllenTableBulletedList"/>
    <w:lvl w:ilvl="0">
      <w:start w:val="1"/>
      <w:numFmt w:val="bullet"/>
      <w:pStyle w:val="Tablelistbullet"/>
      <w:lvlText w:val=""/>
      <w:lvlJc w:val="left"/>
      <w:pPr>
        <w:ind w:left="227" w:hanging="227"/>
      </w:pPr>
      <w:rPr>
        <w:rFonts w:ascii="Wingdings" w:hAnsi="Wingdings" w:hint="default"/>
        <w:color w:val="auto"/>
      </w:rPr>
    </w:lvl>
    <w:lvl w:ilvl="1">
      <w:start w:val="1"/>
      <w:numFmt w:val="bullet"/>
      <w:pStyle w:val="Tablelistbullet2"/>
      <w:lvlText w:val=""/>
      <w:lvlJc w:val="left"/>
      <w:pPr>
        <w:ind w:left="454" w:hanging="227"/>
      </w:pPr>
      <w:rPr>
        <w:rFonts w:ascii="Wingdings" w:hAnsi="Wingdings" w:hint="default"/>
      </w:rPr>
    </w:lvl>
    <w:lvl w:ilvl="2">
      <w:start w:val="1"/>
      <w:numFmt w:val="bullet"/>
      <w:pStyle w:val="Tablelistbullet3"/>
      <w:lvlText w:val="…"/>
      <w:lvlJc w:val="left"/>
      <w:pPr>
        <w:ind w:left="680" w:hanging="226"/>
      </w:pPr>
      <w:rPr>
        <w:rFonts w:ascii="Arial" w:hAnsi="Arial" w:hint="default"/>
        <w:position w:val="2"/>
      </w:rPr>
    </w:lvl>
    <w:lvl w:ilvl="3">
      <w:start w:val="1"/>
      <w:numFmt w:val="none"/>
      <w:suff w:val="nothing"/>
      <w:lvlText w:val=""/>
      <w:lvlJc w:val="left"/>
      <w:pPr>
        <w:ind w:left="90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1">
    <w:nsid w:val="633E1D4D"/>
    <w:multiLevelType w:val="hybridMultilevel"/>
    <w:tmpl w:val="401E2836"/>
    <w:lvl w:ilvl="0" w:tplc="0C09000F">
      <w:start w:val="1"/>
      <w:numFmt w:val="decimal"/>
      <w:lvlText w:val="%1."/>
      <w:lvlJc w:val="left"/>
      <w:pPr>
        <w:ind w:left="360" w:hanging="360"/>
      </w:pPr>
    </w:lvl>
    <w:lvl w:ilvl="1" w:tplc="5A9EF0A2">
      <w:numFmt w:val="bullet"/>
      <w:lvlText w:val="•"/>
      <w:lvlJc w:val="left"/>
      <w:pPr>
        <w:ind w:left="1620" w:hanging="900"/>
      </w:pPr>
      <w:rPr>
        <w:rFonts w:ascii="Arial Narrow" w:eastAsia="Times New Roman" w:hAnsi="Arial Narrow" w:cs="Times New Roman"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64F264CF"/>
    <w:multiLevelType w:val="multilevel"/>
    <w:tmpl w:val="E5385568"/>
    <w:lvl w:ilvl="0">
      <w:start w:val="1"/>
      <w:numFmt w:val="decimal"/>
      <w:pStyle w:val="Heading1"/>
      <w:lvlText w:val="%1"/>
      <w:lvlJc w:val="left"/>
      <w:pPr>
        <w:tabs>
          <w:tab w:val="num" w:pos="902"/>
        </w:tabs>
        <w:ind w:left="902" w:hanging="902"/>
      </w:pPr>
      <w:rPr>
        <w:rFonts w:hint="default"/>
      </w:rPr>
    </w:lvl>
    <w:lvl w:ilvl="1">
      <w:start w:val="1"/>
      <w:numFmt w:val="decimal"/>
      <w:pStyle w:val="Heading2"/>
      <w:lvlText w:val="%1.%2"/>
      <w:lvlJc w:val="left"/>
      <w:pPr>
        <w:tabs>
          <w:tab w:val="num" w:pos="902"/>
        </w:tabs>
        <w:ind w:left="902" w:hanging="902"/>
      </w:pPr>
      <w:rPr>
        <w:rFonts w:hint="default"/>
      </w:rPr>
    </w:lvl>
    <w:lvl w:ilvl="2">
      <w:start w:val="1"/>
      <w:numFmt w:val="decimal"/>
      <w:pStyle w:val="Heading3"/>
      <w:lvlText w:val="%1.%2.%3"/>
      <w:lvlJc w:val="left"/>
      <w:pPr>
        <w:tabs>
          <w:tab w:val="num" w:pos="902"/>
        </w:tabs>
        <w:ind w:left="902" w:hanging="902"/>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lvlText w:val=""/>
      <w:lvlJc w:val="left"/>
      <w:pPr>
        <w:tabs>
          <w:tab w:val="num" w:pos="1152"/>
        </w:tabs>
        <w:ind w:left="1152" w:hanging="1152"/>
      </w:pPr>
      <w:rPr>
        <w:rFonts w:hint="default"/>
      </w:rPr>
    </w:lvl>
    <w:lvl w:ilvl="6">
      <w:start w:val="1"/>
      <w:numFmt w:val="upperLetter"/>
      <w:pStyle w:val="Heading7"/>
      <w:lvlText w:val="Appendix %7"/>
      <w:lvlJc w:val="left"/>
      <w:pPr>
        <w:tabs>
          <w:tab w:val="num" w:pos="0"/>
        </w:tabs>
        <w:ind w:left="0" w:hanging="2552"/>
      </w:pPr>
      <w:rPr>
        <w:rFonts w:hint="default"/>
      </w:rPr>
    </w:lvl>
    <w:lvl w:ilvl="7">
      <w:start w:val="1"/>
      <w:numFmt w:val="decimal"/>
      <w:pStyle w:val="Heading8"/>
      <w:lvlText w:val="%7.%8"/>
      <w:lvlJc w:val="left"/>
      <w:pPr>
        <w:tabs>
          <w:tab w:val="num" w:pos="902"/>
        </w:tabs>
        <w:ind w:left="902" w:hanging="902"/>
      </w:pPr>
      <w:rPr>
        <w:rFonts w:hint="default"/>
      </w:rPr>
    </w:lvl>
    <w:lvl w:ilvl="8">
      <w:start w:val="1"/>
      <w:numFmt w:val="decimal"/>
      <w:pStyle w:val="Heading9"/>
      <w:lvlText w:val="%7.%8.%9"/>
      <w:lvlJc w:val="left"/>
      <w:pPr>
        <w:tabs>
          <w:tab w:val="num" w:pos="902"/>
        </w:tabs>
        <w:ind w:left="902" w:hanging="902"/>
      </w:pPr>
      <w:rPr>
        <w:rFonts w:hint="default"/>
      </w:rPr>
    </w:lvl>
  </w:abstractNum>
  <w:abstractNum w:abstractNumId="23">
    <w:nsid w:val="6B404337"/>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6B8521EB"/>
    <w:multiLevelType w:val="hybridMultilevel"/>
    <w:tmpl w:val="C5526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D617B2B"/>
    <w:multiLevelType w:val="multilevel"/>
    <w:tmpl w:val="BE988648"/>
    <w:styleLink w:val="ACILAllenBulletedlist"/>
    <w:lvl w:ilvl="0">
      <w:start w:val="1"/>
      <w:numFmt w:val="bullet"/>
      <w:pStyle w:val="ListBullet"/>
      <w:lvlText w:val=""/>
      <w:lvlJc w:val="left"/>
      <w:pPr>
        <w:ind w:left="340" w:hanging="340"/>
      </w:pPr>
      <w:rPr>
        <w:rFonts w:ascii="Wingdings" w:hAnsi="Wingdings"/>
        <w:position w:val="-4"/>
        <w:sz w:val="28"/>
      </w:rPr>
    </w:lvl>
    <w:lvl w:ilvl="1">
      <w:start w:val="1"/>
      <w:numFmt w:val="bullet"/>
      <w:pStyle w:val="ListBullet2"/>
      <w:lvlText w:val=""/>
      <w:lvlJc w:val="left"/>
      <w:pPr>
        <w:ind w:left="680" w:hanging="340"/>
      </w:pPr>
      <w:rPr>
        <w:rFonts w:ascii="Wingdings" w:hAnsi="Wingdings" w:hint="default"/>
        <w:position w:val="-2"/>
        <w:sz w:val="24"/>
      </w:rPr>
    </w:lvl>
    <w:lvl w:ilvl="2">
      <w:start w:val="1"/>
      <w:numFmt w:val="bullet"/>
      <w:pStyle w:val="ListBullet3"/>
      <w:lvlText w:val="…"/>
      <w:lvlJc w:val="left"/>
      <w:pPr>
        <w:ind w:left="1020" w:hanging="340"/>
      </w:pPr>
      <w:rPr>
        <w:rFonts w:asciiTheme="minorHAnsi" w:hAnsiTheme="minorHAnsi" w:hint="default"/>
        <w:position w:val="6"/>
      </w:rPr>
    </w:lvl>
    <w:lvl w:ilvl="3">
      <w:start w:val="1"/>
      <w:numFmt w:val="none"/>
      <w:lvlText w:val="%4"/>
      <w:lvlJc w:val="left"/>
      <w:pPr>
        <w:ind w:left="1021" w:hanging="1"/>
      </w:pPr>
      <w:rPr>
        <w:rFonts w:ascii="Garamond" w:hAnsi="Garamond" w:hint="default"/>
      </w:rPr>
    </w:lvl>
    <w:lvl w:ilvl="4">
      <w:start w:val="1"/>
      <w:numFmt w:val="none"/>
      <w:lvlText w:val="%5"/>
      <w:lvlJc w:val="left"/>
      <w:pPr>
        <w:ind w:left="1700" w:hanging="340"/>
      </w:pPr>
      <w:rPr>
        <w:rFonts w:ascii="Garamond" w:hAnsi="Garamond" w:hint="default"/>
      </w:rPr>
    </w:lvl>
    <w:lvl w:ilvl="5">
      <w:start w:val="1"/>
      <w:numFmt w:val="none"/>
      <w:suff w:val="nothing"/>
      <w:lvlText w:val=""/>
      <w:lvlJc w:val="left"/>
      <w:pPr>
        <w:ind w:left="2040" w:hanging="340"/>
      </w:pPr>
      <w:rPr>
        <w:rFonts w:hint="default"/>
      </w:rPr>
    </w:lvl>
    <w:lvl w:ilvl="6">
      <w:start w:val="1"/>
      <w:numFmt w:val="none"/>
      <w:lvlText w:val="%7"/>
      <w:lvlJc w:val="left"/>
      <w:pPr>
        <w:ind w:left="2380" w:hanging="340"/>
      </w:pPr>
      <w:rPr>
        <w:rFonts w:ascii="Garamond" w:hAnsi="Garamond" w:hint="default"/>
      </w:rPr>
    </w:lvl>
    <w:lvl w:ilvl="7">
      <w:start w:val="1"/>
      <w:numFmt w:val="none"/>
      <w:lvlText w:val="%8"/>
      <w:lvlJc w:val="left"/>
      <w:pPr>
        <w:ind w:left="2720" w:hanging="340"/>
      </w:pPr>
      <w:rPr>
        <w:rFonts w:ascii="Garamond" w:hAnsi="Garamond" w:hint="default"/>
      </w:rPr>
    </w:lvl>
    <w:lvl w:ilvl="8">
      <w:start w:val="1"/>
      <w:numFmt w:val="none"/>
      <w:lvlText w:val="%9"/>
      <w:lvlJc w:val="left"/>
      <w:pPr>
        <w:ind w:left="3060" w:hanging="340"/>
      </w:pPr>
      <w:rPr>
        <w:rFonts w:ascii="Garamond" w:hAnsi="Garamond" w:hint="default"/>
      </w:rPr>
    </w:lvl>
  </w:abstractNum>
  <w:abstractNum w:abstractNumId="26">
    <w:nsid w:val="74907FE1"/>
    <w:multiLevelType w:val="hybridMultilevel"/>
    <w:tmpl w:val="EF02A540"/>
    <w:lvl w:ilvl="0" w:tplc="0D7476D4">
      <w:start w:val="1"/>
      <w:numFmt w:val="bullet"/>
      <w:pStyle w:val="QuoteListBullet"/>
      <w:lvlText w:val="•"/>
      <w:lvlJc w:val="left"/>
      <w:pPr>
        <w:ind w:left="1060" w:hanging="360"/>
      </w:pPr>
      <w:rPr>
        <w:rFonts w:ascii="Century" w:hAnsi="Century" w:cs="Times New Roman" w:hint="default"/>
      </w:rPr>
    </w:lvl>
    <w:lvl w:ilvl="1" w:tplc="2674AA5A" w:tentative="1">
      <w:start w:val="1"/>
      <w:numFmt w:val="bullet"/>
      <w:lvlText w:val="o"/>
      <w:lvlJc w:val="left"/>
      <w:pPr>
        <w:ind w:left="1780" w:hanging="360"/>
      </w:pPr>
      <w:rPr>
        <w:rFonts w:ascii="Courier New" w:hAnsi="Courier New" w:cs="Courier New" w:hint="default"/>
      </w:rPr>
    </w:lvl>
    <w:lvl w:ilvl="2" w:tplc="EC6A1D18" w:tentative="1">
      <w:start w:val="1"/>
      <w:numFmt w:val="bullet"/>
      <w:lvlText w:val=""/>
      <w:lvlJc w:val="left"/>
      <w:pPr>
        <w:ind w:left="2500" w:hanging="360"/>
      </w:pPr>
      <w:rPr>
        <w:rFonts w:ascii="Wingdings" w:hAnsi="Wingdings" w:hint="default"/>
      </w:rPr>
    </w:lvl>
    <w:lvl w:ilvl="3" w:tplc="62CA421E" w:tentative="1">
      <w:start w:val="1"/>
      <w:numFmt w:val="bullet"/>
      <w:lvlText w:val=""/>
      <w:lvlJc w:val="left"/>
      <w:pPr>
        <w:ind w:left="3220" w:hanging="360"/>
      </w:pPr>
      <w:rPr>
        <w:rFonts w:ascii="Symbol" w:hAnsi="Symbol" w:hint="default"/>
      </w:rPr>
    </w:lvl>
    <w:lvl w:ilvl="4" w:tplc="ED3CD158" w:tentative="1">
      <w:start w:val="1"/>
      <w:numFmt w:val="bullet"/>
      <w:lvlText w:val="o"/>
      <w:lvlJc w:val="left"/>
      <w:pPr>
        <w:ind w:left="3940" w:hanging="360"/>
      </w:pPr>
      <w:rPr>
        <w:rFonts w:ascii="Courier New" w:hAnsi="Courier New" w:cs="Courier New" w:hint="default"/>
      </w:rPr>
    </w:lvl>
    <w:lvl w:ilvl="5" w:tplc="CE2CEAA8" w:tentative="1">
      <w:start w:val="1"/>
      <w:numFmt w:val="bullet"/>
      <w:lvlText w:val=""/>
      <w:lvlJc w:val="left"/>
      <w:pPr>
        <w:ind w:left="4660" w:hanging="360"/>
      </w:pPr>
      <w:rPr>
        <w:rFonts w:ascii="Wingdings" w:hAnsi="Wingdings" w:hint="default"/>
      </w:rPr>
    </w:lvl>
    <w:lvl w:ilvl="6" w:tplc="D9820910" w:tentative="1">
      <w:start w:val="1"/>
      <w:numFmt w:val="bullet"/>
      <w:lvlText w:val=""/>
      <w:lvlJc w:val="left"/>
      <w:pPr>
        <w:ind w:left="5380" w:hanging="360"/>
      </w:pPr>
      <w:rPr>
        <w:rFonts w:ascii="Symbol" w:hAnsi="Symbol" w:hint="default"/>
      </w:rPr>
    </w:lvl>
    <w:lvl w:ilvl="7" w:tplc="2D52F2DE" w:tentative="1">
      <w:start w:val="1"/>
      <w:numFmt w:val="bullet"/>
      <w:lvlText w:val="o"/>
      <w:lvlJc w:val="left"/>
      <w:pPr>
        <w:ind w:left="6100" w:hanging="360"/>
      </w:pPr>
      <w:rPr>
        <w:rFonts w:ascii="Courier New" w:hAnsi="Courier New" w:cs="Courier New" w:hint="default"/>
      </w:rPr>
    </w:lvl>
    <w:lvl w:ilvl="8" w:tplc="DB36473E" w:tentative="1">
      <w:start w:val="1"/>
      <w:numFmt w:val="bullet"/>
      <w:lvlText w:val=""/>
      <w:lvlJc w:val="left"/>
      <w:pPr>
        <w:ind w:left="6820" w:hanging="360"/>
      </w:pPr>
      <w:rPr>
        <w:rFonts w:ascii="Wingdings" w:hAnsi="Wingdings" w:hint="default"/>
      </w:rPr>
    </w:lvl>
  </w:abstractNum>
  <w:abstractNum w:abstractNumId="27">
    <w:nsid w:val="7A197097"/>
    <w:multiLevelType w:val="multilevel"/>
    <w:tmpl w:val="8990D484"/>
    <w:styleLink w:val="ACILAllenBoxListNumbering"/>
    <w:lvl w:ilvl="0">
      <w:start w:val="1"/>
      <w:numFmt w:val="decimal"/>
      <w:pStyle w:val="BoxListNumber"/>
      <w:lvlText w:val="%1."/>
      <w:lvlJc w:val="left"/>
      <w:pPr>
        <w:ind w:left="284" w:hanging="284"/>
      </w:pPr>
      <w:rPr>
        <w:rFonts w:asciiTheme="minorHAnsi" w:hAnsiTheme="minorHAnsi" w:hint="default"/>
        <w:caps w:val="0"/>
        <w:strike w:val="0"/>
        <w:dstrike w:val="0"/>
        <w:vanish w:val="0"/>
        <w:color w:val="auto"/>
        <w:sz w:val="16"/>
        <w:vertAlign w:val="baseline"/>
      </w:rPr>
    </w:lvl>
    <w:lvl w:ilvl="1">
      <w:start w:val="1"/>
      <w:numFmt w:val="lowerLetter"/>
      <w:pStyle w:val="BoxListNumber2"/>
      <w:lvlText w:val="%2)"/>
      <w:lvlJc w:val="left"/>
      <w:pPr>
        <w:ind w:left="567" w:hanging="283"/>
      </w:pPr>
      <w:rPr>
        <w:rFonts w:hint="default"/>
      </w:rPr>
    </w:lvl>
    <w:lvl w:ilvl="2">
      <w:start w:val="1"/>
      <w:numFmt w:val="lowerRoman"/>
      <w:pStyle w:val="BoxListNumber3"/>
      <w:lvlText w:val="%3)"/>
      <w:lvlJc w:val="left"/>
      <w:pPr>
        <w:ind w:left="851" w:hanging="284"/>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num w:numId="1">
    <w:abstractNumId w:val="3"/>
  </w:num>
  <w:num w:numId="2">
    <w:abstractNumId w:val="2"/>
  </w:num>
  <w:num w:numId="3">
    <w:abstractNumId w:val="1"/>
  </w:num>
  <w:num w:numId="4">
    <w:abstractNumId w:val="0"/>
  </w:num>
  <w:num w:numId="5">
    <w:abstractNumId w:val="17"/>
  </w:num>
  <w:num w:numId="6">
    <w:abstractNumId w:val="13"/>
  </w:num>
  <w:num w:numId="7">
    <w:abstractNumId w:val="23"/>
  </w:num>
  <w:num w:numId="8">
    <w:abstractNumId w:val="19"/>
  </w:num>
  <w:num w:numId="9">
    <w:abstractNumId w:val="26"/>
  </w:num>
  <w:num w:numId="10">
    <w:abstractNumId w:val="15"/>
  </w:num>
  <w:num w:numId="11">
    <w:abstractNumId w:val="27"/>
  </w:num>
  <w:num w:numId="12">
    <w:abstractNumId w:val="4"/>
  </w:num>
  <w:num w:numId="13">
    <w:abstractNumId w:val="20"/>
  </w:num>
  <w:num w:numId="14">
    <w:abstractNumId w:val="25"/>
  </w:num>
  <w:num w:numId="15">
    <w:abstractNumId w:val="8"/>
  </w:num>
  <w:num w:numId="16">
    <w:abstractNumId w:val="9"/>
  </w:num>
  <w:num w:numId="17">
    <w:abstractNumId w:val="7"/>
  </w:num>
  <w:num w:numId="18">
    <w:abstractNumId w:val="14"/>
  </w:num>
  <w:num w:numId="19">
    <w:abstractNumId w:val="11"/>
  </w:num>
  <w:num w:numId="20">
    <w:abstractNumId w:val="22"/>
  </w:num>
  <w:num w:numId="21">
    <w:abstractNumId w:val="5"/>
  </w:num>
  <w:num w:numId="22">
    <w:abstractNumId w:val="10"/>
  </w:num>
  <w:num w:numId="23">
    <w:abstractNumId w:val="18"/>
  </w:num>
  <w:num w:numId="24">
    <w:abstractNumId w:val="27"/>
  </w:num>
  <w:num w:numId="25">
    <w:abstractNumId w:val="4"/>
  </w:num>
  <w:num w:numId="26">
    <w:abstractNumId w:val="25"/>
  </w:num>
  <w:num w:numId="27">
    <w:abstractNumId w:val="15"/>
  </w:num>
  <w:num w:numId="28">
    <w:abstractNumId w:val="20"/>
  </w:num>
  <w:num w:numId="29">
    <w:abstractNumId w:val="22"/>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21"/>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SG" w:vendorID="64" w:dllVersion="131078" w:nlCheck="1" w:checkStyle="1"/>
  <w:activeWritingStyle w:appName="MSWord" w:lang="en-AU" w:vendorID="8" w:dllVersion="513" w:checkStyle="1"/>
  <w:activeWritingStyle w:appName="MSWord" w:lang="en-US" w:vendorID="8" w:dllVersion="513" w:checkStyle="1"/>
  <w:proofState w:spelling="clean" w:grammar="clean"/>
  <w:attachedTemplate r:id="rId1"/>
  <w:stylePaneFormatFilter w:val="3708" w:allStyles="0" w:customStyles="0" w:latentStyles="0" w:stylesInUse="1" w:headingStyles="0" w:numberingStyles="0" w:tableStyles="0" w:directFormattingOnRuns="1" w:directFormattingOnParagraphs="1" w:directFormattingOnNumbering="1" w:directFormattingOnTables="0" w:clearFormatting="1" w:top3HeadingStyles="1" w:visibleStyles="0" w:alternateStyleNames="0"/>
  <w:defaultTabStop w:val="902"/>
  <w:clickAndTypeStyle w:val="BodyText"/>
  <w:drawingGridHorizontalSpacing w:val="120"/>
  <w:displayHorizontalDrawingGridEvery w:val="0"/>
  <w:displayVerticalDrawingGridEvery w:val="0"/>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5B9"/>
    <w:rsid w:val="0000046D"/>
    <w:rsid w:val="00000559"/>
    <w:rsid w:val="00000948"/>
    <w:rsid w:val="00001A3E"/>
    <w:rsid w:val="00002E51"/>
    <w:rsid w:val="00003343"/>
    <w:rsid w:val="000036E5"/>
    <w:rsid w:val="00003E03"/>
    <w:rsid w:val="00003EF1"/>
    <w:rsid w:val="00004042"/>
    <w:rsid w:val="000040F8"/>
    <w:rsid w:val="00005858"/>
    <w:rsid w:val="00006363"/>
    <w:rsid w:val="00006400"/>
    <w:rsid w:val="0000663D"/>
    <w:rsid w:val="00006C06"/>
    <w:rsid w:val="00006C8F"/>
    <w:rsid w:val="00007236"/>
    <w:rsid w:val="000072CB"/>
    <w:rsid w:val="0000736D"/>
    <w:rsid w:val="00010218"/>
    <w:rsid w:val="00010465"/>
    <w:rsid w:val="000105BD"/>
    <w:rsid w:val="000106A0"/>
    <w:rsid w:val="0001140E"/>
    <w:rsid w:val="00011609"/>
    <w:rsid w:val="00011802"/>
    <w:rsid w:val="00011D7D"/>
    <w:rsid w:val="00012051"/>
    <w:rsid w:val="000123D9"/>
    <w:rsid w:val="00012BCD"/>
    <w:rsid w:val="0001331B"/>
    <w:rsid w:val="000133E7"/>
    <w:rsid w:val="00013650"/>
    <w:rsid w:val="000136F0"/>
    <w:rsid w:val="00013FBB"/>
    <w:rsid w:val="00014E1C"/>
    <w:rsid w:val="00014FDA"/>
    <w:rsid w:val="00015505"/>
    <w:rsid w:val="00015A92"/>
    <w:rsid w:val="00015BB6"/>
    <w:rsid w:val="000169D3"/>
    <w:rsid w:val="00016B2F"/>
    <w:rsid w:val="00017A12"/>
    <w:rsid w:val="00017F00"/>
    <w:rsid w:val="00020428"/>
    <w:rsid w:val="0002068B"/>
    <w:rsid w:val="0002132D"/>
    <w:rsid w:val="000221E9"/>
    <w:rsid w:val="00022213"/>
    <w:rsid w:val="00022A6A"/>
    <w:rsid w:val="00023430"/>
    <w:rsid w:val="000236F1"/>
    <w:rsid w:val="000237AA"/>
    <w:rsid w:val="00023F8E"/>
    <w:rsid w:val="000260DA"/>
    <w:rsid w:val="000264D1"/>
    <w:rsid w:val="00027353"/>
    <w:rsid w:val="00027498"/>
    <w:rsid w:val="0002788B"/>
    <w:rsid w:val="00027E91"/>
    <w:rsid w:val="00027F0E"/>
    <w:rsid w:val="0003072F"/>
    <w:rsid w:val="000312A2"/>
    <w:rsid w:val="0003171E"/>
    <w:rsid w:val="00031EAE"/>
    <w:rsid w:val="0003234D"/>
    <w:rsid w:val="000328EF"/>
    <w:rsid w:val="00032A3B"/>
    <w:rsid w:val="00032E53"/>
    <w:rsid w:val="000332A4"/>
    <w:rsid w:val="000334E6"/>
    <w:rsid w:val="00033A96"/>
    <w:rsid w:val="00033F6D"/>
    <w:rsid w:val="00034AA2"/>
    <w:rsid w:val="000359B3"/>
    <w:rsid w:val="00035B52"/>
    <w:rsid w:val="00035BC9"/>
    <w:rsid w:val="00035BCA"/>
    <w:rsid w:val="00035BF2"/>
    <w:rsid w:val="00035ECB"/>
    <w:rsid w:val="00036035"/>
    <w:rsid w:val="00036E22"/>
    <w:rsid w:val="000370A1"/>
    <w:rsid w:val="00037A1A"/>
    <w:rsid w:val="00037AB3"/>
    <w:rsid w:val="00037D43"/>
    <w:rsid w:val="00041020"/>
    <w:rsid w:val="00041A27"/>
    <w:rsid w:val="00041EFD"/>
    <w:rsid w:val="00041F4B"/>
    <w:rsid w:val="000421C6"/>
    <w:rsid w:val="0004299F"/>
    <w:rsid w:val="0004386F"/>
    <w:rsid w:val="00044119"/>
    <w:rsid w:val="0004427B"/>
    <w:rsid w:val="00044612"/>
    <w:rsid w:val="00044CBA"/>
    <w:rsid w:val="00046BD1"/>
    <w:rsid w:val="00046DA1"/>
    <w:rsid w:val="000505E8"/>
    <w:rsid w:val="00051252"/>
    <w:rsid w:val="000518F6"/>
    <w:rsid w:val="0005236E"/>
    <w:rsid w:val="00052939"/>
    <w:rsid w:val="00052E59"/>
    <w:rsid w:val="000538B3"/>
    <w:rsid w:val="00053D21"/>
    <w:rsid w:val="00053E12"/>
    <w:rsid w:val="000542F8"/>
    <w:rsid w:val="0005500A"/>
    <w:rsid w:val="00055558"/>
    <w:rsid w:val="00055891"/>
    <w:rsid w:val="00055FC0"/>
    <w:rsid w:val="00056996"/>
    <w:rsid w:val="00056AE7"/>
    <w:rsid w:val="00056BC6"/>
    <w:rsid w:val="00057842"/>
    <w:rsid w:val="00057983"/>
    <w:rsid w:val="00057C81"/>
    <w:rsid w:val="00057E45"/>
    <w:rsid w:val="0006074A"/>
    <w:rsid w:val="00060766"/>
    <w:rsid w:val="000607F1"/>
    <w:rsid w:val="00060FC2"/>
    <w:rsid w:val="00061DDB"/>
    <w:rsid w:val="000623D0"/>
    <w:rsid w:val="000625A6"/>
    <w:rsid w:val="00062653"/>
    <w:rsid w:val="00063605"/>
    <w:rsid w:val="0006395A"/>
    <w:rsid w:val="000639FE"/>
    <w:rsid w:val="00063FEC"/>
    <w:rsid w:val="0006461D"/>
    <w:rsid w:val="000648DB"/>
    <w:rsid w:val="00065416"/>
    <w:rsid w:val="00065D65"/>
    <w:rsid w:val="00065DBE"/>
    <w:rsid w:val="00065DC0"/>
    <w:rsid w:val="00066725"/>
    <w:rsid w:val="0006690D"/>
    <w:rsid w:val="00066CC0"/>
    <w:rsid w:val="00067135"/>
    <w:rsid w:val="00071402"/>
    <w:rsid w:val="00071414"/>
    <w:rsid w:val="00071DCC"/>
    <w:rsid w:val="00071EFD"/>
    <w:rsid w:val="000729F9"/>
    <w:rsid w:val="00072F4B"/>
    <w:rsid w:val="00074F3A"/>
    <w:rsid w:val="00075197"/>
    <w:rsid w:val="00075909"/>
    <w:rsid w:val="000760EB"/>
    <w:rsid w:val="000765A4"/>
    <w:rsid w:val="00076BB2"/>
    <w:rsid w:val="00077484"/>
    <w:rsid w:val="00077E2B"/>
    <w:rsid w:val="00077FD4"/>
    <w:rsid w:val="0008007B"/>
    <w:rsid w:val="000809A2"/>
    <w:rsid w:val="00080A48"/>
    <w:rsid w:val="00081279"/>
    <w:rsid w:val="00082611"/>
    <w:rsid w:val="00082721"/>
    <w:rsid w:val="000828C6"/>
    <w:rsid w:val="00082F6D"/>
    <w:rsid w:val="00083067"/>
    <w:rsid w:val="0008364A"/>
    <w:rsid w:val="00083A42"/>
    <w:rsid w:val="00083B15"/>
    <w:rsid w:val="00083E33"/>
    <w:rsid w:val="00084880"/>
    <w:rsid w:val="00084A8C"/>
    <w:rsid w:val="00085AE8"/>
    <w:rsid w:val="00085E9A"/>
    <w:rsid w:val="00085FC8"/>
    <w:rsid w:val="00086357"/>
    <w:rsid w:val="0008747B"/>
    <w:rsid w:val="000878BE"/>
    <w:rsid w:val="000878E2"/>
    <w:rsid w:val="000910C4"/>
    <w:rsid w:val="00091210"/>
    <w:rsid w:val="000918B6"/>
    <w:rsid w:val="00092787"/>
    <w:rsid w:val="00092F7A"/>
    <w:rsid w:val="00093175"/>
    <w:rsid w:val="000935B7"/>
    <w:rsid w:val="00093AA2"/>
    <w:rsid w:val="00093BDE"/>
    <w:rsid w:val="000948AA"/>
    <w:rsid w:val="00094D19"/>
    <w:rsid w:val="00095DDC"/>
    <w:rsid w:val="00096062"/>
    <w:rsid w:val="000961AD"/>
    <w:rsid w:val="000963AF"/>
    <w:rsid w:val="000970BB"/>
    <w:rsid w:val="00097336"/>
    <w:rsid w:val="00097DCF"/>
    <w:rsid w:val="000A1ABC"/>
    <w:rsid w:val="000A1E51"/>
    <w:rsid w:val="000A2791"/>
    <w:rsid w:val="000A28C6"/>
    <w:rsid w:val="000A2A65"/>
    <w:rsid w:val="000A43F3"/>
    <w:rsid w:val="000A4B65"/>
    <w:rsid w:val="000A50BF"/>
    <w:rsid w:val="000A5B22"/>
    <w:rsid w:val="000A60B2"/>
    <w:rsid w:val="000A6533"/>
    <w:rsid w:val="000A659A"/>
    <w:rsid w:val="000A68E3"/>
    <w:rsid w:val="000A6DD2"/>
    <w:rsid w:val="000A6EC1"/>
    <w:rsid w:val="000A7691"/>
    <w:rsid w:val="000B0871"/>
    <w:rsid w:val="000B0906"/>
    <w:rsid w:val="000B1365"/>
    <w:rsid w:val="000B1C1D"/>
    <w:rsid w:val="000B1C6E"/>
    <w:rsid w:val="000B1EB2"/>
    <w:rsid w:val="000B20BB"/>
    <w:rsid w:val="000B2587"/>
    <w:rsid w:val="000B2F0A"/>
    <w:rsid w:val="000B313E"/>
    <w:rsid w:val="000B3612"/>
    <w:rsid w:val="000B47A8"/>
    <w:rsid w:val="000B52E7"/>
    <w:rsid w:val="000B7DD9"/>
    <w:rsid w:val="000C02D5"/>
    <w:rsid w:val="000C037F"/>
    <w:rsid w:val="000C0A7E"/>
    <w:rsid w:val="000C0F8A"/>
    <w:rsid w:val="000C102E"/>
    <w:rsid w:val="000C110B"/>
    <w:rsid w:val="000C1C10"/>
    <w:rsid w:val="000C1CEC"/>
    <w:rsid w:val="000C237B"/>
    <w:rsid w:val="000C2BE2"/>
    <w:rsid w:val="000C2FB8"/>
    <w:rsid w:val="000C3386"/>
    <w:rsid w:val="000C3513"/>
    <w:rsid w:val="000C3FD1"/>
    <w:rsid w:val="000C55C6"/>
    <w:rsid w:val="000C5710"/>
    <w:rsid w:val="000C57E9"/>
    <w:rsid w:val="000C5FC4"/>
    <w:rsid w:val="000C6126"/>
    <w:rsid w:val="000C6B6E"/>
    <w:rsid w:val="000C79BE"/>
    <w:rsid w:val="000C7A87"/>
    <w:rsid w:val="000D041D"/>
    <w:rsid w:val="000D089C"/>
    <w:rsid w:val="000D0A1D"/>
    <w:rsid w:val="000D0A78"/>
    <w:rsid w:val="000D0B31"/>
    <w:rsid w:val="000D0ED6"/>
    <w:rsid w:val="000D1108"/>
    <w:rsid w:val="000D1F0A"/>
    <w:rsid w:val="000D2199"/>
    <w:rsid w:val="000D232D"/>
    <w:rsid w:val="000D3058"/>
    <w:rsid w:val="000D4961"/>
    <w:rsid w:val="000D4E9F"/>
    <w:rsid w:val="000D569D"/>
    <w:rsid w:val="000D5822"/>
    <w:rsid w:val="000D5EC6"/>
    <w:rsid w:val="000D64F2"/>
    <w:rsid w:val="000D7296"/>
    <w:rsid w:val="000D74B4"/>
    <w:rsid w:val="000D76C5"/>
    <w:rsid w:val="000D7871"/>
    <w:rsid w:val="000E09EE"/>
    <w:rsid w:val="000E0ABB"/>
    <w:rsid w:val="000E0AD5"/>
    <w:rsid w:val="000E1172"/>
    <w:rsid w:val="000E2046"/>
    <w:rsid w:val="000E21BF"/>
    <w:rsid w:val="000E443B"/>
    <w:rsid w:val="000E5087"/>
    <w:rsid w:val="000E5371"/>
    <w:rsid w:val="000E5529"/>
    <w:rsid w:val="000E575C"/>
    <w:rsid w:val="000E5F92"/>
    <w:rsid w:val="000E62CF"/>
    <w:rsid w:val="000E6C41"/>
    <w:rsid w:val="000E6D8A"/>
    <w:rsid w:val="000E73C7"/>
    <w:rsid w:val="000E7849"/>
    <w:rsid w:val="000F0BEF"/>
    <w:rsid w:val="000F139C"/>
    <w:rsid w:val="000F1FE5"/>
    <w:rsid w:val="000F2207"/>
    <w:rsid w:val="000F25C4"/>
    <w:rsid w:val="000F2B63"/>
    <w:rsid w:val="000F2C20"/>
    <w:rsid w:val="000F3384"/>
    <w:rsid w:val="000F3464"/>
    <w:rsid w:val="000F3563"/>
    <w:rsid w:val="000F416E"/>
    <w:rsid w:val="000F4AFE"/>
    <w:rsid w:val="000F4C77"/>
    <w:rsid w:val="000F5130"/>
    <w:rsid w:val="000F63DF"/>
    <w:rsid w:val="000F648A"/>
    <w:rsid w:val="000F660C"/>
    <w:rsid w:val="000F69E5"/>
    <w:rsid w:val="000F7778"/>
    <w:rsid w:val="000F787D"/>
    <w:rsid w:val="00100957"/>
    <w:rsid w:val="00100F4A"/>
    <w:rsid w:val="0010256F"/>
    <w:rsid w:val="001029C7"/>
    <w:rsid w:val="00103E70"/>
    <w:rsid w:val="00103F3B"/>
    <w:rsid w:val="00104113"/>
    <w:rsid w:val="00105F7E"/>
    <w:rsid w:val="001061B1"/>
    <w:rsid w:val="00106731"/>
    <w:rsid w:val="00106994"/>
    <w:rsid w:val="0010707E"/>
    <w:rsid w:val="00107275"/>
    <w:rsid w:val="00110508"/>
    <w:rsid w:val="001110FC"/>
    <w:rsid w:val="00112820"/>
    <w:rsid w:val="00113E7C"/>
    <w:rsid w:val="00113EAF"/>
    <w:rsid w:val="00114070"/>
    <w:rsid w:val="00114513"/>
    <w:rsid w:val="001154B8"/>
    <w:rsid w:val="001154F1"/>
    <w:rsid w:val="00115B4E"/>
    <w:rsid w:val="00116341"/>
    <w:rsid w:val="0011769E"/>
    <w:rsid w:val="001203AF"/>
    <w:rsid w:val="0012068A"/>
    <w:rsid w:val="00120EA9"/>
    <w:rsid w:val="00121594"/>
    <w:rsid w:val="001215A0"/>
    <w:rsid w:val="00121E7F"/>
    <w:rsid w:val="0012204F"/>
    <w:rsid w:val="001222CF"/>
    <w:rsid w:val="00122CF8"/>
    <w:rsid w:val="00122DAB"/>
    <w:rsid w:val="0012349F"/>
    <w:rsid w:val="00124245"/>
    <w:rsid w:val="001243C8"/>
    <w:rsid w:val="00124F1A"/>
    <w:rsid w:val="00124FCE"/>
    <w:rsid w:val="00125287"/>
    <w:rsid w:val="00125690"/>
    <w:rsid w:val="00125B64"/>
    <w:rsid w:val="00126062"/>
    <w:rsid w:val="00126398"/>
    <w:rsid w:val="0012664D"/>
    <w:rsid w:val="0012693A"/>
    <w:rsid w:val="00126D3F"/>
    <w:rsid w:val="0012754C"/>
    <w:rsid w:val="00127C13"/>
    <w:rsid w:val="00127F42"/>
    <w:rsid w:val="0013094A"/>
    <w:rsid w:val="00130ED9"/>
    <w:rsid w:val="001316DD"/>
    <w:rsid w:val="00131CAC"/>
    <w:rsid w:val="00132571"/>
    <w:rsid w:val="0013304B"/>
    <w:rsid w:val="00133715"/>
    <w:rsid w:val="001345A2"/>
    <w:rsid w:val="00134BEC"/>
    <w:rsid w:val="00134DE4"/>
    <w:rsid w:val="001352C6"/>
    <w:rsid w:val="001356EE"/>
    <w:rsid w:val="0013592D"/>
    <w:rsid w:val="00135B3D"/>
    <w:rsid w:val="00136464"/>
    <w:rsid w:val="00137ACD"/>
    <w:rsid w:val="0014015A"/>
    <w:rsid w:val="0014028B"/>
    <w:rsid w:val="001403AF"/>
    <w:rsid w:val="00140F6F"/>
    <w:rsid w:val="001411E3"/>
    <w:rsid w:val="00141F01"/>
    <w:rsid w:val="00142339"/>
    <w:rsid w:val="00142B98"/>
    <w:rsid w:val="00142C38"/>
    <w:rsid w:val="00145BB3"/>
    <w:rsid w:val="0014609A"/>
    <w:rsid w:val="001463FC"/>
    <w:rsid w:val="00146956"/>
    <w:rsid w:val="00146E90"/>
    <w:rsid w:val="00147385"/>
    <w:rsid w:val="00147464"/>
    <w:rsid w:val="00150E7D"/>
    <w:rsid w:val="00151754"/>
    <w:rsid w:val="00151837"/>
    <w:rsid w:val="0015217C"/>
    <w:rsid w:val="00152D86"/>
    <w:rsid w:val="00152DCE"/>
    <w:rsid w:val="00152F66"/>
    <w:rsid w:val="001533C9"/>
    <w:rsid w:val="00154710"/>
    <w:rsid w:val="00154834"/>
    <w:rsid w:val="00154999"/>
    <w:rsid w:val="00154BC5"/>
    <w:rsid w:val="001556F1"/>
    <w:rsid w:val="00155BCE"/>
    <w:rsid w:val="00155CE4"/>
    <w:rsid w:val="001564C1"/>
    <w:rsid w:val="00157436"/>
    <w:rsid w:val="00157DE8"/>
    <w:rsid w:val="00157EF2"/>
    <w:rsid w:val="00160BAC"/>
    <w:rsid w:val="00160E03"/>
    <w:rsid w:val="00161ED8"/>
    <w:rsid w:val="0016244C"/>
    <w:rsid w:val="00163331"/>
    <w:rsid w:val="00163DAB"/>
    <w:rsid w:val="00163F44"/>
    <w:rsid w:val="00163FC2"/>
    <w:rsid w:val="0016415C"/>
    <w:rsid w:val="00164D0A"/>
    <w:rsid w:val="00164EAA"/>
    <w:rsid w:val="00167BFA"/>
    <w:rsid w:val="00167D09"/>
    <w:rsid w:val="00167D65"/>
    <w:rsid w:val="00167E48"/>
    <w:rsid w:val="00170270"/>
    <w:rsid w:val="001705AE"/>
    <w:rsid w:val="001707C6"/>
    <w:rsid w:val="00170C40"/>
    <w:rsid w:val="0017112E"/>
    <w:rsid w:val="00172197"/>
    <w:rsid w:val="00172374"/>
    <w:rsid w:val="001723F3"/>
    <w:rsid w:val="00172A99"/>
    <w:rsid w:val="0017329E"/>
    <w:rsid w:val="00173543"/>
    <w:rsid w:val="00173564"/>
    <w:rsid w:val="00174D39"/>
    <w:rsid w:val="00174D75"/>
    <w:rsid w:val="00174D86"/>
    <w:rsid w:val="00174F2A"/>
    <w:rsid w:val="001751DA"/>
    <w:rsid w:val="0017642D"/>
    <w:rsid w:val="00177C17"/>
    <w:rsid w:val="00177FE5"/>
    <w:rsid w:val="00180993"/>
    <w:rsid w:val="00180AC7"/>
    <w:rsid w:val="00181E7E"/>
    <w:rsid w:val="00182A0A"/>
    <w:rsid w:val="00182D47"/>
    <w:rsid w:val="00183157"/>
    <w:rsid w:val="001839EE"/>
    <w:rsid w:val="00183EA8"/>
    <w:rsid w:val="0018516F"/>
    <w:rsid w:val="0018527D"/>
    <w:rsid w:val="00185A9D"/>
    <w:rsid w:val="00185B21"/>
    <w:rsid w:val="00185F69"/>
    <w:rsid w:val="00186043"/>
    <w:rsid w:val="0018702E"/>
    <w:rsid w:val="00187857"/>
    <w:rsid w:val="00187E1D"/>
    <w:rsid w:val="00190438"/>
    <w:rsid w:val="0019094D"/>
    <w:rsid w:val="00190F90"/>
    <w:rsid w:val="001928EF"/>
    <w:rsid w:val="001929AB"/>
    <w:rsid w:val="00192D0E"/>
    <w:rsid w:val="00192E84"/>
    <w:rsid w:val="00193364"/>
    <w:rsid w:val="001934E3"/>
    <w:rsid w:val="00194049"/>
    <w:rsid w:val="00194DDF"/>
    <w:rsid w:val="00195065"/>
    <w:rsid w:val="001953A7"/>
    <w:rsid w:val="0019587D"/>
    <w:rsid w:val="001959BF"/>
    <w:rsid w:val="00195D3B"/>
    <w:rsid w:val="00196D42"/>
    <w:rsid w:val="00196DA0"/>
    <w:rsid w:val="00196E30"/>
    <w:rsid w:val="00197106"/>
    <w:rsid w:val="001972DA"/>
    <w:rsid w:val="00197507"/>
    <w:rsid w:val="0019791B"/>
    <w:rsid w:val="00197A58"/>
    <w:rsid w:val="00197C26"/>
    <w:rsid w:val="001A07AE"/>
    <w:rsid w:val="001A0833"/>
    <w:rsid w:val="001A0E29"/>
    <w:rsid w:val="001A1278"/>
    <w:rsid w:val="001A21BD"/>
    <w:rsid w:val="001A3A45"/>
    <w:rsid w:val="001A3B74"/>
    <w:rsid w:val="001A4845"/>
    <w:rsid w:val="001A4B03"/>
    <w:rsid w:val="001A4DD9"/>
    <w:rsid w:val="001A506C"/>
    <w:rsid w:val="001A583F"/>
    <w:rsid w:val="001A5A4B"/>
    <w:rsid w:val="001A759A"/>
    <w:rsid w:val="001B0542"/>
    <w:rsid w:val="001B0D48"/>
    <w:rsid w:val="001B14CA"/>
    <w:rsid w:val="001B1599"/>
    <w:rsid w:val="001B1675"/>
    <w:rsid w:val="001B1C96"/>
    <w:rsid w:val="001B28B6"/>
    <w:rsid w:val="001B30E6"/>
    <w:rsid w:val="001B30F2"/>
    <w:rsid w:val="001B4630"/>
    <w:rsid w:val="001B4BF0"/>
    <w:rsid w:val="001B5633"/>
    <w:rsid w:val="001B6B68"/>
    <w:rsid w:val="001B6CEA"/>
    <w:rsid w:val="001C04E0"/>
    <w:rsid w:val="001C0B4C"/>
    <w:rsid w:val="001C0D6B"/>
    <w:rsid w:val="001C0F1C"/>
    <w:rsid w:val="001C1205"/>
    <w:rsid w:val="001C1638"/>
    <w:rsid w:val="001C18B1"/>
    <w:rsid w:val="001C3AA1"/>
    <w:rsid w:val="001C4048"/>
    <w:rsid w:val="001C4BBE"/>
    <w:rsid w:val="001C6182"/>
    <w:rsid w:val="001C638B"/>
    <w:rsid w:val="001C6450"/>
    <w:rsid w:val="001C65D1"/>
    <w:rsid w:val="001C7B4A"/>
    <w:rsid w:val="001D03DD"/>
    <w:rsid w:val="001D0D96"/>
    <w:rsid w:val="001D0E75"/>
    <w:rsid w:val="001D12A0"/>
    <w:rsid w:val="001D14DA"/>
    <w:rsid w:val="001D1EF8"/>
    <w:rsid w:val="001D2022"/>
    <w:rsid w:val="001D244D"/>
    <w:rsid w:val="001D25B5"/>
    <w:rsid w:val="001D443B"/>
    <w:rsid w:val="001D4764"/>
    <w:rsid w:val="001D497D"/>
    <w:rsid w:val="001D4BCE"/>
    <w:rsid w:val="001D5471"/>
    <w:rsid w:val="001D65AF"/>
    <w:rsid w:val="001D6983"/>
    <w:rsid w:val="001D6EAD"/>
    <w:rsid w:val="001D7253"/>
    <w:rsid w:val="001D7652"/>
    <w:rsid w:val="001D78C2"/>
    <w:rsid w:val="001D7B08"/>
    <w:rsid w:val="001D7F06"/>
    <w:rsid w:val="001E092B"/>
    <w:rsid w:val="001E102F"/>
    <w:rsid w:val="001E15E7"/>
    <w:rsid w:val="001E1C7C"/>
    <w:rsid w:val="001E1D95"/>
    <w:rsid w:val="001E1E1C"/>
    <w:rsid w:val="001E2256"/>
    <w:rsid w:val="001E2874"/>
    <w:rsid w:val="001E29BE"/>
    <w:rsid w:val="001E31EB"/>
    <w:rsid w:val="001E5302"/>
    <w:rsid w:val="001E5901"/>
    <w:rsid w:val="001E6345"/>
    <w:rsid w:val="001E6DE5"/>
    <w:rsid w:val="001E73A3"/>
    <w:rsid w:val="001E7438"/>
    <w:rsid w:val="001E7A6E"/>
    <w:rsid w:val="001E7EEA"/>
    <w:rsid w:val="001F054B"/>
    <w:rsid w:val="001F0915"/>
    <w:rsid w:val="001F0A2F"/>
    <w:rsid w:val="001F11A3"/>
    <w:rsid w:val="001F1909"/>
    <w:rsid w:val="001F1B54"/>
    <w:rsid w:val="001F207A"/>
    <w:rsid w:val="001F244E"/>
    <w:rsid w:val="001F283A"/>
    <w:rsid w:val="001F2C7C"/>
    <w:rsid w:val="001F34E0"/>
    <w:rsid w:val="001F3A05"/>
    <w:rsid w:val="001F3CAD"/>
    <w:rsid w:val="001F3DA7"/>
    <w:rsid w:val="001F3FA6"/>
    <w:rsid w:val="001F3FF2"/>
    <w:rsid w:val="001F5054"/>
    <w:rsid w:val="001F50FF"/>
    <w:rsid w:val="001F5990"/>
    <w:rsid w:val="001F5F95"/>
    <w:rsid w:val="001F6EAD"/>
    <w:rsid w:val="001F791E"/>
    <w:rsid w:val="001F7F48"/>
    <w:rsid w:val="002007D6"/>
    <w:rsid w:val="002010CA"/>
    <w:rsid w:val="00202D37"/>
    <w:rsid w:val="00202D57"/>
    <w:rsid w:val="0020324A"/>
    <w:rsid w:val="00204B45"/>
    <w:rsid w:val="00204EC2"/>
    <w:rsid w:val="00204EF6"/>
    <w:rsid w:val="00205613"/>
    <w:rsid w:val="00205A01"/>
    <w:rsid w:val="00206775"/>
    <w:rsid w:val="00207DCB"/>
    <w:rsid w:val="00210936"/>
    <w:rsid w:val="002110CE"/>
    <w:rsid w:val="00211147"/>
    <w:rsid w:val="00211324"/>
    <w:rsid w:val="002113A4"/>
    <w:rsid w:val="00211929"/>
    <w:rsid w:val="00211B8B"/>
    <w:rsid w:val="00212830"/>
    <w:rsid w:val="002139B0"/>
    <w:rsid w:val="00215872"/>
    <w:rsid w:val="002158DB"/>
    <w:rsid w:val="002158FA"/>
    <w:rsid w:val="002177CA"/>
    <w:rsid w:val="002179D6"/>
    <w:rsid w:val="00217BEB"/>
    <w:rsid w:val="00217E52"/>
    <w:rsid w:val="0022035D"/>
    <w:rsid w:val="002209DD"/>
    <w:rsid w:val="00220B16"/>
    <w:rsid w:val="00220BB7"/>
    <w:rsid w:val="00221497"/>
    <w:rsid w:val="002217E2"/>
    <w:rsid w:val="00222167"/>
    <w:rsid w:val="00222383"/>
    <w:rsid w:val="002223BE"/>
    <w:rsid w:val="00222F74"/>
    <w:rsid w:val="00223197"/>
    <w:rsid w:val="00223208"/>
    <w:rsid w:val="002243A1"/>
    <w:rsid w:val="00224AA6"/>
    <w:rsid w:val="00224FFC"/>
    <w:rsid w:val="00224FFD"/>
    <w:rsid w:val="002253F4"/>
    <w:rsid w:val="002254BC"/>
    <w:rsid w:val="00225A42"/>
    <w:rsid w:val="00226419"/>
    <w:rsid w:val="002278A1"/>
    <w:rsid w:val="00230CE1"/>
    <w:rsid w:val="00231081"/>
    <w:rsid w:val="00231325"/>
    <w:rsid w:val="00231F24"/>
    <w:rsid w:val="0023240F"/>
    <w:rsid w:val="0023267B"/>
    <w:rsid w:val="002331A0"/>
    <w:rsid w:val="002338BD"/>
    <w:rsid w:val="0023392C"/>
    <w:rsid w:val="00233D37"/>
    <w:rsid w:val="0023401F"/>
    <w:rsid w:val="002349C4"/>
    <w:rsid w:val="00235A7E"/>
    <w:rsid w:val="00235B0F"/>
    <w:rsid w:val="0023635B"/>
    <w:rsid w:val="00237E62"/>
    <w:rsid w:val="00237FD8"/>
    <w:rsid w:val="0024019A"/>
    <w:rsid w:val="00240227"/>
    <w:rsid w:val="002420FE"/>
    <w:rsid w:val="00242751"/>
    <w:rsid w:val="0024277D"/>
    <w:rsid w:val="00242CBC"/>
    <w:rsid w:val="002432BA"/>
    <w:rsid w:val="002434DE"/>
    <w:rsid w:val="00243B4F"/>
    <w:rsid w:val="0024440C"/>
    <w:rsid w:val="00246127"/>
    <w:rsid w:val="0024614C"/>
    <w:rsid w:val="00246454"/>
    <w:rsid w:val="00246717"/>
    <w:rsid w:val="002472A0"/>
    <w:rsid w:val="0024777E"/>
    <w:rsid w:val="00247AC8"/>
    <w:rsid w:val="00247CA8"/>
    <w:rsid w:val="002517FA"/>
    <w:rsid w:val="00251F69"/>
    <w:rsid w:val="00252673"/>
    <w:rsid w:val="00252B96"/>
    <w:rsid w:val="002542FC"/>
    <w:rsid w:val="002544CB"/>
    <w:rsid w:val="002549C9"/>
    <w:rsid w:val="002549DB"/>
    <w:rsid w:val="00255018"/>
    <w:rsid w:val="0025509C"/>
    <w:rsid w:val="0025642B"/>
    <w:rsid w:val="002564E2"/>
    <w:rsid w:val="00256693"/>
    <w:rsid w:val="00256C30"/>
    <w:rsid w:val="0025706C"/>
    <w:rsid w:val="00257095"/>
    <w:rsid w:val="00257265"/>
    <w:rsid w:val="0025753D"/>
    <w:rsid w:val="0025774C"/>
    <w:rsid w:val="00261062"/>
    <w:rsid w:val="0026240D"/>
    <w:rsid w:val="00262727"/>
    <w:rsid w:val="002627B2"/>
    <w:rsid w:val="00262C34"/>
    <w:rsid w:val="00262E61"/>
    <w:rsid w:val="00262E8E"/>
    <w:rsid w:val="00263398"/>
    <w:rsid w:val="00263662"/>
    <w:rsid w:val="00263D3E"/>
    <w:rsid w:val="002646EE"/>
    <w:rsid w:val="002654E5"/>
    <w:rsid w:val="00265703"/>
    <w:rsid w:val="0026591D"/>
    <w:rsid w:val="00265F13"/>
    <w:rsid w:val="0026695B"/>
    <w:rsid w:val="00267B5F"/>
    <w:rsid w:val="00267E18"/>
    <w:rsid w:val="00267EB3"/>
    <w:rsid w:val="00270438"/>
    <w:rsid w:val="002705E9"/>
    <w:rsid w:val="0027078B"/>
    <w:rsid w:val="00270FFB"/>
    <w:rsid w:val="0027109A"/>
    <w:rsid w:val="002719EC"/>
    <w:rsid w:val="00271A8F"/>
    <w:rsid w:val="002725E0"/>
    <w:rsid w:val="002727BE"/>
    <w:rsid w:val="00273883"/>
    <w:rsid w:val="00273B45"/>
    <w:rsid w:val="002746B5"/>
    <w:rsid w:val="00274EA1"/>
    <w:rsid w:val="0027505F"/>
    <w:rsid w:val="00276093"/>
    <w:rsid w:val="00276484"/>
    <w:rsid w:val="0027650C"/>
    <w:rsid w:val="00276C7C"/>
    <w:rsid w:val="00276CA0"/>
    <w:rsid w:val="0027704A"/>
    <w:rsid w:val="00280410"/>
    <w:rsid w:val="00280A2F"/>
    <w:rsid w:val="00281464"/>
    <w:rsid w:val="00281612"/>
    <w:rsid w:val="0028193C"/>
    <w:rsid w:val="0028198A"/>
    <w:rsid w:val="00281D95"/>
    <w:rsid w:val="00282B1A"/>
    <w:rsid w:val="00283205"/>
    <w:rsid w:val="0028353E"/>
    <w:rsid w:val="00283877"/>
    <w:rsid w:val="002838BC"/>
    <w:rsid w:val="00283BB3"/>
    <w:rsid w:val="00283BD4"/>
    <w:rsid w:val="00284C30"/>
    <w:rsid w:val="0028568F"/>
    <w:rsid w:val="0028584B"/>
    <w:rsid w:val="00285DCC"/>
    <w:rsid w:val="0028665F"/>
    <w:rsid w:val="0028689C"/>
    <w:rsid w:val="00286CA6"/>
    <w:rsid w:val="002870D8"/>
    <w:rsid w:val="00287ECF"/>
    <w:rsid w:val="00287F9F"/>
    <w:rsid w:val="0029057D"/>
    <w:rsid w:val="00290C38"/>
    <w:rsid w:val="00291480"/>
    <w:rsid w:val="002916ED"/>
    <w:rsid w:val="00291B6A"/>
    <w:rsid w:val="00291C45"/>
    <w:rsid w:val="002923C2"/>
    <w:rsid w:val="00293631"/>
    <w:rsid w:val="00293CA3"/>
    <w:rsid w:val="00294306"/>
    <w:rsid w:val="00294A97"/>
    <w:rsid w:val="0029535F"/>
    <w:rsid w:val="0029538B"/>
    <w:rsid w:val="0029559B"/>
    <w:rsid w:val="00295BBD"/>
    <w:rsid w:val="002963A0"/>
    <w:rsid w:val="00296C77"/>
    <w:rsid w:val="00297692"/>
    <w:rsid w:val="00297858"/>
    <w:rsid w:val="00297CA4"/>
    <w:rsid w:val="002A12F9"/>
    <w:rsid w:val="002A1C6F"/>
    <w:rsid w:val="002A1F82"/>
    <w:rsid w:val="002A41D7"/>
    <w:rsid w:val="002A4A45"/>
    <w:rsid w:val="002A60D2"/>
    <w:rsid w:val="002A651D"/>
    <w:rsid w:val="002A7338"/>
    <w:rsid w:val="002A7606"/>
    <w:rsid w:val="002B07D0"/>
    <w:rsid w:val="002B093B"/>
    <w:rsid w:val="002B0EF7"/>
    <w:rsid w:val="002B1283"/>
    <w:rsid w:val="002B1753"/>
    <w:rsid w:val="002B193A"/>
    <w:rsid w:val="002B1B60"/>
    <w:rsid w:val="002B223E"/>
    <w:rsid w:val="002B29DE"/>
    <w:rsid w:val="002B2DF8"/>
    <w:rsid w:val="002B3366"/>
    <w:rsid w:val="002B3680"/>
    <w:rsid w:val="002B451B"/>
    <w:rsid w:val="002B4799"/>
    <w:rsid w:val="002B47CD"/>
    <w:rsid w:val="002B574C"/>
    <w:rsid w:val="002B5F47"/>
    <w:rsid w:val="002B6DA3"/>
    <w:rsid w:val="002B6E4D"/>
    <w:rsid w:val="002B77C2"/>
    <w:rsid w:val="002B7C68"/>
    <w:rsid w:val="002C01BA"/>
    <w:rsid w:val="002C0DB5"/>
    <w:rsid w:val="002C13D0"/>
    <w:rsid w:val="002C1987"/>
    <w:rsid w:val="002C1AB4"/>
    <w:rsid w:val="002C1EC7"/>
    <w:rsid w:val="002C26B5"/>
    <w:rsid w:val="002C27AA"/>
    <w:rsid w:val="002C27E5"/>
    <w:rsid w:val="002C2E2A"/>
    <w:rsid w:val="002C3075"/>
    <w:rsid w:val="002C33D3"/>
    <w:rsid w:val="002C3F9E"/>
    <w:rsid w:val="002C4A62"/>
    <w:rsid w:val="002C4C21"/>
    <w:rsid w:val="002C5D6F"/>
    <w:rsid w:val="002C702B"/>
    <w:rsid w:val="002C7C56"/>
    <w:rsid w:val="002C7EB4"/>
    <w:rsid w:val="002D0366"/>
    <w:rsid w:val="002D0F6E"/>
    <w:rsid w:val="002D1046"/>
    <w:rsid w:val="002D2388"/>
    <w:rsid w:val="002D2536"/>
    <w:rsid w:val="002D2A79"/>
    <w:rsid w:val="002D2D7E"/>
    <w:rsid w:val="002D3788"/>
    <w:rsid w:val="002D3877"/>
    <w:rsid w:val="002D430E"/>
    <w:rsid w:val="002D4772"/>
    <w:rsid w:val="002D4E23"/>
    <w:rsid w:val="002D4FF0"/>
    <w:rsid w:val="002D54D4"/>
    <w:rsid w:val="002D6037"/>
    <w:rsid w:val="002D629D"/>
    <w:rsid w:val="002D6E43"/>
    <w:rsid w:val="002D73F3"/>
    <w:rsid w:val="002E0348"/>
    <w:rsid w:val="002E05BB"/>
    <w:rsid w:val="002E0628"/>
    <w:rsid w:val="002E075D"/>
    <w:rsid w:val="002E0C9B"/>
    <w:rsid w:val="002E0E3F"/>
    <w:rsid w:val="002E149D"/>
    <w:rsid w:val="002E17B7"/>
    <w:rsid w:val="002E37FB"/>
    <w:rsid w:val="002E473D"/>
    <w:rsid w:val="002E4C47"/>
    <w:rsid w:val="002E5578"/>
    <w:rsid w:val="002E5791"/>
    <w:rsid w:val="002E5C2F"/>
    <w:rsid w:val="002E60A1"/>
    <w:rsid w:val="002F04FD"/>
    <w:rsid w:val="002F077A"/>
    <w:rsid w:val="002F13CD"/>
    <w:rsid w:val="002F146F"/>
    <w:rsid w:val="002F218C"/>
    <w:rsid w:val="002F25DD"/>
    <w:rsid w:val="002F2D03"/>
    <w:rsid w:val="002F3B76"/>
    <w:rsid w:val="002F4396"/>
    <w:rsid w:val="002F49CF"/>
    <w:rsid w:val="002F525D"/>
    <w:rsid w:val="002F6290"/>
    <w:rsid w:val="002F6C4B"/>
    <w:rsid w:val="002F7279"/>
    <w:rsid w:val="002F733E"/>
    <w:rsid w:val="002F7DB4"/>
    <w:rsid w:val="003006AA"/>
    <w:rsid w:val="003014B0"/>
    <w:rsid w:val="0030174B"/>
    <w:rsid w:val="00301CD5"/>
    <w:rsid w:val="0030200D"/>
    <w:rsid w:val="00302330"/>
    <w:rsid w:val="003027BC"/>
    <w:rsid w:val="00302A2C"/>
    <w:rsid w:val="00303B23"/>
    <w:rsid w:val="00304060"/>
    <w:rsid w:val="0030412E"/>
    <w:rsid w:val="00304BD9"/>
    <w:rsid w:val="0030598C"/>
    <w:rsid w:val="00305F64"/>
    <w:rsid w:val="00306DFB"/>
    <w:rsid w:val="00307172"/>
    <w:rsid w:val="00307348"/>
    <w:rsid w:val="00307636"/>
    <w:rsid w:val="00307BC7"/>
    <w:rsid w:val="003100D3"/>
    <w:rsid w:val="003113DC"/>
    <w:rsid w:val="00311606"/>
    <w:rsid w:val="00311E4A"/>
    <w:rsid w:val="00312D5A"/>
    <w:rsid w:val="0031460B"/>
    <w:rsid w:val="00314FF8"/>
    <w:rsid w:val="00315E70"/>
    <w:rsid w:val="00316552"/>
    <w:rsid w:val="00316C29"/>
    <w:rsid w:val="00316CA8"/>
    <w:rsid w:val="00316DEF"/>
    <w:rsid w:val="0032077F"/>
    <w:rsid w:val="0032081A"/>
    <w:rsid w:val="0032089A"/>
    <w:rsid w:val="00320A8D"/>
    <w:rsid w:val="003212B3"/>
    <w:rsid w:val="00321550"/>
    <w:rsid w:val="003243BF"/>
    <w:rsid w:val="00324F55"/>
    <w:rsid w:val="00325597"/>
    <w:rsid w:val="0032582C"/>
    <w:rsid w:val="00325AD7"/>
    <w:rsid w:val="00326A1E"/>
    <w:rsid w:val="003270A4"/>
    <w:rsid w:val="003270AC"/>
    <w:rsid w:val="0032738C"/>
    <w:rsid w:val="003274FB"/>
    <w:rsid w:val="0032756C"/>
    <w:rsid w:val="00327EC4"/>
    <w:rsid w:val="00330247"/>
    <w:rsid w:val="003302AA"/>
    <w:rsid w:val="00330496"/>
    <w:rsid w:val="00330D68"/>
    <w:rsid w:val="00331609"/>
    <w:rsid w:val="0033190B"/>
    <w:rsid w:val="003320E7"/>
    <w:rsid w:val="00332CFD"/>
    <w:rsid w:val="003333F3"/>
    <w:rsid w:val="0033348D"/>
    <w:rsid w:val="00333713"/>
    <w:rsid w:val="00333D93"/>
    <w:rsid w:val="0033440D"/>
    <w:rsid w:val="003346C7"/>
    <w:rsid w:val="003348DF"/>
    <w:rsid w:val="00335050"/>
    <w:rsid w:val="003354B3"/>
    <w:rsid w:val="00335789"/>
    <w:rsid w:val="00336145"/>
    <w:rsid w:val="003361C2"/>
    <w:rsid w:val="00336430"/>
    <w:rsid w:val="00337486"/>
    <w:rsid w:val="003408EC"/>
    <w:rsid w:val="00340995"/>
    <w:rsid w:val="0034117A"/>
    <w:rsid w:val="003414A0"/>
    <w:rsid w:val="003421D0"/>
    <w:rsid w:val="0034244A"/>
    <w:rsid w:val="003427F4"/>
    <w:rsid w:val="00342B6D"/>
    <w:rsid w:val="00342D87"/>
    <w:rsid w:val="00343AFC"/>
    <w:rsid w:val="00344587"/>
    <w:rsid w:val="00344F17"/>
    <w:rsid w:val="00344FD6"/>
    <w:rsid w:val="0034521A"/>
    <w:rsid w:val="0034600A"/>
    <w:rsid w:val="0034664D"/>
    <w:rsid w:val="00347554"/>
    <w:rsid w:val="003475B9"/>
    <w:rsid w:val="00350A9B"/>
    <w:rsid w:val="00350B2D"/>
    <w:rsid w:val="00351057"/>
    <w:rsid w:val="003511A7"/>
    <w:rsid w:val="003518B1"/>
    <w:rsid w:val="00351C53"/>
    <w:rsid w:val="00351E96"/>
    <w:rsid w:val="00351E9C"/>
    <w:rsid w:val="00351ED2"/>
    <w:rsid w:val="0035266B"/>
    <w:rsid w:val="0035282D"/>
    <w:rsid w:val="00352AE5"/>
    <w:rsid w:val="00352C12"/>
    <w:rsid w:val="00353CED"/>
    <w:rsid w:val="0035408A"/>
    <w:rsid w:val="00354A73"/>
    <w:rsid w:val="00354DEA"/>
    <w:rsid w:val="00355136"/>
    <w:rsid w:val="003567E8"/>
    <w:rsid w:val="00356847"/>
    <w:rsid w:val="003568EA"/>
    <w:rsid w:val="00356CE8"/>
    <w:rsid w:val="00356E22"/>
    <w:rsid w:val="00357ADC"/>
    <w:rsid w:val="00357E18"/>
    <w:rsid w:val="00360767"/>
    <w:rsid w:val="00361771"/>
    <w:rsid w:val="0036222A"/>
    <w:rsid w:val="003629D7"/>
    <w:rsid w:val="00362EA3"/>
    <w:rsid w:val="00362F9E"/>
    <w:rsid w:val="00364094"/>
    <w:rsid w:val="0036439D"/>
    <w:rsid w:val="00364ABD"/>
    <w:rsid w:val="00365608"/>
    <w:rsid w:val="00365D40"/>
    <w:rsid w:val="00366ADF"/>
    <w:rsid w:val="0037111B"/>
    <w:rsid w:val="003711D7"/>
    <w:rsid w:val="003717B4"/>
    <w:rsid w:val="00372784"/>
    <w:rsid w:val="00372E4A"/>
    <w:rsid w:val="00373535"/>
    <w:rsid w:val="003735E4"/>
    <w:rsid w:val="0037470A"/>
    <w:rsid w:val="00374DE3"/>
    <w:rsid w:val="0037515C"/>
    <w:rsid w:val="00375384"/>
    <w:rsid w:val="00376472"/>
    <w:rsid w:val="00376A10"/>
    <w:rsid w:val="00377D4E"/>
    <w:rsid w:val="003800C1"/>
    <w:rsid w:val="003805E6"/>
    <w:rsid w:val="00380A27"/>
    <w:rsid w:val="00380DF8"/>
    <w:rsid w:val="00380E93"/>
    <w:rsid w:val="00381035"/>
    <w:rsid w:val="003815B6"/>
    <w:rsid w:val="00381918"/>
    <w:rsid w:val="0038220C"/>
    <w:rsid w:val="0038322D"/>
    <w:rsid w:val="00383C05"/>
    <w:rsid w:val="00383C13"/>
    <w:rsid w:val="00384415"/>
    <w:rsid w:val="00384524"/>
    <w:rsid w:val="003845B3"/>
    <w:rsid w:val="00385E17"/>
    <w:rsid w:val="00386F0E"/>
    <w:rsid w:val="003876CA"/>
    <w:rsid w:val="003879FB"/>
    <w:rsid w:val="00387A8E"/>
    <w:rsid w:val="00387D13"/>
    <w:rsid w:val="00393199"/>
    <w:rsid w:val="0039348A"/>
    <w:rsid w:val="003934C4"/>
    <w:rsid w:val="00393698"/>
    <w:rsid w:val="00393774"/>
    <w:rsid w:val="003947B1"/>
    <w:rsid w:val="00394B52"/>
    <w:rsid w:val="0039505B"/>
    <w:rsid w:val="00395B9D"/>
    <w:rsid w:val="003960C2"/>
    <w:rsid w:val="0039656D"/>
    <w:rsid w:val="003966FC"/>
    <w:rsid w:val="0039699F"/>
    <w:rsid w:val="003974AC"/>
    <w:rsid w:val="0039782E"/>
    <w:rsid w:val="003A0582"/>
    <w:rsid w:val="003A074E"/>
    <w:rsid w:val="003A0A41"/>
    <w:rsid w:val="003A13D3"/>
    <w:rsid w:val="003A1646"/>
    <w:rsid w:val="003A222C"/>
    <w:rsid w:val="003A2716"/>
    <w:rsid w:val="003A2CDE"/>
    <w:rsid w:val="003A335F"/>
    <w:rsid w:val="003A390C"/>
    <w:rsid w:val="003A3AC3"/>
    <w:rsid w:val="003A44F8"/>
    <w:rsid w:val="003A4910"/>
    <w:rsid w:val="003A4C96"/>
    <w:rsid w:val="003A5EB2"/>
    <w:rsid w:val="003A691A"/>
    <w:rsid w:val="003A6EE6"/>
    <w:rsid w:val="003A762C"/>
    <w:rsid w:val="003B023E"/>
    <w:rsid w:val="003B0A67"/>
    <w:rsid w:val="003B0CFE"/>
    <w:rsid w:val="003B0D26"/>
    <w:rsid w:val="003B164C"/>
    <w:rsid w:val="003B1BC0"/>
    <w:rsid w:val="003B1D41"/>
    <w:rsid w:val="003B234C"/>
    <w:rsid w:val="003B2B3F"/>
    <w:rsid w:val="003B2EF4"/>
    <w:rsid w:val="003B3420"/>
    <w:rsid w:val="003B36F9"/>
    <w:rsid w:val="003B38C0"/>
    <w:rsid w:val="003B41B0"/>
    <w:rsid w:val="003B4B2E"/>
    <w:rsid w:val="003B4D80"/>
    <w:rsid w:val="003B52CD"/>
    <w:rsid w:val="003B5537"/>
    <w:rsid w:val="003B5C01"/>
    <w:rsid w:val="003B5C29"/>
    <w:rsid w:val="003B5D52"/>
    <w:rsid w:val="003B60AB"/>
    <w:rsid w:val="003B69E6"/>
    <w:rsid w:val="003B6E82"/>
    <w:rsid w:val="003B7E66"/>
    <w:rsid w:val="003B7EA6"/>
    <w:rsid w:val="003C0052"/>
    <w:rsid w:val="003C0AFB"/>
    <w:rsid w:val="003C1148"/>
    <w:rsid w:val="003C114B"/>
    <w:rsid w:val="003C1238"/>
    <w:rsid w:val="003C1D80"/>
    <w:rsid w:val="003C215F"/>
    <w:rsid w:val="003C2499"/>
    <w:rsid w:val="003C433A"/>
    <w:rsid w:val="003C4B08"/>
    <w:rsid w:val="003C4E60"/>
    <w:rsid w:val="003C4F45"/>
    <w:rsid w:val="003C5133"/>
    <w:rsid w:val="003C55D2"/>
    <w:rsid w:val="003C69D9"/>
    <w:rsid w:val="003C6BC5"/>
    <w:rsid w:val="003C73A1"/>
    <w:rsid w:val="003C7619"/>
    <w:rsid w:val="003C7D8F"/>
    <w:rsid w:val="003C7F4C"/>
    <w:rsid w:val="003D048F"/>
    <w:rsid w:val="003D0C0C"/>
    <w:rsid w:val="003D0D04"/>
    <w:rsid w:val="003D0D77"/>
    <w:rsid w:val="003D0DD9"/>
    <w:rsid w:val="003D14FC"/>
    <w:rsid w:val="003D15FD"/>
    <w:rsid w:val="003D16C1"/>
    <w:rsid w:val="003D1B44"/>
    <w:rsid w:val="003D21E4"/>
    <w:rsid w:val="003D2213"/>
    <w:rsid w:val="003D26CC"/>
    <w:rsid w:val="003D305C"/>
    <w:rsid w:val="003D3C68"/>
    <w:rsid w:val="003E03BD"/>
    <w:rsid w:val="003E10CC"/>
    <w:rsid w:val="003E1271"/>
    <w:rsid w:val="003E1607"/>
    <w:rsid w:val="003E16D8"/>
    <w:rsid w:val="003E23D8"/>
    <w:rsid w:val="003E254D"/>
    <w:rsid w:val="003E2E46"/>
    <w:rsid w:val="003E2F3E"/>
    <w:rsid w:val="003E30A0"/>
    <w:rsid w:val="003E314A"/>
    <w:rsid w:val="003E5130"/>
    <w:rsid w:val="003E605D"/>
    <w:rsid w:val="003E7AF4"/>
    <w:rsid w:val="003E7C13"/>
    <w:rsid w:val="003F0699"/>
    <w:rsid w:val="003F06CF"/>
    <w:rsid w:val="003F089D"/>
    <w:rsid w:val="003F0CCC"/>
    <w:rsid w:val="003F12F9"/>
    <w:rsid w:val="003F13A3"/>
    <w:rsid w:val="003F15C3"/>
    <w:rsid w:val="003F15FD"/>
    <w:rsid w:val="003F16DD"/>
    <w:rsid w:val="003F19A1"/>
    <w:rsid w:val="003F1BDF"/>
    <w:rsid w:val="003F1CE7"/>
    <w:rsid w:val="003F1EFD"/>
    <w:rsid w:val="003F26DC"/>
    <w:rsid w:val="003F27DB"/>
    <w:rsid w:val="003F2924"/>
    <w:rsid w:val="003F2F59"/>
    <w:rsid w:val="003F3919"/>
    <w:rsid w:val="003F45E1"/>
    <w:rsid w:val="003F59C5"/>
    <w:rsid w:val="003F5F13"/>
    <w:rsid w:val="003F5F40"/>
    <w:rsid w:val="003F6012"/>
    <w:rsid w:val="003F61B0"/>
    <w:rsid w:val="003F64DF"/>
    <w:rsid w:val="003F7EC2"/>
    <w:rsid w:val="00400371"/>
    <w:rsid w:val="00401BBF"/>
    <w:rsid w:val="00402B29"/>
    <w:rsid w:val="00402C79"/>
    <w:rsid w:val="00403357"/>
    <w:rsid w:val="00403938"/>
    <w:rsid w:val="00403B8F"/>
    <w:rsid w:val="00405201"/>
    <w:rsid w:val="00406A6E"/>
    <w:rsid w:val="00407D57"/>
    <w:rsid w:val="00410D47"/>
    <w:rsid w:val="0041114B"/>
    <w:rsid w:val="00411258"/>
    <w:rsid w:val="00411348"/>
    <w:rsid w:val="00411868"/>
    <w:rsid w:val="00411D8E"/>
    <w:rsid w:val="00411E40"/>
    <w:rsid w:val="00413FBE"/>
    <w:rsid w:val="00414A74"/>
    <w:rsid w:val="0041568D"/>
    <w:rsid w:val="00415C6A"/>
    <w:rsid w:val="00415EBD"/>
    <w:rsid w:val="004169FF"/>
    <w:rsid w:val="00416E00"/>
    <w:rsid w:val="004170D8"/>
    <w:rsid w:val="00417825"/>
    <w:rsid w:val="00420121"/>
    <w:rsid w:val="004203E0"/>
    <w:rsid w:val="004207FF"/>
    <w:rsid w:val="00420FAB"/>
    <w:rsid w:val="00421460"/>
    <w:rsid w:val="00422898"/>
    <w:rsid w:val="00422948"/>
    <w:rsid w:val="0042362A"/>
    <w:rsid w:val="0042454B"/>
    <w:rsid w:val="00424992"/>
    <w:rsid w:val="004271F3"/>
    <w:rsid w:val="004300E5"/>
    <w:rsid w:val="004300E8"/>
    <w:rsid w:val="00430265"/>
    <w:rsid w:val="00430641"/>
    <w:rsid w:val="004306F0"/>
    <w:rsid w:val="004313AF"/>
    <w:rsid w:val="004325E7"/>
    <w:rsid w:val="00432CE6"/>
    <w:rsid w:val="00432EEA"/>
    <w:rsid w:val="004332AA"/>
    <w:rsid w:val="0043338B"/>
    <w:rsid w:val="00433B4F"/>
    <w:rsid w:val="00433C28"/>
    <w:rsid w:val="0043466D"/>
    <w:rsid w:val="0043476F"/>
    <w:rsid w:val="004354AE"/>
    <w:rsid w:val="00435C08"/>
    <w:rsid w:val="0043670E"/>
    <w:rsid w:val="00437079"/>
    <w:rsid w:val="00437FB2"/>
    <w:rsid w:val="0044016A"/>
    <w:rsid w:val="004401A7"/>
    <w:rsid w:val="00440268"/>
    <w:rsid w:val="0044037E"/>
    <w:rsid w:val="00440447"/>
    <w:rsid w:val="00440A6A"/>
    <w:rsid w:val="00440D67"/>
    <w:rsid w:val="004417D0"/>
    <w:rsid w:val="00441DEC"/>
    <w:rsid w:val="00441DED"/>
    <w:rsid w:val="0044208C"/>
    <w:rsid w:val="004425D0"/>
    <w:rsid w:val="004434F6"/>
    <w:rsid w:val="00443B82"/>
    <w:rsid w:val="0044456F"/>
    <w:rsid w:val="00444615"/>
    <w:rsid w:val="00445823"/>
    <w:rsid w:val="0044600F"/>
    <w:rsid w:val="0044688F"/>
    <w:rsid w:val="00446901"/>
    <w:rsid w:val="00447BF5"/>
    <w:rsid w:val="00447F55"/>
    <w:rsid w:val="00450430"/>
    <w:rsid w:val="00450472"/>
    <w:rsid w:val="004509E4"/>
    <w:rsid w:val="004511D3"/>
    <w:rsid w:val="0045195D"/>
    <w:rsid w:val="0045262E"/>
    <w:rsid w:val="00452870"/>
    <w:rsid w:val="00452AD3"/>
    <w:rsid w:val="00453812"/>
    <w:rsid w:val="00453E7D"/>
    <w:rsid w:val="00453F86"/>
    <w:rsid w:val="004544A2"/>
    <w:rsid w:val="004544F8"/>
    <w:rsid w:val="00454D5C"/>
    <w:rsid w:val="004553FE"/>
    <w:rsid w:val="0045603B"/>
    <w:rsid w:val="004560AC"/>
    <w:rsid w:val="00457022"/>
    <w:rsid w:val="004572F4"/>
    <w:rsid w:val="00457CE0"/>
    <w:rsid w:val="00460523"/>
    <w:rsid w:val="004606ED"/>
    <w:rsid w:val="00460B22"/>
    <w:rsid w:val="00460C23"/>
    <w:rsid w:val="00460D29"/>
    <w:rsid w:val="004611B3"/>
    <w:rsid w:val="0046188C"/>
    <w:rsid w:val="00461F12"/>
    <w:rsid w:val="00462787"/>
    <w:rsid w:val="004639F2"/>
    <w:rsid w:val="004641A9"/>
    <w:rsid w:val="00464845"/>
    <w:rsid w:val="00464F94"/>
    <w:rsid w:val="00465017"/>
    <w:rsid w:val="0046516B"/>
    <w:rsid w:val="004666AF"/>
    <w:rsid w:val="004667C8"/>
    <w:rsid w:val="00467813"/>
    <w:rsid w:val="004710F4"/>
    <w:rsid w:val="00472418"/>
    <w:rsid w:val="00472D42"/>
    <w:rsid w:val="00472DB2"/>
    <w:rsid w:val="0047301F"/>
    <w:rsid w:val="004730F3"/>
    <w:rsid w:val="0047311A"/>
    <w:rsid w:val="00473536"/>
    <w:rsid w:val="00473A38"/>
    <w:rsid w:val="00473DD7"/>
    <w:rsid w:val="00474DF3"/>
    <w:rsid w:val="004750D2"/>
    <w:rsid w:val="00475506"/>
    <w:rsid w:val="00475A3D"/>
    <w:rsid w:val="00475EA9"/>
    <w:rsid w:val="00476946"/>
    <w:rsid w:val="00476F54"/>
    <w:rsid w:val="0047765D"/>
    <w:rsid w:val="00481074"/>
    <w:rsid w:val="004815C7"/>
    <w:rsid w:val="00481868"/>
    <w:rsid w:val="004818F9"/>
    <w:rsid w:val="0048195F"/>
    <w:rsid w:val="00481BB1"/>
    <w:rsid w:val="00482182"/>
    <w:rsid w:val="0048354F"/>
    <w:rsid w:val="004841E9"/>
    <w:rsid w:val="00484EA1"/>
    <w:rsid w:val="0048555D"/>
    <w:rsid w:val="00485D35"/>
    <w:rsid w:val="00485E4A"/>
    <w:rsid w:val="00486020"/>
    <w:rsid w:val="00486567"/>
    <w:rsid w:val="0048722B"/>
    <w:rsid w:val="0048741A"/>
    <w:rsid w:val="00487846"/>
    <w:rsid w:val="0048793C"/>
    <w:rsid w:val="0049137F"/>
    <w:rsid w:val="00492194"/>
    <w:rsid w:val="004921E7"/>
    <w:rsid w:val="00492616"/>
    <w:rsid w:val="004944CA"/>
    <w:rsid w:val="0049479E"/>
    <w:rsid w:val="00495041"/>
    <w:rsid w:val="0049576A"/>
    <w:rsid w:val="004A0120"/>
    <w:rsid w:val="004A0369"/>
    <w:rsid w:val="004A07D8"/>
    <w:rsid w:val="004A0DC8"/>
    <w:rsid w:val="004A0E83"/>
    <w:rsid w:val="004A113A"/>
    <w:rsid w:val="004A1A42"/>
    <w:rsid w:val="004A1D02"/>
    <w:rsid w:val="004A270A"/>
    <w:rsid w:val="004A27CD"/>
    <w:rsid w:val="004A29E4"/>
    <w:rsid w:val="004A2B99"/>
    <w:rsid w:val="004A2CE8"/>
    <w:rsid w:val="004A308D"/>
    <w:rsid w:val="004A3510"/>
    <w:rsid w:val="004A403D"/>
    <w:rsid w:val="004A41E1"/>
    <w:rsid w:val="004A48D8"/>
    <w:rsid w:val="004A539B"/>
    <w:rsid w:val="004A5E4C"/>
    <w:rsid w:val="004A6D12"/>
    <w:rsid w:val="004A7A19"/>
    <w:rsid w:val="004B05F4"/>
    <w:rsid w:val="004B06A9"/>
    <w:rsid w:val="004B107C"/>
    <w:rsid w:val="004B12CC"/>
    <w:rsid w:val="004B14E3"/>
    <w:rsid w:val="004B1CAD"/>
    <w:rsid w:val="004B24BC"/>
    <w:rsid w:val="004B24FF"/>
    <w:rsid w:val="004B2707"/>
    <w:rsid w:val="004B2D2E"/>
    <w:rsid w:val="004B4F07"/>
    <w:rsid w:val="004B50E1"/>
    <w:rsid w:val="004B5D38"/>
    <w:rsid w:val="004B5DC7"/>
    <w:rsid w:val="004B5E1F"/>
    <w:rsid w:val="004B7230"/>
    <w:rsid w:val="004B7253"/>
    <w:rsid w:val="004B74B5"/>
    <w:rsid w:val="004B7E45"/>
    <w:rsid w:val="004C00C6"/>
    <w:rsid w:val="004C0470"/>
    <w:rsid w:val="004C1CE4"/>
    <w:rsid w:val="004C2328"/>
    <w:rsid w:val="004C2569"/>
    <w:rsid w:val="004C3DD9"/>
    <w:rsid w:val="004C4F60"/>
    <w:rsid w:val="004C5257"/>
    <w:rsid w:val="004C52B8"/>
    <w:rsid w:val="004C6772"/>
    <w:rsid w:val="004C6CFB"/>
    <w:rsid w:val="004C7037"/>
    <w:rsid w:val="004C73AC"/>
    <w:rsid w:val="004C7E7D"/>
    <w:rsid w:val="004D060B"/>
    <w:rsid w:val="004D0940"/>
    <w:rsid w:val="004D0F25"/>
    <w:rsid w:val="004D0FC1"/>
    <w:rsid w:val="004D2A2B"/>
    <w:rsid w:val="004D2BBE"/>
    <w:rsid w:val="004D3E1D"/>
    <w:rsid w:val="004D52C1"/>
    <w:rsid w:val="004D5934"/>
    <w:rsid w:val="004D646F"/>
    <w:rsid w:val="004D6671"/>
    <w:rsid w:val="004D6963"/>
    <w:rsid w:val="004D6A30"/>
    <w:rsid w:val="004D6DFE"/>
    <w:rsid w:val="004D7797"/>
    <w:rsid w:val="004E0716"/>
    <w:rsid w:val="004E1032"/>
    <w:rsid w:val="004E1336"/>
    <w:rsid w:val="004E1D8A"/>
    <w:rsid w:val="004E258E"/>
    <w:rsid w:val="004E2633"/>
    <w:rsid w:val="004E2657"/>
    <w:rsid w:val="004E2ACE"/>
    <w:rsid w:val="004E2F7B"/>
    <w:rsid w:val="004E345E"/>
    <w:rsid w:val="004E3CBF"/>
    <w:rsid w:val="004E3ECE"/>
    <w:rsid w:val="004E4965"/>
    <w:rsid w:val="004E58CD"/>
    <w:rsid w:val="004E5964"/>
    <w:rsid w:val="004E662D"/>
    <w:rsid w:val="004F020B"/>
    <w:rsid w:val="004F027E"/>
    <w:rsid w:val="004F0D1B"/>
    <w:rsid w:val="004F1553"/>
    <w:rsid w:val="004F16E2"/>
    <w:rsid w:val="004F1E09"/>
    <w:rsid w:val="004F210D"/>
    <w:rsid w:val="004F2E5B"/>
    <w:rsid w:val="004F3754"/>
    <w:rsid w:val="004F3991"/>
    <w:rsid w:val="004F3B04"/>
    <w:rsid w:val="004F3CCF"/>
    <w:rsid w:val="004F41B6"/>
    <w:rsid w:val="004F41B7"/>
    <w:rsid w:val="004F4F54"/>
    <w:rsid w:val="004F5186"/>
    <w:rsid w:val="004F51D3"/>
    <w:rsid w:val="004F625F"/>
    <w:rsid w:val="004F63E7"/>
    <w:rsid w:val="004F6A8D"/>
    <w:rsid w:val="004F6F9E"/>
    <w:rsid w:val="004F71D4"/>
    <w:rsid w:val="004F7A8F"/>
    <w:rsid w:val="004F7FE8"/>
    <w:rsid w:val="0050049D"/>
    <w:rsid w:val="0050063E"/>
    <w:rsid w:val="00500DD7"/>
    <w:rsid w:val="00501E70"/>
    <w:rsid w:val="00503205"/>
    <w:rsid w:val="005033B5"/>
    <w:rsid w:val="00504654"/>
    <w:rsid w:val="00504DBE"/>
    <w:rsid w:val="00506278"/>
    <w:rsid w:val="00507CC8"/>
    <w:rsid w:val="0051003E"/>
    <w:rsid w:val="00511CFB"/>
    <w:rsid w:val="005120C7"/>
    <w:rsid w:val="00512159"/>
    <w:rsid w:val="0051321B"/>
    <w:rsid w:val="0051468D"/>
    <w:rsid w:val="00514791"/>
    <w:rsid w:val="00516712"/>
    <w:rsid w:val="00516A62"/>
    <w:rsid w:val="00516B6B"/>
    <w:rsid w:val="00516CE3"/>
    <w:rsid w:val="00517C6F"/>
    <w:rsid w:val="00520847"/>
    <w:rsid w:val="00520B60"/>
    <w:rsid w:val="00520D74"/>
    <w:rsid w:val="00520ED6"/>
    <w:rsid w:val="00522037"/>
    <w:rsid w:val="00522140"/>
    <w:rsid w:val="00522365"/>
    <w:rsid w:val="00522EB6"/>
    <w:rsid w:val="00522F62"/>
    <w:rsid w:val="00523612"/>
    <w:rsid w:val="005237CD"/>
    <w:rsid w:val="005243E0"/>
    <w:rsid w:val="005250BC"/>
    <w:rsid w:val="00525540"/>
    <w:rsid w:val="005259BC"/>
    <w:rsid w:val="005261F8"/>
    <w:rsid w:val="00527149"/>
    <w:rsid w:val="00527D85"/>
    <w:rsid w:val="00527FE2"/>
    <w:rsid w:val="005304C3"/>
    <w:rsid w:val="005306E8"/>
    <w:rsid w:val="005307E4"/>
    <w:rsid w:val="0053138F"/>
    <w:rsid w:val="00531B40"/>
    <w:rsid w:val="00532521"/>
    <w:rsid w:val="005334C0"/>
    <w:rsid w:val="00533520"/>
    <w:rsid w:val="005336CE"/>
    <w:rsid w:val="005338B8"/>
    <w:rsid w:val="00534030"/>
    <w:rsid w:val="00534930"/>
    <w:rsid w:val="00534AA9"/>
    <w:rsid w:val="00534B02"/>
    <w:rsid w:val="0053504B"/>
    <w:rsid w:val="00535216"/>
    <w:rsid w:val="00537166"/>
    <w:rsid w:val="00540852"/>
    <w:rsid w:val="00540F9C"/>
    <w:rsid w:val="00541A67"/>
    <w:rsid w:val="005443D4"/>
    <w:rsid w:val="005449DB"/>
    <w:rsid w:val="00544F53"/>
    <w:rsid w:val="00546009"/>
    <w:rsid w:val="005470EC"/>
    <w:rsid w:val="00547198"/>
    <w:rsid w:val="005473F3"/>
    <w:rsid w:val="00550144"/>
    <w:rsid w:val="00550729"/>
    <w:rsid w:val="0055089D"/>
    <w:rsid w:val="00550EF7"/>
    <w:rsid w:val="00551697"/>
    <w:rsid w:val="00551A58"/>
    <w:rsid w:val="00551CB6"/>
    <w:rsid w:val="00552AC8"/>
    <w:rsid w:val="00552D5B"/>
    <w:rsid w:val="005532BD"/>
    <w:rsid w:val="005534CA"/>
    <w:rsid w:val="00553520"/>
    <w:rsid w:val="005535A2"/>
    <w:rsid w:val="00553C60"/>
    <w:rsid w:val="00554CD2"/>
    <w:rsid w:val="00554DDB"/>
    <w:rsid w:val="00555537"/>
    <w:rsid w:val="00555E2C"/>
    <w:rsid w:val="00556276"/>
    <w:rsid w:val="005562ED"/>
    <w:rsid w:val="00556389"/>
    <w:rsid w:val="005569CA"/>
    <w:rsid w:val="00556D7C"/>
    <w:rsid w:val="0055787C"/>
    <w:rsid w:val="005579B0"/>
    <w:rsid w:val="005609B3"/>
    <w:rsid w:val="00560AB0"/>
    <w:rsid w:val="005614D3"/>
    <w:rsid w:val="0056170B"/>
    <w:rsid w:val="0056187D"/>
    <w:rsid w:val="00561CBE"/>
    <w:rsid w:val="0056232D"/>
    <w:rsid w:val="005627FD"/>
    <w:rsid w:val="00562A21"/>
    <w:rsid w:val="00562BEC"/>
    <w:rsid w:val="0056304B"/>
    <w:rsid w:val="005632C6"/>
    <w:rsid w:val="00564FD1"/>
    <w:rsid w:val="0056608D"/>
    <w:rsid w:val="005661A5"/>
    <w:rsid w:val="005663B1"/>
    <w:rsid w:val="00566515"/>
    <w:rsid w:val="00567261"/>
    <w:rsid w:val="00570B1D"/>
    <w:rsid w:val="00570B36"/>
    <w:rsid w:val="00570B84"/>
    <w:rsid w:val="00571AA9"/>
    <w:rsid w:val="00571D7C"/>
    <w:rsid w:val="00571DB3"/>
    <w:rsid w:val="005723A3"/>
    <w:rsid w:val="00572C10"/>
    <w:rsid w:val="00572C28"/>
    <w:rsid w:val="00572E35"/>
    <w:rsid w:val="005735D0"/>
    <w:rsid w:val="0057364E"/>
    <w:rsid w:val="0057558B"/>
    <w:rsid w:val="00575973"/>
    <w:rsid w:val="00575CB9"/>
    <w:rsid w:val="00575D02"/>
    <w:rsid w:val="0057601B"/>
    <w:rsid w:val="0057632B"/>
    <w:rsid w:val="00576429"/>
    <w:rsid w:val="005774C3"/>
    <w:rsid w:val="0057766B"/>
    <w:rsid w:val="00577FB5"/>
    <w:rsid w:val="00580314"/>
    <w:rsid w:val="00580345"/>
    <w:rsid w:val="00580822"/>
    <w:rsid w:val="00580CF4"/>
    <w:rsid w:val="00581195"/>
    <w:rsid w:val="005823B7"/>
    <w:rsid w:val="005833EE"/>
    <w:rsid w:val="00583A7B"/>
    <w:rsid w:val="00583FE0"/>
    <w:rsid w:val="00585188"/>
    <w:rsid w:val="00585A9A"/>
    <w:rsid w:val="00585F11"/>
    <w:rsid w:val="0058684E"/>
    <w:rsid w:val="00587231"/>
    <w:rsid w:val="005872A0"/>
    <w:rsid w:val="0058762E"/>
    <w:rsid w:val="0058796C"/>
    <w:rsid w:val="00587D6D"/>
    <w:rsid w:val="00587FF0"/>
    <w:rsid w:val="0059090A"/>
    <w:rsid w:val="00590AEA"/>
    <w:rsid w:val="00590E92"/>
    <w:rsid w:val="00590EA4"/>
    <w:rsid w:val="00591A6A"/>
    <w:rsid w:val="00593B13"/>
    <w:rsid w:val="005941BF"/>
    <w:rsid w:val="0059473B"/>
    <w:rsid w:val="00594865"/>
    <w:rsid w:val="00595061"/>
    <w:rsid w:val="0059543E"/>
    <w:rsid w:val="00596D3F"/>
    <w:rsid w:val="00596E8E"/>
    <w:rsid w:val="005970DE"/>
    <w:rsid w:val="005973B6"/>
    <w:rsid w:val="00597ED0"/>
    <w:rsid w:val="005A141E"/>
    <w:rsid w:val="005A1E09"/>
    <w:rsid w:val="005A20C2"/>
    <w:rsid w:val="005A28C3"/>
    <w:rsid w:val="005A40F7"/>
    <w:rsid w:val="005A420F"/>
    <w:rsid w:val="005A42A8"/>
    <w:rsid w:val="005A46C3"/>
    <w:rsid w:val="005A4D60"/>
    <w:rsid w:val="005A50E3"/>
    <w:rsid w:val="005A5531"/>
    <w:rsid w:val="005A6552"/>
    <w:rsid w:val="005A68C3"/>
    <w:rsid w:val="005A6A3A"/>
    <w:rsid w:val="005A6D83"/>
    <w:rsid w:val="005A78D6"/>
    <w:rsid w:val="005A7ABB"/>
    <w:rsid w:val="005A7EC0"/>
    <w:rsid w:val="005B11B5"/>
    <w:rsid w:val="005B14C2"/>
    <w:rsid w:val="005B26C0"/>
    <w:rsid w:val="005B3842"/>
    <w:rsid w:val="005B390C"/>
    <w:rsid w:val="005B484E"/>
    <w:rsid w:val="005B6FE3"/>
    <w:rsid w:val="005B7200"/>
    <w:rsid w:val="005B7398"/>
    <w:rsid w:val="005B7631"/>
    <w:rsid w:val="005B7A05"/>
    <w:rsid w:val="005C037C"/>
    <w:rsid w:val="005C044D"/>
    <w:rsid w:val="005C04E9"/>
    <w:rsid w:val="005C2472"/>
    <w:rsid w:val="005C2549"/>
    <w:rsid w:val="005C27C5"/>
    <w:rsid w:val="005C2EB4"/>
    <w:rsid w:val="005C3464"/>
    <w:rsid w:val="005C37E9"/>
    <w:rsid w:val="005C3AB5"/>
    <w:rsid w:val="005C3D81"/>
    <w:rsid w:val="005C3E8F"/>
    <w:rsid w:val="005C461E"/>
    <w:rsid w:val="005C46CF"/>
    <w:rsid w:val="005C4FB3"/>
    <w:rsid w:val="005C60CC"/>
    <w:rsid w:val="005C6CE9"/>
    <w:rsid w:val="005C75DF"/>
    <w:rsid w:val="005D00A6"/>
    <w:rsid w:val="005D0743"/>
    <w:rsid w:val="005D0781"/>
    <w:rsid w:val="005D08A0"/>
    <w:rsid w:val="005D0BE7"/>
    <w:rsid w:val="005D1041"/>
    <w:rsid w:val="005D1334"/>
    <w:rsid w:val="005D1365"/>
    <w:rsid w:val="005D13DF"/>
    <w:rsid w:val="005D2225"/>
    <w:rsid w:val="005D2B98"/>
    <w:rsid w:val="005D2BF2"/>
    <w:rsid w:val="005D4AA5"/>
    <w:rsid w:val="005D545A"/>
    <w:rsid w:val="005D57D5"/>
    <w:rsid w:val="005D58DE"/>
    <w:rsid w:val="005D5D38"/>
    <w:rsid w:val="005D621E"/>
    <w:rsid w:val="005D6F77"/>
    <w:rsid w:val="005D7354"/>
    <w:rsid w:val="005D7584"/>
    <w:rsid w:val="005D7B55"/>
    <w:rsid w:val="005E083E"/>
    <w:rsid w:val="005E08D0"/>
    <w:rsid w:val="005E0E00"/>
    <w:rsid w:val="005E246F"/>
    <w:rsid w:val="005E2AC2"/>
    <w:rsid w:val="005E2B96"/>
    <w:rsid w:val="005E3223"/>
    <w:rsid w:val="005E37C5"/>
    <w:rsid w:val="005E3A19"/>
    <w:rsid w:val="005E59D0"/>
    <w:rsid w:val="005E5CB2"/>
    <w:rsid w:val="005E5CE4"/>
    <w:rsid w:val="005E5D7E"/>
    <w:rsid w:val="005E60D4"/>
    <w:rsid w:val="005E6DC9"/>
    <w:rsid w:val="005E6E49"/>
    <w:rsid w:val="005E70F7"/>
    <w:rsid w:val="005E7403"/>
    <w:rsid w:val="005E75D0"/>
    <w:rsid w:val="005E78A7"/>
    <w:rsid w:val="005E7DDA"/>
    <w:rsid w:val="005F02C2"/>
    <w:rsid w:val="005F02ED"/>
    <w:rsid w:val="005F0ED1"/>
    <w:rsid w:val="005F2736"/>
    <w:rsid w:val="005F28E5"/>
    <w:rsid w:val="005F3077"/>
    <w:rsid w:val="005F3EBE"/>
    <w:rsid w:val="005F47EA"/>
    <w:rsid w:val="005F584C"/>
    <w:rsid w:val="005F6C13"/>
    <w:rsid w:val="005F712F"/>
    <w:rsid w:val="005F7222"/>
    <w:rsid w:val="005F72C2"/>
    <w:rsid w:val="005F7592"/>
    <w:rsid w:val="005F7899"/>
    <w:rsid w:val="005F794C"/>
    <w:rsid w:val="005F7A4D"/>
    <w:rsid w:val="005F7E01"/>
    <w:rsid w:val="005F7EBE"/>
    <w:rsid w:val="005F7F9C"/>
    <w:rsid w:val="006002D9"/>
    <w:rsid w:val="00600765"/>
    <w:rsid w:val="006007A2"/>
    <w:rsid w:val="00601C24"/>
    <w:rsid w:val="00601CAF"/>
    <w:rsid w:val="00602F5E"/>
    <w:rsid w:val="0060355C"/>
    <w:rsid w:val="006038C7"/>
    <w:rsid w:val="00603EF3"/>
    <w:rsid w:val="006042EF"/>
    <w:rsid w:val="00604A22"/>
    <w:rsid w:val="006051F5"/>
    <w:rsid w:val="00605BAE"/>
    <w:rsid w:val="00605EC2"/>
    <w:rsid w:val="006061E6"/>
    <w:rsid w:val="0060622B"/>
    <w:rsid w:val="00606256"/>
    <w:rsid w:val="00606262"/>
    <w:rsid w:val="00606EE5"/>
    <w:rsid w:val="00607491"/>
    <w:rsid w:val="00607C24"/>
    <w:rsid w:val="00607DE2"/>
    <w:rsid w:val="00607E34"/>
    <w:rsid w:val="00610859"/>
    <w:rsid w:val="0061149E"/>
    <w:rsid w:val="006119B7"/>
    <w:rsid w:val="00612815"/>
    <w:rsid w:val="00612DC9"/>
    <w:rsid w:val="00613472"/>
    <w:rsid w:val="0061375B"/>
    <w:rsid w:val="0061379B"/>
    <w:rsid w:val="006139A0"/>
    <w:rsid w:val="00614087"/>
    <w:rsid w:val="0061485B"/>
    <w:rsid w:val="00614C1C"/>
    <w:rsid w:val="0061583E"/>
    <w:rsid w:val="006158F2"/>
    <w:rsid w:val="00616065"/>
    <w:rsid w:val="00616159"/>
    <w:rsid w:val="00616ED1"/>
    <w:rsid w:val="00616FCB"/>
    <w:rsid w:val="006177FD"/>
    <w:rsid w:val="00617953"/>
    <w:rsid w:val="0062095F"/>
    <w:rsid w:val="00620A3C"/>
    <w:rsid w:val="00621052"/>
    <w:rsid w:val="006213F7"/>
    <w:rsid w:val="006214F8"/>
    <w:rsid w:val="00622627"/>
    <w:rsid w:val="00622CFD"/>
    <w:rsid w:val="00622DBA"/>
    <w:rsid w:val="00623308"/>
    <w:rsid w:val="0062409E"/>
    <w:rsid w:val="006240DA"/>
    <w:rsid w:val="00624488"/>
    <w:rsid w:val="00624C29"/>
    <w:rsid w:val="00624D7E"/>
    <w:rsid w:val="00624FC8"/>
    <w:rsid w:val="0062534C"/>
    <w:rsid w:val="00625D33"/>
    <w:rsid w:val="00626966"/>
    <w:rsid w:val="00626A3A"/>
    <w:rsid w:val="00626CDA"/>
    <w:rsid w:val="00627505"/>
    <w:rsid w:val="00627A22"/>
    <w:rsid w:val="00627BEB"/>
    <w:rsid w:val="006306ED"/>
    <w:rsid w:val="0063240E"/>
    <w:rsid w:val="006334A7"/>
    <w:rsid w:val="006334D8"/>
    <w:rsid w:val="006335E5"/>
    <w:rsid w:val="00633FFD"/>
    <w:rsid w:val="00634056"/>
    <w:rsid w:val="0063688C"/>
    <w:rsid w:val="00636969"/>
    <w:rsid w:val="00636CE6"/>
    <w:rsid w:val="00640411"/>
    <w:rsid w:val="00640496"/>
    <w:rsid w:val="00640528"/>
    <w:rsid w:val="00640AF4"/>
    <w:rsid w:val="00640C25"/>
    <w:rsid w:val="00640E2A"/>
    <w:rsid w:val="00640F1F"/>
    <w:rsid w:val="006417B2"/>
    <w:rsid w:val="00642393"/>
    <w:rsid w:val="006424D1"/>
    <w:rsid w:val="00642515"/>
    <w:rsid w:val="006426B1"/>
    <w:rsid w:val="00642790"/>
    <w:rsid w:val="00643005"/>
    <w:rsid w:val="00643CB2"/>
    <w:rsid w:val="006448FA"/>
    <w:rsid w:val="00645869"/>
    <w:rsid w:val="0064627B"/>
    <w:rsid w:val="006463E2"/>
    <w:rsid w:val="006470CB"/>
    <w:rsid w:val="00647135"/>
    <w:rsid w:val="0064731A"/>
    <w:rsid w:val="006475DF"/>
    <w:rsid w:val="006500B5"/>
    <w:rsid w:val="006500CA"/>
    <w:rsid w:val="006500E5"/>
    <w:rsid w:val="00650313"/>
    <w:rsid w:val="00651F22"/>
    <w:rsid w:val="006522EF"/>
    <w:rsid w:val="006527DB"/>
    <w:rsid w:val="0065281C"/>
    <w:rsid w:val="006529F1"/>
    <w:rsid w:val="00652E67"/>
    <w:rsid w:val="006532A7"/>
    <w:rsid w:val="0065408E"/>
    <w:rsid w:val="00654C34"/>
    <w:rsid w:val="00654F04"/>
    <w:rsid w:val="00656230"/>
    <w:rsid w:val="006563ED"/>
    <w:rsid w:val="00656C76"/>
    <w:rsid w:val="00657249"/>
    <w:rsid w:val="00657F71"/>
    <w:rsid w:val="0066162E"/>
    <w:rsid w:val="00661FFA"/>
    <w:rsid w:val="00662278"/>
    <w:rsid w:val="0066253D"/>
    <w:rsid w:val="00662D96"/>
    <w:rsid w:val="006633E7"/>
    <w:rsid w:val="00663716"/>
    <w:rsid w:val="00663B07"/>
    <w:rsid w:val="006646CA"/>
    <w:rsid w:val="006649DF"/>
    <w:rsid w:val="00664C26"/>
    <w:rsid w:val="00665D1A"/>
    <w:rsid w:val="0066661A"/>
    <w:rsid w:val="00666FB1"/>
    <w:rsid w:val="00667809"/>
    <w:rsid w:val="00667AD2"/>
    <w:rsid w:val="006704E2"/>
    <w:rsid w:val="00670D4B"/>
    <w:rsid w:val="00670E87"/>
    <w:rsid w:val="00670FE5"/>
    <w:rsid w:val="00671243"/>
    <w:rsid w:val="00672252"/>
    <w:rsid w:val="00672B0C"/>
    <w:rsid w:val="00672B7B"/>
    <w:rsid w:val="006731E4"/>
    <w:rsid w:val="00673741"/>
    <w:rsid w:val="0067461E"/>
    <w:rsid w:val="0067496C"/>
    <w:rsid w:val="00674E2D"/>
    <w:rsid w:val="00675073"/>
    <w:rsid w:val="00675818"/>
    <w:rsid w:val="00676049"/>
    <w:rsid w:val="00676C5C"/>
    <w:rsid w:val="00677549"/>
    <w:rsid w:val="0067767F"/>
    <w:rsid w:val="00677E1F"/>
    <w:rsid w:val="00677ECB"/>
    <w:rsid w:val="006803A9"/>
    <w:rsid w:val="00680A74"/>
    <w:rsid w:val="00680E1F"/>
    <w:rsid w:val="006810C0"/>
    <w:rsid w:val="00681349"/>
    <w:rsid w:val="00681A4C"/>
    <w:rsid w:val="00681DA4"/>
    <w:rsid w:val="00681E50"/>
    <w:rsid w:val="00682129"/>
    <w:rsid w:val="006828AD"/>
    <w:rsid w:val="00682B22"/>
    <w:rsid w:val="0068365F"/>
    <w:rsid w:val="00683DE8"/>
    <w:rsid w:val="00683ED4"/>
    <w:rsid w:val="0068436E"/>
    <w:rsid w:val="00684966"/>
    <w:rsid w:val="00684F1E"/>
    <w:rsid w:val="006858FD"/>
    <w:rsid w:val="00686016"/>
    <w:rsid w:val="00686DA9"/>
    <w:rsid w:val="006876CB"/>
    <w:rsid w:val="00687A58"/>
    <w:rsid w:val="00687BC5"/>
    <w:rsid w:val="00687C73"/>
    <w:rsid w:val="00687EDC"/>
    <w:rsid w:val="0069009F"/>
    <w:rsid w:val="0069055A"/>
    <w:rsid w:val="00691394"/>
    <w:rsid w:val="0069281E"/>
    <w:rsid w:val="00692C85"/>
    <w:rsid w:val="00694B1D"/>
    <w:rsid w:val="00694E05"/>
    <w:rsid w:val="00695138"/>
    <w:rsid w:val="00695B3E"/>
    <w:rsid w:val="00695C3F"/>
    <w:rsid w:val="006A01F0"/>
    <w:rsid w:val="006A1038"/>
    <w:rsid w:val="006A1EE5"/>
    <w:rsid w:val="006A216C"/>
    <w:rsid w:val="006A2503"/>
    <w:rsid w:val="006A273E"/>
    <w:rsid w:val="006A3150"/>
    <w:rsid w:val="006A39B1"/>
    <w:rsid w:val="006A4000"/>
    <w:rsid w:val="006A4330"/>
    <w:rsid w:val="006A506E"/>
    <w:rsid w:val="006A5ABF"/>
    <w:rsid w:val="006A5B7D"/>
    <w:rsid w:val="006A5E4D"/>
    <w:rsid w:val="006B06DF"/>
    <w:rsid w:val="006B13AD"/>
    <w:rsid w:val="006B256E"/>
    <w:rsid w:val="006B3C42"/>
    <w:rsid w:val="006B425F"/>
    <w:rsid w:val="006B4304"/>
    <w:rsid w:val="006B5A87"/>
    <w:rsid w:val="006B63E3"/>
    <w:rsid w:val="006B6460"/>
    <w:rsid w:val="006B6AB7"/>
    <w:rsid w:val="006B7154"/>
    <w:rsid w:val="006B732D"/>
    <w:rsid w:val="006B7C5C"/>
    <w:rsid w:val="006B7D6A"/>
    <w:rsid w:val="006C020F"/>
    <w:rsid w:val="006C03CB"/>
    <w:rsid w:val="006C06F2"/>
    <w:rsid w:val="006C0D7C"/>
    <w:rsid w:val="006C132A"/>
    <w:rsid w:val="006C1AFB"/>
    <w:rsid w:val="006C2157"/>
    <w:rsid w:val="006C2243"/>
    <w:rsid w:val="006C25E7"/>
    <w:rsid w:val="006C2E82"/>
    <w:rsid w:val="006C4C21"/>
    <w:rsid w:val="006C5B72"/>
    <w:rsid w:val="006C6CD8"/>
    <w:rsid w:val="006C724D"/>
    <w:rsid w:val="006C767C"/>
    <w:rsid w:val="006C7D15"/>
    <w:rsid w:val="006D0DB8"/>
    <w:rsid w:val="006D114A"/>
    <w:rsid w:val="006D13AE"/>
    <w:rsid w:val="006D1A9A"/>
    <w:rsid w:val="006D1B07"/>
    <w:rsid w:val="006D2A12"/>
    <w:rsid w:val="006D36E4"/>
    <w:rsid w:val="006D39EF"/>
    <w:rsid w:val="006D3FE8"/>
    <w:rsid w:val="006D4280"/>
    <w:rsid w:val="006D4AC7"/>
    <w:rsid w:val="006D553F"/>
    <w:rsid w:val="006D5F40"/>
    <w:rsid w:val="006D6D81"/>
    <w:rsid w:val="006D6E7C"/>
    <w:rsid w:val="006D7F9A"/>
    <w:rsid w:val="006E0FF9"/>
    <w:rsid w:val="006E1099"/>
    <w:rsid w:val="006E180D"/>
    <w:rsid w:val="006E223A"/>
    <w:rsid w:val="006E2742"/>
    <w:rsid w:val="006E327F"/>
    <w:rsid w:val="006E3505"/>
    <w:rsid w:val="006E3B7B"/>
    <w:rsid w:val="006E5275"/>
    <w:rsid w:val="006E5E03"/>
    <w:rsid w:val="006E5E89"/>
    <w:rsid w:val="006E644B"/>
    <w:rsid w:val="006F0018"/>
    <w:rsid w:val="006F12FC"/>
    <w:rsid w:val="006F1A78"/>
    <w:rsid w:val="006F1D40"/>
    <w:rsid w:val="006F21ED"/>
    <w:rsid w:val="006F2A88"/>
    <w:rsid w:val="006F325F"/>
    <w:rsid w:val="006F3337"/>
    <w:rsid w:val="006F50C3"/>
    <w:rsid w:val="006F54CF"/>
    <w:rsid w:val="006F59C4"/>
    <w:rsid w:val="006F5A6E"/>
    <w:rsid w:val="006F5BDE"/>
    <w:rsid w:val="006F5CB0"/>
    <w:rsid w:val="006F6816"/>
    <w:rsid w:val="006F7D4C"/>
    <w:rsid w:val="0070048A"/>
    <w:rsid w:val="00700851"/>
    <w:rsid w:val="00700CAC"/>
    <w:rsid w:val="00701491"/>
    <w:rsid w:val="00701804"/>
    <w:rsid w:val="00702865"/>
    <w:rsid w:val="00702D0E"/>
    <w:rsid w:val="00702FAE"/>
    <w:rsid w:val="00705250"/>
    <w:rsid w:val="00705D15"/>
    <w:rsid w:val="007063C4"/>
    <w:rsid w:val="00706575"/>
    <w:rsid w:val="0070673F"/>
    <w:rsid w:val="00706ECF"/>
    <w:rsid w:val="00706FA0"/>
    <w:rsid w:val="00707A92"/>
    <w:rsid w:val="0071026A"/>
    <w:rsid w:val="0071042D"/>
    <w:rsid w:val="007107D8"/>
    <w:rsid w:val="00710DC3"/>
    <w:rsid w:val="007117F7"/>
    <w:rsid w:val="00711FDE"/>
    <w:rsid w:val="0071248D"/>
    <w:rsid w:val="00713408"/>
    <w:rsid w:val="00714995"/>
    <w:rsid w:val="00715018"/>
    <w:rsid w:val="007159FE"/>
    <w:rsid w:val="007168BA"/>
    <w:rsid w:val="00717928"/>
    <w:rsid w:val="00717E02"/>
    <w:rsid w:val="00720344"/>
    <w:rsid w:val="00720C1A"/>
    <w:rsid w:val="00721577"/>
    <w:rsid w:val="00721C15"/>
    <w:rsid w:val="007224D2"/>
    <w:rsid w:val="00722E5A"/>
    <w:rsid w:val="007238F0"/>
    <w:rsid w:val="007240DE"/>
    <w:rsid w:val="00724A1B"/>
    <w:rsid w:val="00725CA2"/>
    <w:rsid w:val="00726292"/>
    <w:rsid w:val="00726E9E"/>
    <w:rsid w:val="007276CE"/>
    <w:rsid w:val="0072794F"/>
    <w:rsid w:val="007300C7"/>
    <w:rsid w:val="007302D3"/>
    <w:rsid w:val="0073030E"/>
    <w:rsid w:val="00732CE8"/>
    <w:rsid w:val="00733122"/>
    <w:rsid w:val="00733E8D"/>
    <w:rsid w:val="00734444"/>
    <w:rsid w:val="00734534"/>
    <w:rsid w:val="00734ADE"/>
    <w:rsid w:val="00735113"/>
    <w:rsid w:val="00736833"/>
    <w:rsid w:val="007369B2"/>
    <w:rsid w:val="00737191"/>
    <w:rsid w:val="007376FC"/>
    <w:rsid w:val="007377C2"/>
    <w:rsid w:val="00740793"/>
    <w:rsid w:val="00740B07"/>
    <w:rsid w:val="00740ED5"/>
    <w:rsid w:val="007412E0"/>
    <w:rsid w:val="00742A41"/>
    <w:rsid w:val="00742DB8"/>
    <w:rsid w:val="007436F7"/>
    <w:rsid w:val="007444A0"/>
    <w:rsid w:val="007454CF"/>
    <w:rsid w:val="00745818"/>
    <w:rsid w:val="00746830"/>
    <w:rsid w:val="00746840"/>
    <w:rsid w:val="00747449"/>
    <w:rsid w:val="00747689"/>
    <w:rsid w:val="007478FF"/>
    <w:rsid w:val="00747BE2"/>
    <w:rsid w:val="00750D4F"/>
    <w:rsid w:val="00751055"/>
    <w:rsid w:val="0075129D"/>
    <w:rsid w:val="007513E3"/>
    <w:rsid w:val="00751B92"/>
    <w:rsid w:val="00752501"/>
    <w:rsid w:val="00752A34"/>
    <w:rsid w:val="00753CD1"/>
    <w:rsid w:val="00754027"/>
    <w:rsid w:val="0075445C"/>
    <w:rsid w:val="007550B1"/>
    <w:rsid w:val="00755460"/>
    <w:rsid w:val="00756707"/>
    <w:rsid w:val="00756928"/>
    <w:rsid w:val="00757921"/>
    <w:rsid w:val="0075799B"/>
    <w:rsid w:val="00757CC6"/>
    <w:rsid w:val="00757DE5"/>
    <w:rsid w:val="00760EDB"/>
    <w:rsid w:val="00761462"/>
    <w:rsid w:val="00761741"/>
    <w:rsid w:val="00761B50"/>
    <w:rsid w:val="00761EF9"/>
    <w:rsid w:val="0076229A"/>
    <w:rsid w:val="00762CC6"/>
    <w:rsid w:val="00762F13"/>
    <w:rsid w:val="007642D2"/>
    <w:rsid w:val="0076480D"/>
    <w:rsid w:val="007649EF"/>
    <w:rsid w:val="00764A04"/>
    <w:rsid w:val="00764FFC"/>
    <w:rsid w:val="007658CC"/>
    <w:rsid w:val="00766400"/>
    <w:rsid w:val="0076680C"/>
    <w:rsid w:val="00766886"/>
    <w:rsid w:val="00766FCA"/>
    <w:rsid w:val="0076769B"/>
    <w:rsid w:val="0076788E"/>
    <w:rsid w:val="007678D1"/>
    <w:rsid w:val="007718DA"/>
    <w:rsid w:val="00771D93"/>
    <w:rsid w:val="007722AE"/>
    <w:rsid w:val="007727CC"/>
    <w:rsid w:val="00772820"/>
    <w:rsid w:val="00772965"/>
    <w:rsid w:val="00773673"/>
    <w:rsid w:val="00773EF3"/>
    <w:rsid w:val="00774070"/>
    <w:rsid w:val="00774AA0"/>
    <w:rsid w:val="0077553E"/>
    <w:rsid w:val="00775E1B"/>
    <w:rsid w:val="007760A7"/>
    <w:rsid w:val="0077789F"/>
    <w:rsid w:val="00777903"/>
    <w:rsid w:val="00777AFA"/>
    <w:rsid w:val="0078084F"/>
    <w:rsid w:val="00780E1C"/>
    <w:rsid w:val="00780EF9"/>
    <w:rsid w:val="00780F54"/>
    <w:rsid w:val="0078171D"/>
    <w:rsid w:val="00781C19"/>
    <w:rsid w:val="00781F23"/>
    <w:rsid w:val="00781FBB"/>
    <w:rsid w:val="00782F57"/>
    <w:rsid w:val="00783EFE"/>
    <w:rsid w:val="00784AAC"/>
    <w:rsid w:val="00784DEE"/>
    <w:rsid w:val="00785A7A"/>
    <w:rsid w:val="00785AA9"/>
    <w:rsid w:val="00786262"/>
    <w:rsid w:val="00786588"/>
    <w:rsid w:val="00786BF6"/>
    <w:rsid w:val="00786EE8"/>
    <w:rsid w:val="007877AE"/>
    <w:rsid w:val="007879FA"/>
    <w:rsid w:val="00787D0F"/>
    <w:rsid w:val="0079004F"/>
    <w:rsid w:val="0079052E"/>
    <w:rsid w:val="0079066D"/>
    <w:rsid w:val="007906AA"/>
    <w:rsid w:val="00790800"/>
    <w:rsid w:val="00791383"/>
    <w:rsid w:val="007917E1"/>
    <w:rsid w:val="007918B1"/>
    <w:rsid w:val="0079193C"/>
    <w:rsid w:val="00792563"/>
    <w:rsid w:val="00792BF4"/>
    <w:rsid w:val="00792F1E"/>
    <w:rsid w:val="007931D2"/>
    <w:rsid w:val="007947A6"/>
    <w:rsid w:val="0079488D"/>
    <w:rsid w:val="00794AAA"/>
    <w:rsid w:val="0079577F"/>
    <w:rsid w:val="00795B9A"/>
    <w:rsid w:val="00795E63"/>
    <w:rsid w:val="00796978"/>
    <w:rsid w:val="00796E50"/>
    <w:rsid w:val="00797A60"/>
    <w:rsid w:val="007A0519"/>
    <w:rsid w:val="007A16B1"/>
    <w:rsid w:val="007A1BF1"/>
    <w:rsid w:val="007A240C"/>
    <w:rsid w:val="007A3366"/>
    <w:rsid w:val="007A3A86"/>
    <w:rsid w:val="007A412F"/>
    <w:rsid w:val="007A5A99"/>
    <w:rsid w:val="007A5ED0"/>
    <w:rsid w:val="007A5F7D"/>
    <w:rsid w:val="007A700D"/>
    <w:rsid w:val="007A7A9E"/>
    <w:rsid w:val="007B0A76"/>
    <w:rsid w:val="007B0F90"/>
    <w:rsid w:val="007B1F2B"/>
    <w:rsid w:val="007B292F"/>
    <w:rsid w:val="007B2A24"/>
    <w:rsid w:val="007B2BCF"/>
    <w:rsid w:val="007B2F99"/>
    <w:rsid w:val="007B3211"/>
    <w:rsid w:val="007B3A91"/>
    <w:rsid w:val="007B3DE4"/>
    <w:rsid w:val="007B3EDC"/>
    <w:rsid w:val="007B4490"/>
    <w:rsid w:val="007B46C0"/>
    <w:rsid w:val="007B4E35"/>
    <w:rsid w:val="007B573D"/>
    <w:rsid w:val="007B5D78"/>
    <w:rsid w:val="007B607C"/>
    <w:rsid w:val="007B616B"/>
    <w:rsid w:val="007B622B"/>
    <w:rsid w:val="007B6A4B"/>
    <w:rsid w:val="007B6BDF"/>
    <w:rsid w:val="007B6CC5"/>
    <w:rsid w:val="007B6CDD"/>
    <w:rsid w:val="007B6F99"/>
    <w:rsid w:val="007B7721"/>
    <w:rsid w:val="007C069F"/>
    <w:rsid w:val="007C0933"/>
    <w:rsid w:val="007C0F5C"/>
    <w:rsid w:val="007C12E4"/>
    <w:rsid w:val="007C1991"/>
    <w:rsid w:val="007C1E92"/>
    <w:rsid w:val="007C2223"/>
    <w:rsid w:val="007C26D4"/>
    <w:rsid w:val="007C2E51"/>
    <w:rsid w:val="007C2F31"/>
    <w:rsid w:val="007C3145"/>
    <w:rsid w:val="007C47AE"/>
    <w:rsid w:val="007C6CCF"/>
    <w:rsid w:val="007C7528"/>
    <w:rsid w:val="007D0356"/>
    <w:rsid w:val="007D070D"/>
    <w:rsid w:val="007D0C57"/>
    <w:rsid w:val="007D0D09"/>
    <w:rsid w:val="007D0DDC"/>
    <w:rsid w:val="007D12AC"/>
    <w:rsid w:val="007D1491"/>
    <w:rsid w:val="007D1C71"/>
    <w:rsid w:val="007D229F"/>
    <w:rsid w:val="007D2CBD"/>
    <w:rsid w:val="007D3EB9"/>
    <w:rsid w:val="007D3F28"/>
    <w:rsid w:val="007D40A4"/>
    <w:rsid w:val="007D4A11"/>
    <w:rsid w:val="007D4A16"/>
    <w:rsid w:val="007D4D33"/>
    <w:rsid w:val="007D50D7"/>
    <w:rsid w:val="007D56D5"/>
    <w:rsid w:val="007D613F"/>
    <w:rsid w:val="007D6730"/>
    <w:rsid w:val="007E0E46"/>
    <w:rsid w:val="007E0EB2"/>
    <w:rsid w:val="007E17D2"/>
    <w:rsid w:val="007E2080"/>
    <w:rsid w:val="007E332C"/>
    <w:rsid w:val="007E4FD4"/>
    <w:rsid w:val="007E4FFA"/>
    <w:rsid w:val="007E571F"/>
    <w:rsid w:val="007E67A0"/>
    <w:rsid w:val="007E69BD"/>
    <w:rsid w:val="007E6D04"/>
    <w:rsid w:val="007E6DBF"/>
    <w:rsid w:val="007E735C"/>
    <w:rsid w:val="007E7378"/>
    <w:rsid w:val="007F000B"/>
    <w:rsid w:val="007F14CC"/>
    <w:rsid w:val="007F1726"/>
    <w:rsid w:val="007F1A30"/>
    <w:rsid w:val="007F1B2B"/>
    <w:rsid w:val="007F1EA4"/>
    <w:rsid w:val="007F1F1E"/>
    <w:rsid w:val="007F1F56"/>
    <w:rsid w:val="007F2614"/>
    <w:rsid w:val="007F32CA"/>
    <w:rsid w:val="007F38B2"/>
    <w:rsid w:val="007F4BAE"/>
    <w:rsid w:val="007F6A18"/>
    <w:rsid w:val="007F6DAD"/>
    <w:rsid w:val="007F75F3"/>
    <w:rsid w:val="008000C7"/>
    <w:rsid w:val="00800263"/>
    <w:rsid w:val="008004F5"/>
    <w:rsid w:val="0080101D"/>
    <w:rsid w:val="008013D2"/>
    <w:rsid w:val="008014FD"/>
    <w:rsid w:val="0080163A"/>
    <w:rsid w:val="00801844"/>
    <w:rsid w:val="00801A63"/>
    <w:rsid w:val="00802A43"/>
    <w:rsid w:val="00802AD9"/>
    <w:rsid w:val="008036E1"/>
    <w:rsid w:val="00804080"/>
    <w:rsid w:val="00804446"/>
    <w:rsid w:val="00804504"/>
    <w:rsid w:val="008055E2"/>
    <w:rsid w:val="00805637"/>
    <w:rsid w:val="00805D8F"/>
    <w:rsid w:val="00805E65"/>
    <w:rsid w:val="00805F00"/>
    <w:rsid w:val="00806F09"/>
    <w:rsid w:val="008074C7"/>
    <w:rsid w:val="008075DB"/>
    <w:rsid w:val="00807FBB"/>
    <w:rsid w:val="00810B1C"/>
    <w:rsid w:val="00810B6C"/>
    <w:rsid w:val="00810E9D"/>
    <w:rsid w:val="00811319"/>
    <w:rsid w:val="00812B7E"/>
    <w:rsid w:val="00812CFF"/>
    <w:rsid w:val="00813027"/>
    <w:rsid w:val="008137F5"/>
    <w:rsid w:val="00815026"/>
    <w:rsid w:val="00815B66"/>
    <w:rsid w:val="00815F1F"/>
    <w:rsid w:val="008204DB"/>
    <w:rsid w:val="00820EB4"/>
    <w:rsid w:val="008211C7"/>
    <w:rsid w:val="0082191A"/>
    <w:rsid w:val="00821AC9"/>
    <w:rsid w:val="00821C94"/>
    <w:rsid w:val="00821C95"/>
    <w:rsid w:val="008221BE"/>
    <w:rsid w:val="00822D87"/>
    <w:rsid w:val="00822F24"/>
    <w:rsid w:val="0082348C"/>
    <w:rsid w:val="00823FA8"/>
    <w:rsid w:val="008247A5"/>
    <w:rsid w:val="00825FDC"/>
    <w:rsid w:val="0082625D"/>
    <w:rsid w:val="008262C4"/>
    <w:rsid w:val="008262E0"/>
    <w:rsid w:val="00826758"/>
    <w:rsid w:val="0082690F"/>
    <w:rsid w:val="00826BEB"/>
    <w:rsid w:val="00826DEF"/>
    <w:rsid w:val="008276C5"/>
    <w:rsid w:val="0082770C"/>
    <w:rsid w:val="00827C60"/>
    <w:rsid w:val="00830AAF"/>
    <w:rsid w:val="00831DD8"/>
    <w:rsid w:val="00832242"/>
    <w:rsid w:val="0083224E"/>
    <w:rsid w:val="0083234F"/>
    <w:rsid w:val="008328A3"/>
    <w:rsid w:val="00832BB1"/>
    <w:rsid w:val="00832C3D"/>
    <w:rsid w:val="00832DE9"/>
    <w:rsid w:val="00832DF5"/>
    <w:rsid w:val="0083312E"/>
    <w:rsid w:val="00833963"/>
    <w:rsid w:val="00833D03"/>
    <w:rsid w:val="008345CB"/>
    <w:rsid w:val="00834855"/>
    <w:rsid w:val="008357FB"/>
    <w:rsid w:val="00835E02"/>
    <w:rsid w:val="0083602D"/>
    <w:rsid w:val="00836648"/>
    <w:rsid w:val="0083678B"/>
    <w:rsid w:val="008374D2"/>
    <w:rsid w:val="008378DC"/>
    <w:rsid w:val="00837B5E"/>
    <w:rsid w:val="00837D96"/>
    <w:rsid w:val="00840171"/>
    <w:rsid w:val="00841444"/>
    <w:rsid w:val="00841EC1"/>
    <w:rsid w:val="0084212A"/>
    <w:rsid w:val="0084272E"/>
    <w:rsid w:val="00842A5B"/>
    <w:rsid w:val="00842B9A"/>
    <w:rsid w:val="00842FE2"/>
    <w:rsid w:val="00843DCD"/>
    <w:rsid w:val="008442E8"/>
    <w:rsid w:val="00844CBD"/>
    <w:rsid w:val="00845342"/>
    <w:rsid w:val="00845B21"/>
    <w:rsid w:val="00846444"/>
    <w:rsid w:val="0084647E"/>
    <w:rsid w:val="00846540"/>
    <w:rsid w:val="008469F2"/>
    <w:rsid w:val="00846CFA"/>
    <w:rsid w:val="00847352"/>
    <w:rsid w:val="00847788"/>
    <w:rsid w:val="00847CDC"/>
    <w:rsid w:val="00850F3C"/>
    <w:rsid w:val="008511DE"/>
    <w:rsid w:val="00851E35"/>
    <w:rsid w:val="008533DD"/>
    <w:rsid w:val="00855424"/>
    <w:rsid w:val="00855931"/>
    <w:rsid w:val="008560A9"/>
    <w:rsid w:val="0085648B"/>
    <w:rsid w:val="00856BDD"/>
    <w:rsid w:val="0085710D"/>
    <w:rsid w:val="00857D65"/>
    <w:rsid w:val="00857E4E"/>
    <w:rsid w:val="00860430"/>
    <w:rsid w:val="00860458"/>
    <w:rsid w:val="008609CB"/>
    <w:rsid w:val="00861B07"/>
    <w:rsid w:val="00861C3B"/>
    <w:rsid w:val="00861CCF"/>
    <w:rsid w:val="00861E04"/>
    <w:rsid w:val="00861E74"/>
    <w:rsid w:val="0086216D"/>
    <w:rsid w:val="008627EB"/>
    <w:rsid w:val="0086396E"/>
    <w:rsid w:val="008645E9"/>
    <w:rsid w:val="0086462E"/>
    <w:rsid w:val="0086535C"/>
    <w:rsid w:val="0086617B"/>
    <w:rsid w:val="008662C4"/>
    <w:rsid w:val="008662EA"/>
    <w:rsid w:val="00866338"/>
    <w:rsid w:val="008676C5"/>
    <w:rsid w:val="008679A6"/>
    <w:rsid w:val="00867F11"/>
    <w:rsid w:val="008701FE"/>
    <w:rsid w:val="008709E9"/>
    <w:rsid w:val="00870B0E"/>
    <w:rsid w:val="00870DDE"/>
    <w:rsid w:val="0087197B"/>
    <w:rsid w:val="00871AF3"/>
    <w:rsid w:val="00871D3F"/>
    <w:rsid w:val="00872077"/>
    <w:rsid w:val="0087298C"/>
    <w:rsid w:val="008731E7"/>
    <w:rsid w:val="00873468"/>
    <w:rsid w:val="008738FD"/>
    <w:rsid w:val="0087411C"/>
    <w:rsid w:val="0087464D"/>
    <w:rsid w:val="00874B39"/>
    <w:rsid w:val="00875B9F"/>
    <w:rsid w:val="00875FC3"/>
    <w:rsid w:val="0087652A"/>
    <w:rsid w:val="00876856"/>
    <w:rsid w:val="00876C40"/>
    <w:rsid w:val="0087704C"/>
    <w:rsid w:val="0087717A"/>
    <w:rsid w:val="0087761D"/>
    <w:rsid w:val="00877A45"/>
    <w:rsid w:val="00877B55"/>
    <w:rsid w:val="00877F19"/>
    <w:rsid w:val="00880BD7"/>
    <w:rsid w:val="008811CD"/>
    <w:rsid w:val="00881535"/>
    <w:rsid w:val="008817A2"/>
    <w:rsid w:val="00881F6E"/>
    <w:rsid w:val="00883683"/>
    <w:rsid w:val="008849BC"/>
    <w:rsid w:val="00884D0C"/>
    <w:rsid w:val="00884E8E"/>
    <w:rsid w:val="00884F91"/>
    <w:rsid w:val="00885C0D"/>
    <w:rsid w:val="00885DEF"/>
    <w:rsid w:val="00886231"/>
    <w:rsid w:val="008863DD"/>
    <w:rsid w:val="00886D03"/>
    <w:rsid w:val="00887519"/>
    <w:rsid w:val="00887BFE"/>
    <w:rsid w:val="00887F5E"/>
    <w:rsid w:val="00890530"/>
    <w:rsid w:val="00890818"/>
    <w:rsid w:val="00890C1D"/>
    <w:rsid w:val="008910CC"/>
    <w:rsid w:val="00891D46"/>
    <w:rsid w:val="008923C9"/>
    <w:rsid w:val="0089256B"/>
    <w:rsid w:val="00892DEA"/>
    <w:rsid w:val="0089313A"/>
    <w:rsid w:val="00893548"/>
    <w:rsid w:val="00893FDB"/>
    <w:rsid w:val="008943B0"/>
    <w:rsid w:val="00894D08"/>
    <w:rsid w:val="00894F91"/>
    <w:rsid w:val="0089505C"/>
    <w:rsid w:val="0089562D"/>
    <w:rsid w:val="008958D1"/>
    <w:rsid w:val="008965D0"/>
    <w:rsid w:val="008973CD"/>
    <w:rsid w:val="00897864"/>
    <w:rsid w:val="00897883"/>
    <w:rsid w:val="00897BB6"/>
    <w:rsid w:val="00897E4D"/>
    <w:rsid w:val="008A01F7"/>
    <w:rsid w:val="008A08D1"/>
    <w:rsid w:val="008A1D17"/>
    <w:rsid w:val="008A1FD8"/>
    <w:rsid w:val="008A21B4"/>
    <w:rsid w:val="008A2865"/>
    <w:rsid w:val="008A367F"/>
    <w:rsid w:val="008A3B6C"/>
    <w:rsid w:val="008A4A82"/>
    <w:rsid w:val="008A50E0"/>
    <w:rsid w:val="008A53A4"/>
    <w:rsid w:val="008A55C3"/>
    <w:rsid w:val="008A5C55"/>
    <w:rsid w:val="008A62B7"/>
    <w:rsid w:val="008A62D6"/>
    <w:rsid w:val="008A7D8C"/>
    <w:rsid w:val="008B0D36"/>
    <w:rsid w:val="008B0D69"/>
    <w:rsid w:val="008B171B"/>
    <w:rsid w:val="008B1AF9"/>
    <w:rsid w:val="008B26B4"/>
    <w:rsid w:val="008B2D97"/>
    <w:rsid w:val="008B35B7"/>
    <w:rsid w:val="008B4319"/>
    <w:rsid w:val="008B4B6E"/>
    <w:rsid w:val="008B5257"/>
    <w:rsid w:val="008B54BE"/>
    <w:rsid w:val="008B5527"/>
    <w:rsid w:val="008B55A1"/>
    <w:rsid w:val="008B5E8C"/>
    <w:rsid w:val="008B5FFB"/>
    <w:rsid w:val="008B67F7"/>
    <w:rsid w:val="008B6952"/>
    <w:rsid w:val="008B6BC7"/>
    <w:rsid w:val="008B7104"/>
    <w:rsid w:val="008C1DC2"/>
    <w:rsid w:val="008C1E0C"/>
    <w:rsid w:val="008C20D5"/>
    <w:rsid w:val="008C31A5"/>
    <w:rsid w:val="008C351E"/>
    <w:rsid w:val="008C39B0"/>
    <w:rsid w:val="008C439B"/>
    <w:rsid w:val="008C54C6"/>
    <w:rsid w:val="008C58BD"/>
    <w:rsid w:val="008C5D85"/>
    <w:rsid w:val="008C62FE"/>
    <w:rsid w:val="008C634C"/>
    <w:rsid w:val="008C6E67"/>
    <w:rsid w:val="008C7BEB"/>
    <w:rsid w:val="008D03F7"/>
    <w:rsid w:val="008D088B"/>
    <w:rsid w:val="008D0BAC"/>
    <w:rsid w:val="008D1A52"/>
    <w:rsid w:val="008D1C29"/>
    <w:rsid w:val="008D22B3"/>
    <w:rsid w:val="008D2488"/>
    <w:rsid w:val="008D2AC8"/>
    <w:rsid w:val="008D2EF3"/>
    <w:rsid w:val="008D35A3"/>
    <w:rsid w:val="008D370D"/>
    <w:rsid w:val="008D3847"/>
    <w:rsid w:val="008D4F10"/>
    <w:rsid w:val="008D621F"/>
    <w:rsid w:val="008D67BA"/>
    <w:rsid w:val="008E0425"/>
    <w:rsid w:val="008E090B"/>
    <w:rsid w:val="008E0AEE"/>
    <w:rsid w:val="008E0FC1"/>
    <w:rsid w:val="008E1071"/>
    <w:rsid w:val="008E1A8D"/>
    <w:rsid w:val="008E1A9F"/>
    <w:rsid w:val="008E1CFB"/>
    <w:rsid w:val="008E2ED7"/>
    <w:rsid w:val="008E307D"/>
    <w:rsid w:val="008E3B6F"/>
    <w:rsid w:val="008E4031"/>
    <w:rsid w:val="008E425B"/>
    <w:rsid w:val="008E4B66"/>
    <w:rsid w:val="008E5774"/>
    <w:rsid w:val="008E6B48"/>
    <w:rsid w:val="008E7349"/>
    <w:rsid w:val="008E7B8D"/>
    <w:rsid w:val="008E7E18"/>
    <w:rsid w:val="008E7FE3"/>
    <w:rsid w:val="008F05A7"/>
    <w:rsid w:val="008F0B8E"/>
    <w:rsid w:val="008F0D94"/>
    <w:rsid w:val="008F10B1"/>
    <w:rsid w:val="008F1241"/>
    <w:rsid w:val="008F2020"/>
    <w:rsid w:val="008F2886"/>
    <w:rsid w:val="008F30F8"/>
    <w:rsid w:val="008F36D1"/>
    <w:rsid w:val="008F3D25"/>
    <w:rsid w:val="008F3D4C"/>
    <w:rsid w:val="008F41CB"/>
    <w:rsid w:val="008F43AA"/>
    <w:rsid w:val="008F4774"/>
    <w:rsid w:val="008F4B40"/>
    <w:rsid w:val="008F51E6"/>
    <w:rsid w:val="008F6AEE"/>
    <w:rsid w:val="008F6CF7"/>
    <w:rsid w:val="008F6CF8"/>
    <w:rsid w:val="008F7021"/>
    <w:rsid w:val="0090040E"/>
    <w:rsid w:val="00900849"/>
    <w:rsid w:val="00900B71"/>
    <w:rsid w:val="00900D89"/>
    <w:rsid w:val="00901C3B"/>
    <w:rsid w:val="00902957"/>
    <w:rsid w:val="00902FCF"/>
    <w:rsid w:val="00903646"/>
    <w:rsid w:val="009036D4"/>
    <w:rsid w:val="00904282"/>
    <w:rsid w:val="00904C0A"/>
    <w:rsid w:val="009052A9"/>
    <w:rsid w:val="00905945"/>
    <w:rsid w:val="00905F6A"/>
    <w:rsid w:val="0090606E"/>
    <w:rsid w:val="00906288"/>
    <w:rsid w:val="009077AD"/>
    <w:rsid w:val="0090792B"/>
    <w:rsid w:val="00907F2D"/>
    <w:rsid w:val="00911D09"/>
    <w:rsid w:val="00911F35"/>
    <w:rsid w:val="0091213E"/>
    <w:rsid w:val="009130F4"/>
    <w:rsid w:val="009133DF"/>
    <w:rsid w:val="009134F0"/>
    <w:rsid w:val="00913817"/>
    <w:rsid w:val="0091475F"/>
    <w:rsid w:val="00914D02"/>
    <w:rsid w:val="009150BF"/>
    <w:rsid w:val="009156C4"/>
    <w:rsid w:val="009168A1"/>
    <w:rsid w:val="00916B74"/>
    <w:rsid w:val="00916E66"/>
    <w:rsid w:val="009172E2"/>
    <w:rsid w:val="00920447"/>
    <w:rsid w:val="00920DF4"/>
    <w:rsid w:val="0092136B"/>
    <w:rsid w:val="00921C7A"/>
    <w:rsid w:val="0092240A"/>
    <w:rsid w:val="00922692"/>
    <w:rsid w:val="009226A8"/>
    <w:rsid w:val="00922972"/>
    <w:rsid w:val="00922A1D"/>
    <w:rsid w:val="00922CDE"/>
    <w:rsid w:val="0092432C"/>
    <w:rsid w:val="00924E35"/>
    <w:rsid w:val="00925375"/>
    <w:rsid w:val="00925A1E"/>
    <w:rsid w:val="0092674A"/>
    <w:rsid w:val="00926DCC"/>
    <w:rsid w:val="00927625"/>
    <w:rsid w:val="009278C6"/>
    <w:rsid w:val="00927CC7"/>
    <w:rsid w:val="009309B5"/>
    <w:rsid w:val="00930AB2"/>
    <w:rsid w:val="00930C53"/>
    <w:rsid w:val="00931790"/>
    <w:rsid w:val="009318A4"/>
    <w:rsid w:val="009319E0"/>
    <w:rsid w:val="00932504"/>
    <w:rsid w:val="00932707"/>
    <w:rsid w:val="00932AE3"/>
    <w:rsid w:val="00933239"/>
    <w:rsid w:val="009338C1"/>
    <w:rsid w:val="00933A89"/>
    <w:rsid w:val="00934047"/>
    <w:rsid w:val="00934637"/>
    <w:rsid w:val="00935149"/>
    <w:rsid w:val="00935E3A"/>
    <w:rsid w:val="00935F1F"/>
    <w:rsid w:val="009363D7"/>
    <w:rsid w:val="00936D0E"/>
    <w:rsid w:val="009376F9"/>
    <w:rsid w:val="00940BDA"/>
    <w:rsid w:val="00940CE3"/>
    <w:rsid w:val="0094132A"/>
    <w:rsid w:val="00941C8F"/>
    <w:rsid w:val="0094219C"/>
    <w:rsid w:val="00942469"/>
    <w:rsid w:val="00942C21"/>
    <w:rsid w:val="00943059"/>
    <w:rsid w:val="00943F8F"/>
    <w:rsid w:val="009442CA"/>
    <w:rsid w:val="0094437D"/>
    <w:rsid w:val="00944DCE"/>
    <w:rsid w:val="0094514F"/>
    <w:rsid w:val="00945679"/>
    <w:rsid w:val="009459C0"/>
    <w:rsid w:val="009460C1"/>
    <w:rsid w:val="0094634A"/>
    <w:rsid w:val="0094641E"/>
    <w:rsid w:val="00946956"/>
    <w:rsid w:val="00946D02"/>
    <w:rsid w:val="009473BC"/>
    <w:rsid w:val="00947905"/>
    <w:rsid w:val="00947912"/>
    <w:rsid w:val="00947F86"/>
    <w:rsid w:val="00951742"/>
    <w:rsid w:val="00951C8B"/>
    <w:rsid w:val="00951DEA"/>
    <w:rsid w:val="0095223F"/>
    <w:rsid w:val="00952797"/>
    <w:rsid w:val="00952880"/>
    <w:rsid w:val="0095398E"/>
    <w:rsid w:val="00954C3B"/>
    <w:rsid w:val="00954EED"/>
    <w:rsid w:val="00954FCC"/>
    <w:rsid w:val="00955999"/>
    <w:rsid w:val="009560AA"/>
    <w:rsid w:val="00956C22"/>
    <w:rsid w:val="0095711C"/>
    <w:rsid w:val="0095755D"/>
    <w:rsid w:val="009577A8"/>
    <w:rsid w:val="009579B5"/>
    <w:rsid w:val="00957A14"/>
    <w:rsid w:val="009608B4"/>
    <w:rsid w:val="00960F65"/>
    <w:rsid w:val="00961FBA"/>
    <w:rsid w:val="0096268B"/>
    <w:rsid w:val="00962921"/>
    <w:rsid w:val="0096311B"/>
    <w:rsid w:val="00963C7C"/>
    <w:rsid w:val="009647DD"/>
    <w:rsid w:val="00964B15"/>
    <w:rsid w:val="00964F76"/>
    <w:rsid w:val="0096632D"/>
    <w:rsid w:val="00966B40"/>
    <w:rsid w:val="00966E85"/>
    <w:rsid w:val="00967042"/>
    <w:rsid w:val="009671EA"/>
    <w:rsid w:val="009674B6"/>
    <w:rsid w:val="0096785B"/>
    <w:rsid w:val="00967870"/>
    <w:rsid w:val="00970259"/>
    <w:rsid w:val="0097140D"/>
    <w:rsid w:val="0097172C"/>
    <w:rsid w:val="00972E45"/>
    <w:rsid w:val="0097387A"/>
    <w:rsid w:val="00974787"/>
    <w:rsid w:val="009748C7"/>
    <w:rsid w:val="00974DAB"/>
    <w:rsid w:val="009750F8"/>
    <w:rsid w:val="0097548E"/>
    <w:rsid w:val="00975E19"/>
    <w:rsid w:val="00976988"/>
    <w:rsid w:val="00977C64"/>
    <w:rsid w:val="0098024B"/>
    <w:rsid w:val="009817D3"/>
    <w:rsid w:val="0098197C"/>
    <w:rsid w:val="00981C3E"/>
    <w:rsid w:val="00982399"/>
    <w:rsid w:val="00982819"/>
    <w:rsid w:val="009828D3"/>
    <w:rsid w:val="009831EC"/>
    <w:rsid w:val="00983E15"/>
    <w:rsid w:val="0098518C"/>
    <w:rsid w:val="00985607"/>
    <w:rsid w:val="0098568B"/>
    <w:rsid w:val="00987776"/>
    <w:rsid w:val="009878DB"/>
    <w:rsid w:val="009879A6"/>
    <w:rsid w:val="00987B3D"/>
    <w:rsid w:val="00990142"/>
    <w:rsid w:val="00990494"/>
    <w:rsid w:val="00991BF2"/>
    <w:rsid w:val="009922AD"/>
    <w:rsid w:val="009922CD"/>
    <w:rsid w:val="0099268D"/>
    <w:rsid w:val="009928FB"/>
    <w:rsid w:val="00992B0F"/>
    <w:rsid w:val="00992F06"/>
    <w:rsid w:val="009932CF"/>
    <w:rsid w:val="00993467"/>
    <w:rsid w:val="0099393D"/>
    <w:rsid w:val="009941FC"/>
    <w:rsid w:val="009943AB"/>
    <w:rsid w:val="009945E5"/>
    <w:rsid w:val="009949E9"/>
    <w:rsid w:val="00994D5A"/>
    <w:rsid w:val="009950DA"/>
    <w:rsid w:val="009960BD"/>
    <w:rsid w:val="00997EC1"/>
    <w:rsid w:val="009A014C"/>
    <w:rsid w:val="009A02CE"/>
    <w:rsid w:val="009A07DC"/>
    <w:rsid w:val="009A0DC2"/>
    <w:rsid w:val="009A0E62"/>
    <w:rsid w:val="009A124A"/>
    <w:rsid w:val="009A2A11"/>
    <w:rsid w:val="009A2BD9"/>
    <w:rsid w:val="009A3314"/>
    <w:rsid w:val="009A4231"/>
    <w:rsid w:val="009A60B9"/>
    <w:rsid w:val="009A670E"/>
    <w:rsid w:val="009A676D"/>
    <w:rsid w:val="009A67B0"/>
    <w:rsid w:val="009A69A2"/>
    <w:rsid w:val="009A6D8D"/>
    <w:rsid w:val="009A72BC"/>
    <w:rsid w:val="009A7765"/>
    <w:rsid w:val="009B08E7"/>
    <w:rsid w:val="009B0C87"/>
    <w:rsid w:val="009B1031"/>
    <w:rsid w:val="009B132F"/>
    <w:rsid w:val="009B189C"/>
    <w:rsid w:val="009B197B"/>
    <w:rsid w:val="009B19B9"/>
    <w:rsid w:val="009B1D59"/>
    <w:rsid w:val="009B1E4B"/>
    <w:rsid w:val="009B20C8"/>
    <w:rsid w:val="009B2107"/>
    <w:rsid w:val="009B2642"/>
    <w:rsid w:val="009B28B6"/>
    <w:rsid w:val="009B2D87"/>
    <w:rsid w:val="009B30B8"/>
    <w:rsid w:val="009B3E31"/>
    <w:rsid w:val="009B4AF9"/>
    <w:rsid w:val="009B5970"/>
    <w:rsid w:val="009B5BDC"/>
    <w:rsid w:val="009B64AC"/>
    <w:rsid w:val="009B7737"/>
    <w:rsid w:val="009C051D"/>
    <w:rsid w:val="009C0A18"/>
    <w:rsid w:val="009C1B43"/>
    <w:rsid w:val="009C1BFA"/>
    <w:rsid w:val="009C24BE"/>
    <w:rsid w:val="009C268E"/>
    <w:rsid w:val="009C29C4"/>
    <w:rsid w:val="009C2CA2"/>
    <w:rsid w:val="009C2DB8"/>
    <w:rsid w:val="009C317C"/>
    <w:rsid w:val="009C32D0"/>
    <w:rsid w:val="009C36E6"/>
    <w:rsid w:val="009C3969"/>
    <w:rsid w:val="009C3977"/>
    <w:rsid w:val="009C44A9"/>
    <w:rsid w:val="009C44FD"/>
    <w:rsid w:val="009C4B7F"/>
    <w:rsid w:val="009C542E"/>
    <w:rsid w:val="009C5780"/>
    <w:rsid w:val="009C5F7D"/>
    <w:rsid w:val="009C679D"/>
    <w:rsid w:val="009C7303"/>
    <w:rsid w:val="009C7313"/>
    <w:rsid w:val="009D06B7"/>
    <w:rsid w:val="009D099D"/>
    <w:rsid w:val="009D0ACD"/>
    <w:rsid w:val="009D0D17"/>
    <w:rsid w:val="009D11DE"/>
    <w:rsid w:val="009D1C8E"/>
    <w:rsid w:val="009D2CCE"/>
    <w:rsid w:val="009D2DDA"/>
    <w:rsid w:val="009D2F83"/>
    <w:rsid w:val="009D319F"/>
    <w:rsid w:val="009D33BC"/>
    <w:rsid w:val="009D34AA"/>
    <w:rsid w:val="009D35BC"/>
    <w:rsid w:val="009D3E41"/>
    <w:rsid w:val="009D3E59"/>
    <w:rsid w:val="009D447A"/>
    <w:rsid w:val="009D4601"/>
    <w:rsid w:val="009D4DC1"/>
    <w:rsid w:val="009D5398"/>
    <w:rsid w:val="009D5B4A"/>
    <w:rsid w:val="009D5CAA"/>
    <w:rsid w:val="009D64A2"/>
    <w:rsid w:val="009D7EAF"/>
    <w:rsid w:val="009E0028"/>
    <w:rsid w:val="009E09B4"/>
    <w:rsid w:val="009E0F48"/>
    <w:rsid w:val="009E14B8"/>
    <w:rsid w:val="009E217F"/>
    <w:rsid w:val="009E44CF"/>
    <w:rsid w:val="009E5100"/>
    <w:rsid w:val="009E5C81"/>
    <w:rsid w:val="009E5CAE"/>
    <w:rsid w:val="009E648B"/>
    <w:rsid w:val="009E655C"/>
    <w:rsid w:val="009E6E82"/>
    <w:rsid w:val="009E6FEC"/>
    <w:rsid w:val="009E7888"/>
    <w:rsid w:val="009E78A0"/>
    <w:rsid w:val="009E791E"/>
    <w:rsid w:val="009E7C40"/>
    <w:rsid w:val="009E7F7E"/>
    <w:rsid w:val="009F009D"/>
    <w:rsid w:val="009F0637"/>
    <w:rsid w:val="009F0659"/>
    <w:rsid w:val="009F2173"/>
    <w:rsid w:val="009F3864"/>
    <w:rsid w:val="009F3C8A"/>
    <w:rsid w:val="009F4285"/>
    <w:rsid w:val="009F43BF"/>
    <w:rsid w:val="009F4690"/>
    <w:rsid w:val="009F4CF2"/>
    <w:rsid w:val="009F512A"/>
    <w:rsid w:val="009F59CE"/>
    <w:rsid w:val="009F5B13"/>
    <w:rsid w:val="009F66DE"/>
    <w:rsid w:val="009F6800"/>
    <w:rsid w:val="009F6D42"/>
    <w:rsid w:val="00A009C2"/>
    <w:rsid w:val="00A00EB5"/>
    <w:rsid w:val="00A01912"/>
    <w:rsid w:val="00A019CF"/>
    <w:rsid w:val="00A0209B"/>
    <w:rsid w:val="00A02731"/>
    <w:rsid w:val="00A02ACA"/>
    <w:rsid w:val="00A030CF"/>
    <w:rsid w:val="00A03652"/>
    <w:rsid w:val="00A03978"/>
    <w:rsid w:val="00A045D5"/>
    <w:rsid w:val="00A051E2"/>
    <w:rsid w:val="00A05215"/>
    <w:rsid w:val="00A05665"/>
    <w:rsid w:val="00A05B88"/>
    <w:rsid w:val="00A101CC"/>
    <w:rsid w:val="00A10439"/>
    <w:rsid w:val="00A10D1D"/>
    <w:rsid w:val="00A10FA7"/>
    <w:rsid w:val="00A1108A"/>
    <w:rsid w:val="00A110CD"/>
    <w:rsid w:val="00A11AFC"/>
    <w:rsid w:val="00A11F2F"/>
    <w:rsid w:val="00A1298E"/>
    <w:rsid w:val="00A12C86"/>
    <w:rsid w:val="00A131EB"/>
    <w:rsid w:val="00A134AF"/>
    <w:rsid w:val="00A1390E"/>
    <w:rsid w:val="00A1544E"/>
    <w:rsid w:val="00A15E0D"/>
    <w:rsid w:val="00A15F01"/>
    <w:rsid w:val="00A16842"/>
    <w:rsid w:val="00A16FD1"/>
    <w:rsid w:val="00A1743C"/>
    <w:rsid w:val="00A175B3"/>
    <w:rsid w:val="00A17719"/>
    <w:rsid w:val="00A179FD"/>
    <w:rsid w:val="00A17B3F"/>
    <w:rsid w:val="00A17D1D"/>
    <w:rsid w:val="00A2018F"/>
    <w:rsid w:val="00A20F6A"/>
    <w:rsid w:val="00A210E0"/>
    <w:rsid w:val="00A213AE"/>
    <w:rsid w:val="00A2153E"/>
    <w:rsid w:val="00A2230A"/>
    <w:rsid w:val="00A22390"/>
    <w:rsid w:val="00A22A1D"/>
    <w:rsid w:val="00A230D1"/>
    <w:rsid w:val="00A2343A"/>
    <w:rsid w:val="00A2366D"/>
    <w:rsid w:val="00A2368B"/>
    <w:rsid w:val="00A23F07"/>
    <w:rsid w:val="00A24E27"/>
    <w:rsid w:val="00A25063"/>
    <w:rsid w:val="00A251D6"/>
    <w:rsid w:val="00A256CA"/>
    <w:rsid w:val="00A25CF9"/>
    <w:rsid w:val="00A2763B"/>
    <w:rsid w:val="00A27D8A"/>
    <w:rsid w:val="00A301AA"/>
    <w:rsid w:val="00A311B9"/>
    <w:rsid w:val="00A31A2D"/>
    <w:rsid w:val="00A31DA9"/>
    <w:rsid w:val="00A31DE9"/>
    <w:rsid w:val="00A33616"/>
    <w:rsid w:val="00A33A0A"/>
    <w:rsid w:val="00A3486D"/>
    <w:rsid w:val="00A353F0"/>
    <w:rsid w:val="00A35C92"/>
    <w:rsid w:val="00A36686"/>
    <w:rsid w:val="00A37364"/>
    <w:rsid w:val="00A37611"/>
    <w:rsid w:val="00A4033B"/>
    <w:rsid w:val="00A40980"/>
    <w:rsid w:val="00A41277"/>
    <w:rsid w:val="00A41783"/>
    <w:rsid w:val="00A41DD4"/>
    <w:rsid w:val="00A41ED7"/>
    <w:rsid w:val="00A41EE9"/>
    <w:rsid w:val="00A41F2B"/>
    <w:rsid w:val="00A42E60"/>
    <w:rsid w:val="00A43084"/>
    <w:rsid w:val="00A430A1"/>
    <w:rsid w:val="00A43822"/>
    <w:rsid w:val="00A43EB7"/>
    <w:rsid w:val="00A44A52"/>
    <w:rsid w:val="00A4513B"/>
    <w:rsid w:val="00A45BA7"/>
    <w:rsid w:val="00A45F75"/>
    <w:rsid w:val="00A46450"/>
    <w:rsid w:val="00A468E8"/>
    <w:rsid w:val="00A46CFD"/>
    <w:rsid w:val="00A46E94"/>
    <w:rsid w:val="00A47C23"/>
    <w:rsid w:val="00A47C73"/>
    <w:rsid w:val="00A47CAB"/>
    <w:rsid w:val="00A501C6"/>
    <w:rsid w:val="00A503FE"/>
    <w:rsid w:val="00A50EF5"/>
    <w:rsid w:val="00A527C6"/>
    <w:rsid w:val="00A53DE5"/>
    <w:rsid w:val="00A53DE6"/>
    <w:rsid w:val="00A53F20"/>
    <w:rsid w:val="00A54641"/>
    <w:rsid w:val="00A5480D"/>
    <w:rsid w:val="00A54921"/>
    <w:rsid w:val="00A54C36"/>
    <w:rsid w:val="00A56029"/>
    <w:rsid w:val="00A564C3"/>
    <w:rsid w:val="00A56656"/>
    <w:rsid w:val="00A568CA"/>
    <w:rsid w:val="00A5703B"/>
    <w:rsid w:val="00A600B6"/>
    <w:rsid w:val="00A60156"/>
    <w:rsid w:val="00A60BE9"/>
    <w:rsid w:val="00A617E7"/>
    <w:rsid w:val="00A617FD"/>
    <w:rsid w:val="00A61EA5"/>
    <w:rsid w:val="00A6228C"/>
    <w:rsid w:val="00A62441"/>
    <w:rsid w:val="00A62765"/>
    <w:rsid w:val="00A627AB"/>
    <w:rsid w:val="00A62D71"/>
    <w:rsid w:val="00A6364A"/>
    <w:rsid w:val="00A6368C"/>
    <w:rsid w:val="00A63846"/>
    <w:rsid w:val="00A638B4"/>
    <w:rsid w:val="00A63948"/>
    <w:rsid w:val="00A645C7"/>
    <w:rsid w:val="00A64B54"/>
    <w:rsid w:val="00A65877"/>
    <w:rsid w:val="00A66099"/>
    <w:rsid w:val="00A66BC6"/>
    <w:rsid w:val="00A66CDA"/>
    <w:rsid w:val="00A66ED3"/>
    <w:rsid w:val="00A67A80"/>
    <w:rsid w:val="00A705A1"/>
    <w:rsid w:val="00A705E8"/>
    <w:rsid w:val="00A70EAE"/>
    <w:rsid w:val="00A71290"/>
    <w:rsid w:val="00A71997"/>
    <w:rsid w:val="00A71B2C"/>
    <w:rsid w:val="00A71D53"/>
    <w:rsid w:val="00A72C02"/>
    <w:rsid w:val="00A72C32"/>
    <w:rsid w:val="00A72C52"/>
    <w:rsid w:val="00A732AC"/>
    <w:rsid w:val="00A73939"/>
    <w:rsid w:val="00A7395C"/>
    <w:rsid w:val="00A749FF"/>
    <w:rsid w:val="00A75029"/>
    <w:rsid w:val="00A758EB"/>
    <w:rsid w:val="00A77055"/>
    <w:rsid w:val="00A800B4"/>
    <w:rsid w:val="00A80E56"/>
    <w:rsid w:val="00A80EF9"/>
    <w:rsid w:val="00A81612"/>
    <w:rsid w:val="00A817C2"/>
    <w:rsid w:val="00A81E9C"/>
    <w:rsid w:val="00A81FF3"/>
    <w:rsid w:val="00A8313F"/>
    <w:rsid w:val="00A83959"/>
    <w:rsid w:val="00A85155"/>
    <w:rsid w:val="00A8552C"/>
    <w:rsid w:val="00A8553F"/>
    <w:rsid w:val="00A856E3"/>
    <w:rsid w:val="00A85C08"/>
    <w:rsid w:val="00A85CAC"/>
    <w:rsid w:val="00A862DF"/>
    <w:rsid w:val="00A865B5"/>
    <w:rsid w:val="00A86880"/>
    <w:rsid w:val="00A8769E"/>
    <w:rsid w:val="00A87EDA"/>
    <w:rsid w:val="00A904CD"/>
    <w:rsid w:val="00A904FA"/>
    <w:rsid w:val="00A908F7"/>
    <w:rsid w:val="00A90AF4"/>
    <w:rsid w:val="00A91174"/>
    <w:rsid w:val="00A92D91"/>
    <w:rsid w:val="00A930B1"/>
    <w:rsid w:val="00A93637"/>
    <w:rsid w:val="00A936CF"/>
    <w:rsid w:val="00A94410"/>
    <w:rsid w:val="00A94750"/>
    <w:rsid w:val="00A94A30"/>
    <w:rsid w:val="00A95045"/>
    <w:rsid w:val="00A9537F"/>
    <w:rsid w:val="00A9562D"/>
    <w:rsid w:val="00A96566"/>
    <w:rsid w:val="00A969AF"/>
    <w:rsid w:val="00A96A06"/>
    <w:rsid w:val="00A96ED9"/>
    <w:rsid w:val="00AA00B5"/>
    <w:rsid w:val="00AA0882"/>
    <w:rsid w:val="00AA0E41"/>
    <w:rsid w:val="00AA18DD"/>
    <w:rsid w:val="00AA1A18"/>
    <w:rsid w:val="00AA239F"/>
    <w:rsid w:val="00AA2B09"/>
    <w:rsid w:val="00AA426A"/>
    <w:rsid w:val="00AA4653"/>
    <w:rsid w:val="00AA5777"/>
    <w:rsid w:val="00AA5E71"/>
    <w:rsid w:val="00AA6FA0"/>
    <w:rsid w:val="00AA73E4"/>
    <w:rsid w:val="00AB0186"/>
    <w:rsid w:val="00AB231F"/>
    <w:rsid w:val="00AB2E56"/>
    <w:rsid w:val="00AB2EB7"/>
    <w:rsid w:val="00AB3211"/>
    <w:rsid w:val="00AB38AA"/>
    <w:rsid w:val="00AB3C36"/>
    <w:rsid w:val="00AB46E4"/>
    <w:rsid w:val="00AB483F"/>
    <w:rsid w:val="00AB48BA"/>
    <w:rsid w:val="00AB4DB6"/>
    <w:rsid w:val="00AB577B"/>
    <w:rsid w:val="00AB5DDA"/>
    <w:rsid w:val="00AB5FA4"/>
    <w:rsid w:val="00AB604F"/>
    <w:rsid w:val="00AB6253"/>
    <w:rsid w:val="00AB651B"/>
    <w:rsid w:val="00AB653F"/>
    <w:rsid w:val="00AB6E07"/>
    <w:rsid w:val="00AB713E"/>
    <w:rsid w:val="00AB72C1"/>
    <w:rsid w:val="00AC12FD"/>
    <w:rsid w:val="00AC1FEE"/>
    <w:rsid w:val="00AC272C"/>
    <w:rsid w:val="00AC35AA"/>
    <w:rsid w:val="00AC39B2"/>
    <w:rsid w:val="00AC3B85"/>
    <w:rsid w:val="00AC3D48"/>
    <w:rsid w:val="00AC42CC"/>
    <w:rsid w:val="00AC44C8"/>
    <w:rsid w:val="00AC4542"/>
    <w:rsid w:val="00AC4576"/>
    <w:rsid w:val="00AC4670"/>
    <w:rsid w:val="00AC4693"/>
    <w:rsid w:val="00AC5007"/>
    <w:rsid w:val="00AC57AB"/>
    <w:rsid w:val="00AC5AD0"/>
    <w:rsid w:val="00AC5C69"/>
    <w:rsid w:val="00AC5E31"/>
    <w:rsid w:val="00AC5FCC"/>
    <w:rsid w:val="00AC6636"/>
    <w:rsid w:val="00AD000A"/>
    <w:rsid w:val="00AD0444"/>
    <w:rsid w:val="00AD07EB"/>
    <w:rsid w:val="00AD13CB"/>
    <w:rsid w:val="00AD1851"/>
    <w:rsid w:val="00AD1C3A"/>
    <w:rsid w:val="00AD2231"/>
    <w:rsid w:val="00AD24E7"/>
    <w:rsid w:val="00AD2AB6"/>
    <w:rsid w:val="00AD2F66"/>
    <w:rsid w:val="00AD3667"/>
    <w:rsid w:val="00AD4464"/>
    <w:rsid w:val="00AD4C5F"/>
    <w:rsid w:val="00AD4DCE"/>
    <w:rsid w:val="00AD4E39"/>
    <w:rsid w:val="00AD6CF8"/>
    <w:rsid w:val="00AD70AB"/>
    <w:rsid w:val="00AD72AC"/>
    <w:rsid w:val="00AD76D7"/>
    <w:rsid w:val="00AD7C27"/>
    <w:rsid w:val="00AD7CB5"/>
    <w:rsid w:val="00AE0264"/>
    <w:rsid w:val="00AE02C0"/>
    <w:rsid w:val="00AE042A"/>
    <w:rsid w:val="00AE0B27"/>
    <w:rsid w:val="00AE0DFA"/>
    <w:rsid w:val="00AE18FB"/>
    <w:rsid w:val="00AE233A"/>
    <w:rsid w:val="00AE2415"/>
    <w:rsid w:val="00AE26B2"/>
    <w:rsid w:val="00AE2864"/>
    <w:rsid w:val="00AE2EB9"/>
    <w:rsid w:val="00AE3A2F"/>
    <w:rsid w:val="00AE4595"/>
    <w:rsid w:val="00AE475D"/>
    <w:rsid w:val="00AE4F9A"/>
    <w:rsid w:val="00AE59EB"/>
    <w:rsid w:val="00AE5E08"/>
    <w:rsid w:val="00AE66AA"/>
    <w:rsid w:val="00AE67EF"/>
    <w:rsid w:val="00AE6EE1"/>
    <w:rsid w:val="00AE7943"/>
    <w:rsid w:val="00AE7BA9"/>
    <w:rsid w:val="00AE7C08"/>
    <w:rsid w:val="00AF03C7"/>
    <w:rsid w:val="00AF0519"/>
    <w:rsid w:val="00AF1A76"/>
    <w:rsid w:val="00AF1D51"/>
    <w:rsid w:val="00AF1E48"/>
    <w:rsid w:val="00AF2580"/>
    <w:rsid w:val="00AF2803"/>
    <w:rsid w:val="00AF307C"/>
    <w:rsid w:val="00AF3A4C"/>
    <w:rsid w:val="00AF3E60"/>
    <w:rsid w:val="00AF44DD"/>
    <w:rsid w:val="00AF5074"/>
    <w:rsid w:val="00AF5532"/>
    <w:rsid w:val="00AF5BAB"/>
    <w:rsid w:val="00AF5CDD"/>
    <w:rsid w:val="00AF641B"/>
    <w:rsid w:val="00AF6657"/>
    <w:rsid w:val="00AF71D2"/>
    <w:rsid w:val="00AF729B"/>
    <w:rsid w:val="00AF77BB"/>
    <w:rsid w:val="00B0012E"/>
    <w:rsid w:val="00B00613"/>
    <w:rsid w:val="00B0135B"/>
    <w:rsid w:val="00B016F7"/>
    <w:rsid w:val="00B017F1"/>
    <w:rsid w:val="00B02079"/>
    <w:rsid w:val="00B026F7"/>
    <w:rsid w:val="00B034A9"/>
    <w:rsid w:val="00B0452B"/>
    <w:rsid w:val="00B046FD"/>
    <w:rsid w:val="00B04787"/>
    <w:rsid w:val="00B05BE2"/>
    <w:rsid w:val="00B05FF7"/>
    <w:rsid w:val="00B061A7"/>
    <w:rsid w:val="00B06D5D"/>
    <w:rsid w:val="00B07328"/>
    <w:rsid w:val="00B07503"/>
    <w:rsid w:val="00B07566"/>
    <w:rsid w:val="00B077A4"/>
    <w:rsid w:val="00B07AE6"/>
    <w:rsid w:val="00B07D2A"/>
    <w:rsid w:val="00B10EF7"/>
    <w:rsid w:val="00B11265"/>
    <w:rsid w:val="00B12C17"/>
    <w:rsid w:val="00B12EEE"/>
    <w:rsid w:val="00B132AB"/>
    <w:rsid w:val="00B13751"/>
    <w:rsid w:val="00B13BBB"/>
    <w:rsid w:val="00B143C6"/>
    <w:rsid w:val="00B15669"/>
    <w:rsid w:val="00B15B3B"/>
    <w:rsid w:val="00B15B6D"/>
    <w:rsid w:val="00B15FFB"/>
    <w:rsid w:val="00B163B2"/>
    <w:rsid w:val="00B16F29"/>
    <w:rsid w:val="00B20792"/>
    <w:rsid w:val="00B20E89"/>
    <w:rsid w:val="00B20EF5"/>
    <w:rsid w:val="00B21915"/>
    <w:rsid w:val="00B21D65"/>
    <w:rsid w:val="00B222CC"/>
    <w:rsid w:val="00B22689"/>
    <w:rsid w:val="00B22EB7"/>
    <w:rsid w:val="00B235BC"/>
    <w:rsid w:val="00B2365D"/>
    <w:rsid w:val="00B236E9"/>
    <w:rsid w:val="00B24DB9"/>
    <w:rsid w:val="00B254E1"/>
    <w:rsid w:val="00B25C3C"/>
    <w:rsid w:val="00B25EEC"/>
    <w:rsid w:val="00B266E3"/>
    <w:rsid w:val="00B269C0"/>
    <w:rsid w:val="00B27288"/>
    <w:rsid w:val="00B27A51"/>
    <w:rsid w:val="00B30A26"/>
    <w:rsid w:val="00B31814"/>
    <w:rsid w:val="00B31952"/>
    <w:rsid w:val="00B31F1D"/>
    <w:rsid w:val="00B3298C"/>
    <w:rsid w:val="00B330BE"/>
    <w:rsid w:val="00B33525"/>
    <w:rsid w:val="00B344E1"/>
    <w:rsid w:val="00B35DD3"/>
    <w:rsid w:val="00B3623E"/>
    <w:rsid w:val="00B365C9"/>
    <w:rsid w:val="00B36FB2"/>
    <w:rsid w:val="00B36FDE"/>
    <w:rsid w:val="00B370AD"/>
    <w:rsid w:val="00B371D2"/>
    <w:rsid w:val="00B378FE"/>
    <w:rsid w:val="00B379A5"/>
    <w:rsid w:val="00B379DF"/>
    <w:rsid w:val="00B379F4"/>
    <w:rsid w:val="00B37E67"/>
    <w:rsid w:val="00B400AC"/>
    <w:rsid w:val="00B41169"/>
    <w:rsid w:val="00B41173"/>
    <w:rsid w:val="00B412B0"/>
    <w:rsid w:val="00B41488"/>
    <w:rsid w:val="00B41A46"/>
    <w:rsid w:val="00B41A53"/>
    <w:rsid w:val="00B42C62"/>
    <w:rsid w:val="00B4303A"/>
    <w:rsid w:val="00B44305"/>
    <w:rsid w:val="00B4462D"/>
    <w:rsid w:val="00B44E4F"/>
    <w:rsid w:val="00B45A09"/>
    <w:rsid w:val="00B4627C"/>
    <w:rsid w:val="00B46BC7"/>
    <w:rsid w:val="00B50A1B"/>
    <w:rsid w:val="00B51085"/>
    <w:rsid w:val="00B51B8F"/>
    <w:rsid w:val="00B52469"/>
    <w:rsid w:val="00B5329B"/>
    <w:rsid w:val="00B533B6"/>
    <w:rsid w:val="00B537F2"/>
    <w:rsid w:val="00B53A40"/>
    <w:rsid w:val="00B53B54"/>
    <w:rsid w:val="00B542ED"/>
    <w:rsid w:val="00B54889"/>
    <w:rsid w:val="00B54BBA"/>
    <w:rsid w:val="00B54EBC"/>
    <w:rsid w:val="00B5553A"/>
    <w:rsid w:val="00B5657A"/>
    <w:rsid w:val="00B56741"/>
    <w:rsid w:val="00B56925"/>
    <w:rsid w:val="00B57247"/>
    <w:rsid w:val="00B5737C"/>
    <w:rsid w:val="00B574D9"/>
    <w:rsid w:val="00B57B6A"/>
    <w:rsid w:val="00B60111"/>
    <w:rsid w:val="00B60172"/>
    <w:rsid w:val="00B602B7"/>
    <w:rsid w:val="00B60336"/>
    <w:rsid w:val="00B60D55"/>
    <w:rsid w:val="00B610B7"/>
    <w:rsid w:val="00B612F9"/>
    <w:rsid w:val="00B615D0"/>
    <w:rsid w:val="00B61926"/>
    <w:rsid w:val="00B61A28"/>
    <w:rsid w:val="00B61DF9"/>
    <w:rsid w:val="00B623D8"/>
    <w:rsid w:val="00B6267F"/>
    <w:rsid w:val="00B62A27"/>
    <w:rsid w:val="00B6317F"/>
    <w:rsid w:val="00B6344C"/>
    <w:rsid w:val="00B638C0"/>
    <w:rsid w:val="00B648A5"/>
    <w:rsid w:val="00B6558A"/>
    <w:rsid w:val="00B65736"/>
    <w:rsid w:val="00B6574C"/>
    <w:rsid w:val="00B65B17"/>
    <w:rsid w:val="00B65EFB"/>
    <w:rsid w:val="00B660E3"/>
    <w:rsid w:val="00B664C7"/>
    <w:rsid w:val="00B6654F"/>
    <w:rsid w:val="00B66D63"/>
    <w:rsid w:val="00B67035"/>
    <w:rsid w:val="00B70AF6"/>
    <w:rsid w:val="00B70BDE"/>
    <w:rsid w:val="00B71257"/>
    <w:rsid w:val="00B720EC"/>
    <w:rsid w:val="00B72A3C"/>
    <w:rsid w:val="00B72CEE"/>
    <w:rsid w:val="00B72FBD"/>
    <w:rsid w:val="00B738AF"/>
    <w:rsid w:val="00B74772"/>
    <w:rsid w:val="00B74C7A"/>
    <w:rsid w:val="00B75A1E"/>
    <w:rsid w:val="00B75D3B"/>
    <w:rsid w:val="00B77631"/>
    <w:rsid w:val="00B80068"/>
    <w:rsid w:val="00B80B11"/>
    <w:rsid w:val="00B81632"/>
    <w:rsid w:val="00B81AFF"/>
    <w:rsid w:val="00B81C0C"/>
    <w:rsid w:val="00B82467"/>
    <w:rsid w:val="00B82689"/>
    <w:rsid w:val="00B82EF4"/>
    <w:rsid w:val="00B8321C"/>
    <w:rsid w:val="00B83AF1"/>
    <w:rsid w:val="00B83CE8"/>
    <w:rsid w:val="00B84670"/>
    <w:rsid w:val="00B84A2B"/>
    <w:rsid w:val="00B84D8D"/>
    <w:rsid w:val="00B852B4"/>
    <w:rsid w:val="00B85477"/>
    <w:rsid w:val="00B8592D"/>
    <w:rsid w:val="00B8671B"/>
    <w:rsid w:val="00B871D4"/>
    <w:rsid w:val="00B87344"/>
    <w:rsid w:val="00B87834"/>
    <w:rsid w:val="00B87E16"/>
    <w:rsid w:val="00B91103"/>
    <w:rsid w:val="00B911BE"/>
    <w:rsid w:val="00B91686"/>
    <w:rsid w:val="00B917DD"/>
    <w:rsid w:val="00B91B20"/>
    <w:rsid w:val="00B91E3E"/>
    <w:rsid w:val="00B91ECA"/>
    <w:rsid w:val="00B92AE9"/>
    <w:rsid w:val="00B93612"/>
    <w:rsid w:val="00B93A4B"/>
    <w:rsid w:val="00B93EA5"/>
    <w:rsid w:val="00B94E92"/>
    <w:rsid w:val="00B95003"/>
    <w:rsid w:val="00B9519B"/>
    <w:rsid w:val="00B95BD0"/>
    <w:rsid w:val="00B9606D"/>
    <w:rsid w:val="00B961A7"/>
    <w:rsid w:val="00B962B8"/>
    <w:rsid w:val="00B9691C"/>
    <w:rsid w:val="00B96E43"/>
    <w:rsid w:val="00B976AB"/>
    <w:rsid w:val="00B97991"/>
    <w:rsid w:val="00BA0360"/>
    <w:rsid w:val="00BA0DE5"/>
    <w:rsid w:val="00BA189D"/>
    <w:rsid w:val="00BA18E0"/>
    <w:rsid w:val="00BA2B87"/>
    <w:rsid w:val="00BA3224"/>
    <w:rsid w:val="00BA351B"/>
    <w:rsid w:val="00BA361F"/>
    <w:rsid w:val="00BA4F97"/>
    <w:rsid w:val="00BA5311"/>
    <w:rsid w:val="00BA7004"/>
    <w:rsid w:val="00BB0A40"/>
    <w:rsid w:val="00BB0C3F"/>
    <w:rsid w:val="00BB1489"/>
    <w:rsid w:val="00BB1639"/>
    <w:rsid w:val="00BB1C13"/>
    <w:rsid w:val="00BB1C15"/>
    <w:rsid w:val="00BB2E2C"/>
    <w:rsid w:val="00BB2FDC"/>
    <w:rsid w:val="00BB35C9"/>
    <w:rsid w:val="00BB366B"/>
    <w:rsid w:val="00BB3ADA"/>
    <w:rsid w:val="00BB4017"/>
    <w:rsid w:val="00BB4745"/>
    <w:rsid w:val="00BB54B3"/>
    <w:rsid w:val="00BB5C04"/>
    <w:rsid w:val="00BB5CA7"/>
    <w:rsid w:val="00BB60BB"/>
    <w:rsid w:val="00BB665B"/>
    <w:rsid w:val="00BB68A7"/>
    <w:rsid w:val="00BB7B1D"/>
    <w:rsid w:val="00BB7DE6"/>
    <w:rsid w:val="00BC1BAF"/>
    <w:rsid w:val="00BC1F17"/>
    <w:rsid w:val="00BC2BE8"/>
    <w:rsid w:val="00BC306C"/>
    <w:rsid w:val="00BC36FB"/>
    <w:rsid w:val="00BC3FB9"/>
    <w:rsid w:val="00BC5DB8"/>
    <w:rsid w:val="00BC5E87"/>
    <w:rsid w:val="00BC6025"/>
    <w:rsid w:val="00BC641B"/>
    <w:rsid w:val="00BC670F"/>
    <w:rsid w:val="00BD0035"/>
    <w:rsid w:val="00BD014E"/>
    <w:rsid w:val="00BD1D11"/>
    <w:rsid w:val="00BD1DD0"/>
    <w:rsid w:val="00BD2413"/>
    <w:rsid w:val="00BD3E6F"/>
    <w:rsid w:val="00BD41EB"/>
    <w:rsid w:val="00BD462B"/>
    <w:rsid w:val="00BD48E0"/>
    <w:rsid w:val="00BD51AC"/>
    <w:rsid w:val="00BD5D7D"/>
    <w:rsid w:val="00BD65D3"/>
    <w:rsid w:val="00BD67F4"/>
    <w:rsid w:val="00BD6E80"/>
    <w:rsid w:val="00BD6F89"/>
    <w:rsid w:val="00BD7258"/>
    <w:rsid w:val="00BD7D6F"/>
    <w:rsid w:val="00BE0244"/>
    <w:rsid w:val="00BE04D3"/>
    <w:rsid w:val="00BE090A"/>
    <w:rsid w:val="00BE0E6F"/>
    <w:rsid w:val="00BE1066"/>
    <w:rsid w:val="00BE15C2"/>
    <w:rsid w:val="00BE1C6D"/>
    <w:rsid w:val="00BE22A7"/>
    <w:rsid w:val="00BE22C6"/>
    <w:rsid w:val="00BE2A52"/>
    <w:rsid w:val="00BE310E"/>
    <w:rsid w:val="00BE36A3"/>
    <w:rsid w:val="00BE3E2C"/>
    <w:rsid w:val="00BE3E37"/>
    <w:rsid w:val="00BE423F"/>
    <w:rsid w:val="00BE4355"/>
    <w:rsid w:val="00BE4575"/>
    <w:rsid w:val="00BE4A02"/>
    <w:rsid w:val="00BE4BB8"/>
    <w:rsid w:val="00BE4C4C"/>
    <w:rsid w:val="00BE590D"/>
    <w:rsid w:val="00BE6E5C"/>
    <w:rsid w:val="00BE7013"/>
    <w:rsid w:val="00BE7181"/>
    <w:rsid w:val="00BE75D3"/>
    <w:rsid w:val="00BF055A"/>
    <w:rsid w:val="00BF0D49"/>
    <w:rsid w:val="00BF0F41"/>
    <w:rsid w:val="00BF1161"/>
    <w:rsid w:val="00BF1502"/>
    <w:rsid w:val="00BF1555"/>
    <w:rsid w:val="00BF2031"/>
    <w:rsid w:val="00BF23A8"/>
    <w:rsid w:val="00BF37A7"/>
    <w:rsid w:val="00BF393B"/>
    <w:rsid w:val="00BF3F4F"/>
    <w:rsid w:val="00BF5027"/>
    <w:rsid w:val="00BF587C"/>
    <w:rsid w:val="00BF6744"/>
    <w:rsid w:val="00BF6952"/>
    <w:rsid w:val="00BF6FBB"/>
    <w:rsid w:val="00C00458"/>
    <w:rsid w:val="00C0068D"/>
    <w:rsid w:val="00C00BE6"/>
    <w:rsid w:val="00C00D45"/>
    <w:rsid w:val="00C015D0"/>
    <w:rsid w:val="00C0188B"/>
    <w:rsid w:val="00C01D85"/>
    <w:rsid w:val="00C02933"/>
    <w:rsid w:val="00C0311F"/>
    <w:rsid w:val="00C0462C"/>
    <w:rsid w:val="00C04B91"/>
    <w:rsid w:val="00C051BE"/>
    <w:rsid w:val="00C05F73"/>
    <w:rsid w:val="00C060C9"/>
    <w:rsid w:val="00C060EB"/>
    <w:rsid w:val="00C062D6"/>
    <w:rsid w:val="00C06AD4"/>
    <w:rsid w:val="00C06C03"/>
    <w:rsid w:val="00C06D28"/>
    <w:rsid w:val="00C06E2C"/>
    <w:rsid w:val="00C0766B"/>
    <w:rsid w:val="00C077FC"/>
    <w:rsid w:val="00C078FF"/>
    <w:rsid w:val="00C1017F"/>
    <w:rsid w:val="00C1035A"/>
    <w:rsid w:val="00C1070E"/>
    <w:rsid w:val="00C10C73"/>
    <w:rsid w:val="00C11495"/>
    <w:rsid w:val="00C1195A"/>
    <w:rsid w:val="00C11A8E"/>
    <w:rsid w:val="00C124BE"/>
    <w:rsid w:val="00C12597"/>
    <w:rsid w:val="00C13114"/>
    <w:rsid w:val="00C140A1"/>
    <w:rsid w:val="00C14278"/>
    <w:rsid w:val="00C1438E"/>
    <w:rsid w:val="00C15228"/>
    <w:rsid w:val="00C153AC"/>
    <w:rsid w:val="00C15B1D"/>
    <w:rsid w:val="00C16475"/>
    <w:rsid w:val="00C16C7F"/>
    <w:rsid w:val="00C1704B"/>
    <w:rsid w:val="00C17F55"/>
    <w:rsid w:val="00C21615"/>
    <w:rsid w:val="00C2178E"/>
    <w:rsid w:val="00C21DE4"/>
    <w:rsid w:val="00C21FFC"/>
    <w:rsid w:val="00C22BA2"/>
    <w:rsid w:val="00C2325F"/>
    <w:rsid w:val="00C2468F"/>
    <w:rsid w:val="00C24793"/>
    <w:rsid w:val="00C249C7"/>
    <w:rsid w:val="00C24C5D"/>
    <w:rsid w:val="00C251FC"/>
    <w:rsid w:val="00C27721"/>
    <w:rsid w:val="00C277CE"/>
    <w:rsid w:val="00C279B0"/>
    <w:rsid w:val="00C27B18"/>
    <w:rsid w:val="00C27CCC"/>
    <w:rsid w:val="00C27D7D"/>
    <w:rsid w:val="00C3058A"/>
    <w:rsid w:val="00C30627"/>
    <w:rsid w:val="00C30733"/>
    <w:rsid w:val="00C31BEC"/>
    <w:rsid w:val="00C326F7"/>
    <w:rsid w:val="00C32879"/>
    <w:rsid w:val="00C32DA7"/>
    <w:rsid w:val="00C3381B"/>
    <w:rsid w:val="00C338B7"/>
    <w:rsid w:val="00C34179"/>
    <w:rsid w:val="00C34916"/>
    <w:rsid w:val="00C351B1"/>
    <w:rsid w:val="00C3533B"/>
    <w:rsid w:val="00C36600"/>
    <w:rsid w:val="00C36B0C"/>
    <w:rsid w:val="00C37168"/>
    <w:rsid w:val="00C37F42"/>
    <w:rsid w:val="00C406B8"/>
    <w:rsid w:val="00C41565"/>
    <w:rsid w:val="00C417A5"/>
    <w:rsid w:val="00C42C52"/>
    <w:rsid w:val="00C433F7"/>
    <w:rsid w:val="00C44292"/>
    <w:rsid w:val="00C44381"/>
    <w:rsid w:val="00C4481D"/>
    <w:rsid w:val="00C44B8D"/>
    <w:rsid w:val="00C44DF9"/>
    <w:rsid w:val="00C45DCD"/>
    <w:rsid w:val="00C46472"/>
    <w:rsid w:val="00C465DE"/>
    <w:rsid w:val="00C51309"/>
    <w:rsid w:val="00C5138C"/>
    <w:rsid w:val="00C5272A"/>
    <w:rsid w:val="00C52832"/>
    <w:rsid w:val="00C52A91"/>
    <w:rsid w:val="00C53B47"/>
    <w:rsid w:val="00C53C11"/>
    <w:rsid w:val="00C543E0"/>
    <w:rsid w:val="00C55998"/>
    <w:rsid w:val="00C55A3D"/>
    <w:rsid w:val="00C55CB8"/>
    <w:rsid w:val="00C55CEA"/>
    <w:rsid w:val="00C5625F"/>
    <w:rsid w:val="00C57B63"/>
    <w:rsid w:val="00C57C30"/>
    <w:rsid w:val="00C57DE8"/>
    <w:rsid w:val="00C60306"/>
    <w:rsid w:val="00C6045E"/>
    <w:rsid w:val="00C607D2"/>
    <w:rsid w:val="00C60AB6"/>
    <w:rsid w:val="00C60D85"/>
    <w:rsid w:val="00C61384"/>
    <w:rsid w:val="00C61911"/>
    <w:rsid w:val="00C650C9"/>
    <w:rsid w:val="00C65602"/>
    <w:rsid w:val="00C66CF3"/>
    <w:rsid w:val="00C679E4"/>
    <w:rsid w:val="00C702B9"/>
    <w:rsid w:val="00C71120"/>
    <w:rsid w:val="00C711FB"/>
    <w:rsid w:val="00C7146F"/>
    <w:rsid w:val="00C7224D"/>
    <w:rsid w:val="00C725A3"/>
    <w:rsid w:val="00C72D31"/>
    <w:rsid w:val="00C7337F"/>
    <w:rsid w:val="00C74176"/>
    <w:rsid w:val="00C74485"/>
    <w:rsid w:val="00C74BC7"/>
    <w:rsid w:val="00C74D7C"/>
    <w:rsid w:val="00C76062"/>
    <w:rsid w:val="00C76964"/>
    <w:rsid w:val="00C769D6"/>
    <w:rsid w:val="00C772A3"/>
    <w:rsid w:val="00C805FA"/>
    <w:rsid w:val="00C8067F"/>
    <w:rsid w:val="00C81864"/>
    <w:rsid w:val="00C821FB"/>
    <w:rsid w:val="00C82AC7"/>
    <w:rsid w:val="00C82CC4"/>
    <w:rsid w:val="00C83E95"/>
    <w:rsid w:val="00C84458"/>
    <w:rsid w:val="00C84504"/>
    <w:rsid w:val="00C860F7"/>
    <w:rsid w:val="00C863AD"/>
    <w:rsid w:val="00C86BC6"/>
    <w:rsid w:val="00C86DC3"/>
    <w:rsid w:val="00C879D3"/>
    <w:rsid w:val="00C879EE"/>
    <w:rsid w:val="00C914C6"/>
    <w:rsid w:val="00C92078"/>
    <w:rsid w:val="00C920A1"/>
    <w:rsid w:val="00C9230D"/>
    <w:rsid w:val="00C92A69"/>
    <w:rsid w:val="00C951C8"/>
    <w:rsid w:val="00C95620"/>
    <w:rsid w:val="00C95780"/>
    <w:rsid w:val="00C96E5F"/>
    <w:rsid w:val="00C971DF"/>
    <w:rsid w:val="00C97A9A"/>
    <w:rsid w:val="00C97B89"/>
    <w:rsid w:val="00CA103D"/>
    <w:rsid w:val="00CA1B10"/>
    <w:rsid w:val="00CA1BF3"/>
    <w:rsid w:val="00CA2194"/>
    <w:rsid w:val="00CA24A5"/>
    <w:rsid w:val="00CA2F99"/>
    <w:rsid w:val="00CA3ADF"/>
    <w:rsid w:val="00CA3E60"/>
    <w:rsid w:val="00CA445A"/>
    <w:rsid w:val="00CA544C"/>
    <w:rsid w:val="00CA607F"/>
    <w:rsid w:val="00CA609F"/>
    <w:rsid w:val="00CA62F2"/>
    <w:rsid w:val="00CA6302"/>
    <w:rsid w:val="00CA6343"/>
    <w:rsid w:val="00CA6860"/>
    <w:rsid w:val="00CA7277"/>
    <w:rsid w:val="00CA7F23"/>
    <w:rsid w:val="00CB00F7"/>
    <w:rsid w:val="00CB0B5B"/>
    <w:rsid w:val="00CB0F37"/>
    <w:rsid w:val="00CB2AC4"/>
    <w:rsid w:val="00CB2DED"/>
    <w:rsid w:val="00CB2F0B"/>
    <w:rsid w:val="00CB33EC"/>
    <w:rsid w:val="00CB359A"/>
    <w:rsid w:val="00CB3725"/>
    <w:rsid w:val="00CB3A7C"/>
    <w:rsid w:val="00CB3EC7"/>
    <w:rsid w:val="00CB4064"/>
    <w:rsid w:val="00CB4E4E"/>
    <w:rsid w:val="00CB5683"/>
    <w:rsid w:val="00CB58E2"/>
    <w:rsid w:val="00CB5F51"/>
    <w:rsid w:val="00CB62DF"/>
    <w:rsid w:val="00CB649B"/>
    <w:rsid w:val="00CB6A9F"/>
    <w:rsid w:val="00CB6E3D"/>
    <w:rsid w:val="00CB6E5D"/>
    <w:rsid w:val="00CB6F10"/>
    <w:rsid w:val="00CB75CF"/>
    <w:rsid w:val="00CB7CB5"/>
    <w:rsid w:val="00CC0383"/>
    <w:rsid w:val="00CC068E"/>
    <w:rsid w:val="00CC0B85"/>
    <w:rsid w:val="00CC1BA1"/>
    <w:rsid w:val="00CC218E"/>
    <w:rsid w:val="00CC2796"/>
    <w:rsid w:val="00CC3308"/>
    <w:rsid w:val="00CC3E3D"/>
    <w:rsid w:val="00CC41A6"/>
    <w:rsid w:val="00CC4960"/>
    <w:rsid w:val="00CC4AFB"/>
    <w:rsid w:val="00CC57B1"/>
    <w:rsid w:val="00CC6233"/>
    <w:rsid w:val="00CC67EB"/>
    <w:rsid w:val="00CC68C8"/>
    <w:rsid w:val="00CC6CCC"/>
    <w:rsid w:val="00CC732F"/>
    <w:rsid w:val="00CC74AB"/>
    <w:rsid w:val="00CC7B0B"/>
    <w:rsid w:val="00CC7D45"/>
    <w:rsid w:val="00CC7FCC"/>
    <w:rsid w:val="00CD0827"/>
    <w:rsid w:val="00CD0FD2"/>
    <w:rsid w:val="00CD19CF"/>
    <w:rsid w:val="00CD1A11"/>
    <w:rsid w:val="00CD2972"/>
    <w:rsid w:val="00CD3ACD"/>
    <w:rsid w:val="00CD3C80"/>
    <w:rsid w:val="00CD41D4"/>
    <w:rsid w:val="00CD420B"/>
    <w:rsid w:val="00CD4766"/>
    <w:rsid w:val="00CD4CB0"/>
    <w:rsid w:val="00CD4FF3"/>
    <w:rsid w:val="00CD546B"/>
    <w:rsid w:val="00CD5FCB"/>
    <w:rsid w:val="00CD6952"/>
    <w:rsid w:val="00CD6F6B"/>
    <w:rsid w:val="00CD6FF9"/>
    <w:rsid w:val="00CD7664"/>
    <w:rsid w:val="00CD7945"/>
    <w:rsid w:val="00CE085F"/>
    <w:rsid w:val="00CE0B8D"/>
    <w:rsid w:val="00CE0EEC"/>
    <w:rsid w:val="00CE1503"/>
    <w:rsid w:val="00CE1900"/>
    <w:rsid w:val="00CE19E7"/>
    <w:rsid w:val="00CE26FB"/>
    <w:rsid w:val="00CE3D6A"/>
    <w:rsid w:val="00CE3E42"/>
    <w:rsid w:val="00CE3F7C"/>
    <w:rsid w:val="00CE4121"/>
    <w:rsid w:val="00CE4514"/>
    <w:rsid w:val="00CE4EE9"/>
    <w:rsid w:val="00CE5E8B"/>
    <w:rsid w:val="00CE60AF"/>
    <w:rsid w:val="00CE61C3"/>
    <w:rsid w:val="00CE6226"/>
    <w:rsid w:val="00CE658F"/>
    <w:rsid w:val="00CE6686"/>
    <w:rsid w:val="00CE6DDC"/>
    <w:rsid w:val="00CE6E2C"/>
    <w:rsid w:val="00CE77FE"/>
    <w:rsid w:val="00CE7DB1"/>
    <w:rsid w:val="00CF0C96"/>
    <w:rsid w:val="00CF0D5E"/>
    <w:rsid w:val="00CF1199"/>
    <w:rsid w:val="00CF1CF8"/>
    <w:rsid w:val="00CF1D69"/>
    <w:rsid w:val="00CF256C"/>
    <w:rsid w:val="00CF2E33"/>
    <w:rsid w:val="00CF3007"/>
    <w:rsid w:val="00CF32E7"/>
    <w:rsid w:val="00CF333D"/>
    <w:rsid w:val="00CF381A"/>
    <w:rsid w:val="00CF3962"/>
    <w:rsid w:val="00CF4527"/>
    <w:rsid w:val="00CF51A5"/>
    <w:rsid w:val="00CF541E"/>
    <w:rsid w:val="00CF555B"/>
    <w:rsid w:val="00CF6C4F"/>
    <w:rsid w:val="00CF6D90"/>
    <w:rsid w:val="00CF74D6"/>
    <w:rsid w:val="00CF7515"/>
    <w:rsid w:val="00D00E90"/>
    <w:rsid w:val="00D01A26"/>
    <w:rsid w:val="00D01D25"/>
    <w:rsid w:val="00D02202"/>
    <w:rsid w:val="00D03AAD"/>
    <w:rsid w:val="00D03BA7"/>
    <w:rsid w:val="00D03C32"/>
    <w:rsid w:val="00D04A91"/>
    <w:rsid w:val="00D05595"/>
    <w:rsid w:val="00D05A87"/>
    <w:rsid w:val="00D06342"/>
    <w:rsid w:val="00D0667A"/>
    <w:rsid w:val="00D06AB7"/>
    <w:rsid w:val="00D06F84"/>
    <w:rsid w:val="00D07791"/>
    <w:rsid w:val="00D07ADB"/>
    <w:rsid w:val="00D10241"/>
    <w:rsid w:val="00D10378"/>
    <w:rsid w:val="00D1082E"/>
    <w:rsid w:val="00D10D7A"/>
    <w:rsid w:val="00D1197C"/>
    <w:rsid w:val="00D12219"/>
    <w:rsid w:val="00D1244F"/>
    <w:rsid w:val="00D12488"/>
    <w:rsid w:val="00D1505E"/>
    <w:rsid w:val="00D152ED"/>
    <w:rsid w:val="00D16053"/>
    <w:rsid w:val="00D16089"/>
    <w:rsid w:val="00D16518"/>
    <w:rsid w:val="00D1660A"/>
    <w:rsid w:val="00D174DA"/>
    <w:rsid w:val="00D214BE"/>
    <w:rsid w:val="00D215EB"/>
    <w:rsid w:val="00D2205D"/>
    <w:rsid w:val="00D22CCE"/>
    <w:rsid w:val="00D22EE6"/>
    <w:rsid w:val="00D22F8C"/>
    <w:rsid w:val="00D2378A"/>
    <w:rsid w:val="00D2492B"/>
    <w:rsid w:val="00D25C0A"/>
    <w:rsid w:val="00D25D6C"/>
    <w:rsid w:val="00D26202"/>
    <w:rsid w:val="00D27238"/>
    <w:rsid w:val="00D278B1"/>
    <w:rsid w:val="00D27AE2"/>
    <w:rsid w:val="00D307A3"/>
    <w:rsid w:val="00D30880"/>
    <w:rsid w:val="00D30FD3"/>
    <w:rsid w:val="00D31A10"/>
    <w:rsid w:val="00D31FF7"/>
    <w:rsid w:val="00D33D48"/>
    <w:rsid w:val="00D34032"/>
    <w:rsid w:val="00D34765"/>
    <w:rsid w:val="00D34A4A"/>
    <w:rsid w:val="00D34D2A"/>
    <w:rsid w:val="00D34FF9"/>
    <w:rsid w:val="00D35A86"/>
    <w:rsid w:val="00D3622A"/>
    <w:rsid w:val="00D365E6"/>
    <w:rsid w:val="00D3660C"/>
    <w:rsid w:val="00D36829"/>
    <w:rsid w:val="00D369CF"/>
    <w:rsid w:val="00D36F01"/>
    <w:rsid w:val="00D3718D"/>
    <w:rsid w:val="00D37581"/>
    <w:rsid w:val="00D379A1"/>
    <w:rsid w:val="00D37A57"/>
    <w:rsid w:val="00D37DDC"/>
    <w:rsid w:val="00D4035C"/>
    <w:rsid w:val="00D406F8"/>
    <w:rsid w:val="00D40762"/>
    <w:rsid w:val="00D41297"/>
    <w:rsid w:val="00D4168D"/>
    <w:rsid w:val="00D4181E"/>
    <w:rsid w:val="00D41AFC"/>
    <w:rsid w:val="00D42F8D"/>
    <w:rsid w:val="00D4480F"/>
    <w:rsid w:val="00D44EC9"/>
    <w:rsid w:val="00D452B5"/>
    <w:rsid w:val="00D4615E"/>
    <w:rsid w:val="00D47A8E"/>
    <w:rsid w:val="00D47D24"/>
    <w:rsid w:val="00D47E83"/>
    <w:rsid w:val="00D50734"/>
    <w:rsid w:val="00D50A0A"/>
    <w:rsid w:val="00D50A5A"/>
    <w:rsid w:val="00D51614"/>
    <w:rsid w:val="00D51A89"/>
    <w:rsid w:val="00D51B99"/>
    <w:rsid w:val="00D51D14"/>
    <w:rsid w:val="00D51D3B"/>
    <w:rsid w:val="00D52148"/>
    <w:rsid w:val="00D52926"/>
    <w:rsid w:val="00D5297E"/>
    <w:rsid w:val="00D52D40"/>
    <w:rsid w:val="00D532C0"/>
    <w:rsid w:val="00D532D3"/>
    <w:rsid w:val="00D53A6E"/>
    <w:rsid w:val="00D5413D"/>
    <w:rsid w:val="00D54736"/>
    <w:rsid w:val="00D54A21"/>
    <w:rsid w:val="00D54ADC"/>
    <w:rsid w:val="00D54C66"/>
    <w:rsid w:val="00D54CB9"/>
    <w:rsid w:val="00D550AA"/>
    <w:rsid w:val="00D553BD"/>
    <w:rsid w:val="00D55568"/>
    <w:rsid w:val="00D56BA7"/>
    <w:rsid w:val="00D56CE1"/>
    <w:rsid w:val="00D56E4D"/>
    <w:rsid w:val="00D607B4"/>
    <w:rsid w:val="00D60D7C"/>
    <w:rsid w:val="00D615B0"/>
    <w:rsid w:val="00D61F37"/>
    <w:rsid w:val="00D623B0"/>
    <w:rsid w:val="00D62A43"/>
    <w:rsid w:val="00D62DCF"/>
    <w:rsid w:val="00D62FDC"/>
    <w:rsid w:val="00D639EC"/>
    <w:rsid w:val="00D63DE2"/>
    <w:rsid w:val="00D63F41"/>
    <w:rsid w:val="00D642A6"/>
    <w:rsid w:val="00D64812"/>
    <w:rsid w:val="00D6484E"/>
    <w:rsid w:val="00D657CA"/>
    <w:rsid w:val="00D66043"/>
    <w:rsid w:val="00D660FB"/>
    <w:rsid w:val="00D66C3A"/>
    <w:rsid w:val="00D67025"/>
    <w:rsid w:val="00D6757C"/>
    <w:rsid w:val="00D67832"/>
    <w:rsid w:val="00D67859"/>
    <w:rsid w:val="00D67861"/>
    <w:rsid w:val="00D67994"/>
    <w:rsid w:val="00D70065"/>
    <w:rsid w:val="00D70096"/>
    <w:rsid w:val="00D700B9"/>
    <w:rsid w:val="00D70448"/>
    <w:rsid w:val="00D707A7"/>
    <w:rsid w:val="00D70CD6"/>
    <w:rsid w:val="00D716F5"/>
    <w:rsid w:val="00D71AA2"/>
    <w:rsid w:val="00D72705"/>
    <w:rsid w:val="00D72DE1"/>
    <w:rsid w:val="00D73464"/>
    <w:rsid w:val="00D7356F"/>
    <w:rsid w:val="00D73A2A"/>
    <w:rsid w:val="00D73FD7"/>
    <w:rsid w:val="00D75974"/>
    <w:rsid w:val="00D7640F"/>
    <w:rsid w:val="00D76A3A"/>
    <w:rsid w:val="00D77AF2"/>
    <w:rsid w:val="00D80649"/>
    <w:rsid w:val="00D806F8"/>
    <w:rsid w:val="00D80718"/>
    <w:rsid w:val="00D8079E"/>
    <w:rsid w:val="00D808B4"/>
    <w:rsid w:val="00D80A85"/>
    <w:rsid w:val="00D810FE"/>
    <w:rsid w:val="00D8147A"/>
    <w:rsid w:val="00D82863"/>
    <w:rsid w:val="00D82B29"/>
    <w:rsid w:val="00D82D60"/>
    <w:rsid w:val="00D83353"/>
    <w:rsid w:val="00D83A52"/>
    <w:rsid w:val="00D8589F"/>
    <w:rsid w:val="00D85A40"/>
    <w:rsid w:val="00D85BC2"/>
    <w:rsid w:val="00D86002"/>
    <w:rsid w:val="00D865A0"/>
    <w:rsid w:val="00D86673"/>
    <w:rsid w:val="00D87257"/>
    <w:rsid w:val="00D87B17"/>
    <w:rsid w:val="00D87F2D"/>
    <w:rsid w:val="00D907CF"/>
    <w:rsid w:val="00D91EE1"/>
    <w:rsid w:val="00D93000"/>
    <w:rsid w:val="00D938E3"/>
    <w:rsid w:val="00D93FFA"/>
    <w:rsid w:val="00D94526"/>
    <w:rsid w:val="00D9480B"/>
    <w:rsid w:val="00D94BDA"/>
    <w:rsid w:val="00D9505A"/>
    <w:rsid w:val="00D95B3E"/>
    <w:rsid w:val="00D972B4"/>
    <w:rsid w:val="00D97D51"/>
    <w:rsid w:val="00DA0A32"/>
    <w:rsid w:val="00DA0DE1"/>
    <w:rsid w:val="00DA1648"/>
    <w:rsid w:val="00DA169B"/>
    <w:rsid w:val="00DA1794"/>
    <w:rsid w:val="00DA259E"/>
    <w:rsid w:val="00DA3217"/>
    <w:rsid w:val="00DA34D6"/>
    <w:rsid w:val="00DA3CC5"/>
    <w:rsid w:val="00DA3E07"/>
    <w:rsid w:val="00DA405E"/>
    <w:rsid w:val="00DA4991"/>
    <w:rsid w:val="00DA4D57"/>
    <w:rsid w:val="00DA4F72"/>
    <w:rsid w:val="00DA5330"/>
    <w:rsid w:val="00DA53C2"/>
    <w:rsid w:val="00DA5B65"/>
    <w:rsid w:val="00DA697A"/>
    <w:rsid w:val="00DA6A43"/>
    <w:rsid w:val="00DA6CFD"/>
    <w:rsid w:val="00DA6DD7"/>
    <w:rsid w:val="00DA7591"/>
    <w:rsid w:val="00DA7986"/>
    <w:rsid w:val="00DA7CA4"/>
    <w:rsid w:val="00DA7D4F"/>
    <w:rsid w:val="00DA7E33"/>
    <w:rsid w:val="00DA7EF9"/>
    <w:rsid w:val="00DB013D"/>
    <w:rsid w:val="00DB0980"/>
    <w:rsid w:val="00DB0E3E"/>
    <w:rsid w:val="00DB101B"/>
    <w:rsid w:val="00DB1871"/>
    <w:rsid w:val="00DB1906"/>
    <w:rsid w:val="00DB2698"/>
    <w:rsid w:val="00DB284A"/>
    <w:rsid w:val="00DB2B91"/>
    <w:rsid w:val="00DB43AE"/>
    <w:rsid w:val="00DB51CF"/>
    <w:rsid w:val="00DB5E86"/>
    <w:rsid w:val="00DB7330"/>
    <w:rsid w:val="00DB7F4E"/>
    <w:rsid w:val="00DC0A3B"/>
    <w:rsid w:val="00DC0B1E"/>
    <w:rsid w:val="00DC0DFA"/>
    <w:rsid w:val="00DC1028"/>
    <w:rsid w:val="00DC146B"/>
    <w:rsid w:val="00DC15B8"/>
    <w:rsid w:val="00DC1636"/>
    <w:rsid w:val="00DC1958"/>
    <w:rsid w:val="00DC1CF3"/>
    <w:rsid w:val="00DC1D0D"/>
    <w:rsid w:val="00DC1E3C"/>
    <w:rsid w:val="00DC3404"/>
    <w:rsid w:val="00DC3BEE"/>
    <w:rsid w:val="00DC405B"/>
    <w:rsid w:val="00DC43A0"/>
    <w:rsid w:val="00DC500C"/>
    <w:rsid w:val="00DC54D4"/>
    <w:rsid w:val="00DC552C"/>
    <w:rsid w:val="00DC5AD0"/>
    <w:rsid w:val="00DC5B80"/>
    <w:rsid w:val="00DC76F5"/>
    <w:rsid w:val="00DC78AA"/>
    <w:rsid w:val="00DD00A2"/>
    <w:rsid w:val="00DD0605"/>
    <w:rsid w:val="00DD06B8"/>
    <w:rsid w:val="00DD0AB8"/>
    <w:rsid w:val="00DD1D0E"/>
    <w:rsid w:val="00DD1D6A"/>
    <w:rsid w:val="00DD1EAC"/>
    <w:rsid w:val="00DD1FDB"/>
    <w:rsid w:val="00DD242F"/>
    <w:rsid w:val="00DD272E"/>
    <w:rsid w:val="00DD2F81"/>
    <w:rsid w:val="00DD317B"/>
    <w:rsid w:val="00DD31C2"/>
    <w:rsid w:val="00DD338F"/>
    <w:rsid w:val="00DD4C49"/>
    <w:rsid w:val="00DD4F46"/>
    <w:rsid w:val="00DD51D2"/>
    <w:rsid w:val="00DD5378"/>
    <w:rsid w:val="00DD5986"/>
    <w:rsid w:val="00DD5CAA"/>
    <w:rsid w:val="00DD62FB"/>
    <w:rsid w:val="00DD7464"/>
    <w:rsid w:val="00DD77D5"/>
    <w:rsid w:val="00DD7FCC"/>
    <w:rsid w:val="00DE0337"/>
    <w:rsid w:val="00DE20F8"/>
    <w:rsid w:val="00DE2DE4"/>
    <w:rsid w:val="00DE380A"/>
    <w:rsid w:val="00DE38CF"/>
    <w:rsid w:val="00DE47D2"/>
    <w:rsid w:val="00DE4BD1"/>
    <w:rsid w:val="00DE54B5"/>
    <w:rsid w:val="00DE5ACA"/>
    <w:rsid w:val="00DE66EE"/>
    <w:rsid w:val="00DE6F70"/>
    <w:rsid w:val="00DE71B3"/>
    <w:rsid w:val="00DE76E0"/>
    <w:rsid w:val="00DE79A9"/>
    <w:rsid w:val="00DF0272"/>
    <w:rsid w:val="00DF184C"/>
    <w:rsid w:val="00DF185C"/>
    <w:rsid w:val="00DF1C74"/>
    <w:rsid w:val="00DF1D8B"/>
    <w:rsid w:val="00DF21ED"/>
    <w:rsid w:val="00DF2488"/>
    <w:rsid w:val="00DF2495"/>
    <w:rsid w:val="00DF2A81"/>
    <w:rsid w:val="00DF2CFE"/>
    <w:rsid w:val="00DF2DA9"/>
    <w:rsid w:val="00DF3148"/>
    <w:rsid w:val="00DF3BC3"/>
    <w:rsid w:val="00DF426B"/>
    <w:rsid w:val="00DF4B96"/>
    <w:rsid w:val="00DF4D2C"/>
    <w:rsid w:val="00DF4F4B"/>
    <w:rsid w:val="00DF5DD4"/>
    <w:rsid w:val="00DF5EF2"/>
    <w:rsid w:val="00DF615A"/>
    <w:rsid w:val="00DF699E"/>
    <w:rsid w:val="00DF71B2"/>
    <w:rsid w:val="00DF72D8"/>
    <w:rsid w:val="00DF7755"/>
    <w:rsid w:val="00E00025"/>
    <w:rsid w:val="00E00254"/>
    <w:rsid w:val="00E01280"/>
    <w:rsid w:val="00E0202E"/>
    <w:rsid w:val="00E0225E"/>
    <w:rsid w:val="00E02AA1"/>
    <w:rsid w:val="00E034C8"/>
    <w:rsid w:val="00E04DD0"/>
    <w:rsid w:val="00E0588A"/>
    <w:rsid w:val="00E05946"/>
    <w:rsid w:val="00E06CC3"/>
    <w:rsid w:val="00E06D97"/>
    <w:rsid w:val="00E06EE2"/>
    <w:rsid w:val="00E07A2F"/>
    <w:rsid w:val="00E10618"/>
    <w:rsid w:val="00E10C5B"/>
    <w:rsid w:val="00E12379"/>
    <w:rsid w:val="00E1237D"/>
    <w:rsid w:val="00E12E6E"/>
    <w:rsid w:val="00E137D6"/>
    <w:rsid w:val="00E15A24"/>
    <w:rsid w:val="00E16C27"/>
    <w:rsid w:val="00E17BDB"/>
    <w:rsid w:val="00E20769"/>
    <w:rsid w:val="00E2081C"/>
    <w:rsid w:val="00E20902"/>
    <w:rsid w:val="00E221EE"/>
    <w:rsid w:val="00E22BA1"/>
    <w:rsid w:val="00E22BA2"/>
    <w:rsid w:val="00E23029"/>
    <w:rsid w:val="00E2377C"/>
    <w:rsid w:val="00E242DD"/>
    <w:rsid w:val="00E24DE4"/>
    <w:rsid w:val="00E24DF3"/>
    <w:rsid w:val="00E25FDE"/>
    <w:rsid w:val="00E2612A"/>
    <w:rsid w:val="00E26522"/>
    <w:rsid w:val="00E26DEA"/>
    <w:rsid w:val="00E273B9"/>
    <w:rsid w:val="00E27E98"/>
    <w:rsid w:val="00E30D3A"/>
    <w:rsid w:val="00E30DF4"/>
    <w:rsid w:val="00E30FC1"/>
    <w:rsid w:val="00E3125C"/>
    <w:rsid w:val="00E31D71"/>
    <w:rsid w:val="00E33281"/>
    <w:rsid w:val="00E33B7D"/>
    <w:rsid w:val="00E33C89"/>
    <w:rsid w:val="00E3441A"/>
    <w:rsid w:val="00E3505F"/>
    <w:rsid w:val="00E3517C"/>
    <w:rsid w:val="00E353C5"/>
    <w:rsid w:val="00E35B24"/>
    <w:rsid w:val="00E36E6C"/>
    <w:rsid w:val="00E373E9"/>
    <w:rsid w:val="00E37784"/>
    <w:rsid w:val="00E377B9"/>
    <w:rsid w:val="00E37B03"/>
    <w:rsid w:val="00E40332"/>
    <w:rsid w:val="00E40CD5"/>
    <w:rsid w:val="00E41AE2"/>
    <w:rsid w:val="00E41DD3"/>
    <w:rsid w:val="00E41E73"/>
    <w:rsid w:val="00E423F8"/>
    <w:rsid w:val="00E42796"/>
    <w:rsid w:val="00E4284D"/>
    <w:rsid w:val="00E42D88"/>
    <w:rsid w:val="00E43075"/>
    <w:rsid w:val="00E4387D"/>
    <w:rsid w:val="00E43C11"/>
    <w:rsid w:val="00E44365"/>
    <w:rsid w:val="00E446C6"/>
    <w:rsid w:val="00E447DB"/>
    <w:rsid w:val="00E44AA0"/>
    <w:rsid w:val="00E44CC8"/>
    <w:rsid w:val="00E45F1C"/>
    <w:rsid w:val="00E460D1"/>
    <w:rsid w:val="00E467BB"/>
    <w:rsid w:val="00E4692A"/>
    <w:rsid w:val="00E47A79"/>
    <w:rsid w:val="00E47DAB"/>
    <w:rsid w:val="00E508BC"/>
    <w:rsid w:val="00E50A07"/>
    <w:rsid w:val="00E50B42"/>
    <w:rsid w:val="00E5109D"/>
    <w:rsid w:val="00E51286"/>
    <w:rsid w:val="00E51DD9"/>
    <w:rsid w:val="00E5227A"/>
    <w:rsid w:val="00E52B38"/>
    <w:rsid w:val="00E52B6A"/>
    <w:rsid w:val="00E53090"/>
    <w:rsid w:val="00E53CD1"/>
    <w:rsid w:val="00E547EB"/>
    <w:rsid w:val="00E555D9"/>
    <w:rsid w:val="00E559FF"/>
    <w:rsid w:val="00E55DEF"/>
    <w:rsid w:val="00E56186"/>
    <w:rsid w:val="00E56217"/>
    <w:rsid w:val="00E568A5"/>
    <w:rsid w:val="00E56ECA"/>
    <w:rsid w:val="00E5739B"/>
    <w:rsid w:val="00E57AAC"/>
    <w:rsid w:val="00E604FB"/>
    <w:rsid w:val="00E61F9B"/>
    <w:rsid w:val="00E62135"/>
    <w:rsid w:val="00E64D9D"/>
    <w:rsid w:val="00E6506C"/>
    <w:rsid w:val="00E6534B"/>
    <w:rsid w:val="00E65AD4"/>
    <w:rsid w:val="00E66729"/>
    <w:rsid w:val="00E67BCF"/>
    <w:rsid w:val="00E70454"/>
    <w:rsid w:val="00E70879"/>
    <w:rsid w:val="00E70B9B"/>
    <w:rsid w:val="00E714C3"/>
    <w:rsid w:val="00E72283"/>
    <w:rsid w:val="00E724CF"/>
    <w:rsid w:val="00E72A12"/>
    <w:rsid w:val="00E72FD2"/>
    <w:rsid w:val="00E734BA"/>
    <w:rsid w:val="00E735A7"/>
    <w:rsid w:val="00E76CE5"/>
    <w:rsid w:val="00E77FEE"/>
    <w:rsid w:val="00E8406D"/>
    <w:rsid w:val="00E844AD"/>
    <w:rsid w:val="00E849E4"/>
    <w:rsid w:val="00E84C9B"/>
    <w:rsid w:val="00E86050"/>
    <w:rsid w:val="00E8610B"/>
    <w:rsid w:val="00E86B1D"/>
    <w:rsid w:val="00E86F34"/>
    <w:rsid w:val="00E86F73"/>
    <w:rsid w:val="00E87956"/>
    <w:rsid w:val="00E87DF3"/>
    <w:rsid w:val="00E9020E"/>
    <w:rsid w:val="00E90AD6"/>
    <w:rsid w:val="00E914AD"/>
    <w:rsid w:val="00E91812"/>
    <w:rsid w:val="00E91832"/>
    <w:rsid w:val="00E91CE8"/>
    <w:rsid w:val="00E92F20"/>
    <w:rsid w:val="00E9307F"/>
    <w:rsid w:val="00E93209"/>
    <w:rsid w:val="00E946EA"/>
    <w:rsid w:val="00E952B8"/>
    <w:rsid w:val="00E95658"/>
    <w:rsid w:val="00E957D7"/>
    <w:rsid w:val="00E96AC1"/>
    <w:rsid w:val="00E96C09"/>
    <w:rsid w:val="00EA0368"/>
    <w:rsid w:val="00EA0948"/>
    <w:rsid w:val="00EA1616"/>
    <w:rsid w:val="00EA20A4"/>
    <w:rsid w:val="00EA22B8"/>
    <w:rsid w:val="00EA3775"/>
    <w:rsid w:val="00EA4292"/>
    <w:rsid w:val="00EA4312"/>
    <w:rsid w:val="00EA4449"/>
    <w:rsid w:val="00EA4C88"/>
    <w:rsid w:val="00EA4F35"/>
    <w:rsid w:val="00EA5006"/>
    <w:rsid w:val="00EA5CB2"/>
    <w:rsid w:val="00EA6BEB"/>
    <w:rsid w:val="00EA6ECD"/>
    <w:rsid w:val="00EA74D7"/>
    <w:rsid w:val="00EA75FB"/>
    <w:rsid w:val="00EA769D"/>
    <w:rsid w:val="00EB1402"/>
    <w:rsid w:val="00EB1461"/>
    <w:rsid w:val="00EB1929"/>
    <w:rsid w:val="00EB1955"/>
    <w:rsid w:val="00EB22F6"/>
    <w:rsid w:val="00EB26FB"/>
    <w:rsid w:val="00EB2B75"/>
    <w:rsid w:val="00EB382F"/>
    <w:rsid w:val="00EB418B"/>
    <w:rsid w:val="00EB5A60"/>
    <w:rsid w:val="00EB5D0E"/>
    <w:rsid w:val="00EB5E18"/>
    <w:rsid w:val="00EB63CF"/>
    <w:rsid w:val="00EB6ABA"/>
    <w:rsid w:val="00EB7834"/>
    <w:rsid w:val="00EB7945"/>
    <w:rsid w:val="00EC01EC"/>
    <w:rsid w:val="00EC060D"/>
    <w:rsid w:val="00EC0ABD"/>
    <w:rsid w:val="00EC0B84"/>
    <w:rsid w:val="00EC139D"/>
    <w:rsid w:val="00EC17A4"/>
    <w:rsid w:val="00EC1B08"/>
    <w:rsid w:val="00EC2268"/>
    <w:rsid w:val="00EC25D0"/>
    <w:rsid w:val="00EC2ECA"/>
    <w:rsid w:val="00EC2F84"/>
    <w:rsid w:val="00EC2FAD"/>
    <w:rsid w:val="00EC4030"/>
    <w:rsid w:val="00EC4757"/>
    <w:rsid w:val="00EC7134"/>
    <w:rsid w:val="00EC7366"/>
    <w:rsid w:val="00EC759E"/>
    <w:rsid w:val="00EC7800"/>
    <w:rsid w:val="00EC7CD9"/>
    <w:rsid w:val="00ED05D9"/>
    <w:rsid w:val="00ED0F8A"/>
    <w:rsid w:val="00ED129A"/>
    <w:rsid w:val="00ED1ADA"/>
    <w:rsid w:val="00ED1E82"/>
    <w:rsid w:val="00ED1FB9"/>
    <w:rsid w:val="00ED29E8"/>
    <w:rsid w:val="00ED3526"/>
    <w:rsid w:val="00ED38CB"/>
    <w:rsid w:val="00ED3E66"/>
    <w:rsid w:val="00ED49DC"/>
    <w:rsid w:val="00ED5334"/>
    <w:rsid w:val="00ED5690"/>
    <w:rsid w:val="00ED58D0"/>
    <w:rsid w:val="00ED5A34"/>
    <w:rsid w:val="00ED6484"/>
    <w:rsid w:val="00ED68F6"/>
    <w:rsid w:val="00ED6B35"/>
    <w:rsid w:val="00ED6DB1"/>
    <w:rsid w:val="00ED716A"/>
    <w:rsid w:val="00ED74FD"/>
    <w:rsid w:val="00ED7965"/>
    <w:rsid w:val="00EE0643"/>
    <w:rsid w:val="00EE1879"/>
    <w:rsid w:val="00EE1A65"/>
    <w:rsid w:val="00EE2613"/>
    <w:rsid w:val="00EE2AB5"/>
    <w:rsid w:val="00EE3215"/>
    <w:rsid w:val="00EE418D"/>
    <w:rsid w:val="00EE46C0"/>
    <w:rsid w:val="00EE4B69"/>
    <w:rsid w:val="00EE4C50"/>
    <w:rsid w:val="00EE4DEA"/>
    <w:rsid w:val="00EE62FC"/>
    <w:rsid w:val="00EE6B3D"/>
    <w:rsid w:val="00EE7230"/>
    <w:rsid w:val="00EE76C4"/>
    <w:rsid w:val="00EE7BD5"/>
    <w:rsid w:val="00EE7DD2"/>
    <w:rsid w:val="00EF0C50"/>
    <w:rsid w:val="00EF13C5"/>
    <w:rsid w:val="00EF165F"/>
    <w:rsid w:val="00EF1B5E"/>
    <w:rsid w:val="00EF2644"/>
    <w:rsid w:val="00EF2B54"/>
    <w:rsid w:val="00EF351F"/>
    <w:rsid w:val="00EF35EB"/>
    <w:rsid w:val="00EF3B6A"/>
    <w:rsid w:val="00EF3E33"/>
    <w:rsid w:val="00EF4C9E"/>
    <w:rsid w:val="00EF4EB5"/>
    <w:rsid w:val="00EF4FB4"/>
    <w:rsid w:val="00EF6248"/>
    <w:rsid w:val="00EF6564"/>
    <w:rsid w:val="00F0180B"/>
    <w:rsid w:val="00F01996"/>
    <w:rsid w:val="00F01A29"/>
    <w:rsid w:val="00F01CF2"/>
    <w:rsid w:val="00F0253A"/>
    <w:rsid w:val="00F02D7B"/>
    <w:rsid w:val="00F0534C"/>
    <w:rsid w:val="00F05EA0"/>
    <w:rsid w:val="00F062BA"/>
    <w:rsid w:val="00F0639D"/>
    <w:rsid w:val="00F065A6"/>
    <w:rsid w:val="00F07537"/>
    <w:rsid w:val="00F07C23"/>
    <w:rsid w:val="00F07C3E"/>
    <w:rsid w:val="00F1174C"/>
    <w:rsid w:val="00F11AF1"/>
    <w:rsid w:val="00F11C8E"/>
    <w:rsid w:val="00F1204F"/>
    <w:rsid w:val="00F127BB"/>
    <w:rsid w:val="00F12D6A"/>
    <w:rsid w:val="00F12E5C"/>
    <w:rsid w:val="00F1302E"/>
    <w:rsid w:val="00F133E4"/>
    <w:rsid w:val="00F1353E"/>
    <w:rsid w:val="00F13D4A"/>
    <w:rsid w:val="00F13D65"/>
    <w:rsid w:val="00F13E2B"/>
    <w:rsid w:val="00F15266"/>
    <w:rsid w:val="00F15339"/>
    <w:rsid w:val="00F159EE"/>
    <w:rsid w:val="00F15FBD"/>
    <w:rsid w:val="00F16F5B"/>
    <w:rsid w:val="00F176C6"/>
    <w:rsid w:val="00F177C5"/>
    <w:rsid w:val="00F17916"/>
    <w:rsid w:val="00F17E6D"/>
    <w:rsid w:val="00F216CF"/>
    <w:rsid w:val="00F233BB"/>
    <w:rsid w:val="00F23CF1"/>
    <w:rsid w:val="00F23FE3"/>
    <w:rsid w:val="00F242B4"/>
    <w:rsid w:val="00F24652"/>
    <w:rsid w:val="00F24FA6"/>
    <w:rsid w:val="00F25432"/>
    <w:rsid w:val="00F2576D"/>
    <w:rsid w:val="00F259AE"/>
    <w:rsid w:val="00F26234"/>
    <w:rsid w:val="00F27A68"/>
    <w:rsid w:val="00F27CC6"/>
    <w:rsid w:val="00F31817"/>
    <w:rsid w:val="00F31BBF"/>
    <w:rsid w:val="00F31F8C"/>
    <w:rsid w:val="00F3215B"/>
    <w:rsid w:val="00F322FD"/>
    <w:rsid w:val="00F32740"/>
    <w:rsid w:val="00F34A05"/>
    <w:rsid w:val="00F35F6B"/>
    <w:rsid w:val="00F36917"/>
    <w:rsid w:val="00F36A56"/>
    <w:rsid w:val="00F3736B"/>
    <w:rsid w:val="00F3736F"/>
    <w:rsid w:val="00F37D8F"/>
    <w:rsid w:val="00F401F5"/>
    <w:rsid w:val="00F405DE"/>
    <w:rsid w:val="00F40C48"/>
    <w:rsid w:val="00F40DE7"/>
    <w:rsid w:val="00F4127E"/>
    <w:rsid w:val="00F4162B"/>
    <w:rsid w:val="00F416BA"/>
    <w:rsid w:val="00F41AEB"/>
    <w:rsid w:val="00F41DC6"/>
    <w:rsid w:val="00F43AD3"/>
    <w:rsid w:val="00F43B90"/>
    <w:rsid w:val="00F44382"/>
    <w:rsid w:val="00F4477C"/>
    <w:rsid w:val="00F44AC8"/>
    <w:rsid w:val="00F44CCA"/>
    <w:rsid w:val="00F45371"/>
    <w:rsid w:val="00F45E15"/>
    <w:rsid w:val="00F46CE2"/>
    <w:rsid w:val="00F47856"/>
    <w:rsid w:val="00F47967"/>
    <w:rsid w:val="00F47D97"/>
    <w:rsid w:val="00F50FDE"/>
    <w:rsid w:val="00F519BF"/>
    <w:rsid w:val="00F5205D"/>
    <w:rsid w:val="00F521C0"/>
    <w:rsid w:val="00F52535"/>
    <w:rsid w:val="00F52747"/>
    <w:rsid w:val="00F527AA"/>
    <w:rsid w:val="00F52EAC"/>
    <w:rsid w:val="00F53FEB"/>
    <w:rsid w:val="00F54D1E"/>
    <w:rsid w:val="00F55009"/>
    <w:rsid w:val="00F55052"/>
    <w:rsid w:val="00F5662A"/>
    <w:rsid w:val="00F56D1B"/>
    <w:rsid w:val="00F56F37"/>
    <w:rsid w:val="00F573AB"/>
    <w:rsid w:val="00F5748C"/>
    <w:rsid w:val="00F57743"/>
    <w:rsid w:val="00F579C9"/>
    <w:rsid w:val="00F57EDD"/>
    <w:rsid w:val="00F609C5"/>
    <w:rsid w:val="00F61E91"/>
    <w:rsid w:val="00F637E4"/>
    <w:rsid w:val="00F63DF4"/>
    <w:rsid w:val="00F64E41"/>
    <w:rsid w:val="00F6518D"/>
    <w:rsid w:val="00F65A6F"/>
    <w:rsid w:val="00F65BE1"/>
    <w:rsid w:val="00F669CE"/>
    <w:rsid w:val="00F66C83"/>
    <w:rsid w:val="00F66E34"/>
    <w:rsid w:val="00F6733C"/>
    <w:rsid w:val="00F67A39"/>
    <w:rsid w:val="00F67D47"/>
    <w:rsid w:val="00F7009E"/>
    <w:rsid w:val="00F7019A"/>
    <w:rsid w:val="00F702E4"/>
    <w:rsid w:val="00F70BC5"/>
    <w:rsid w:val="00F716D7"/>
    <w:rsid w:val="00F71862"/>
    <w:rsid w:val="00F71C46"/>
    <w:rsid w:val="00F728FE"/>
    <w:rsid w:val="00F72D77"/>
    <w:rsid w:val="00F735ED"/>
    <w:rsid w:val="00F735F9"/>
    <w:rsid w:val="00F73C5E"/>
    <w:rsid w:val="00F7481F"/>
    <w:rsid w:val="00F748CA"/>
    <w:rsid w:val="00F758E9"/>
    <w:rsid w:val="00F75DEA"/>
    <w:rsid w:val="00F77053"/>
    <w:rsid w:val="00F774DF"/>
    <w:rsid w:val="00F7751B"/>
    <w:rsid w:val="00F77AB7"/>
    <w:rsid w:val="00F8083B"/>
    <w:rsid w:val="00F8095C"/>
    <w:rsid w:val="00F810F3"/>
    <w:rsid w:val="00F81183"/>
    <w:rsid w:val="00F8159E"/>
    <w:rsid w:val="00F819AB"/>
    <w:rsid w:val="00F81E20"/>
    <w:rsid w:val="00F8209E"/>
    <w:rsid w:val="00F82288"/>
    <w:rsid w:val="00F82A66"/>
    <w:rsid w:val="00F8451B"/>
    <w:rsid w:val="00F84F20"/>
    <w:rsid w:val="00F84FB7"/>
    <w:rsid w:val="00F8510D"/>
    <w:rsid w:val="00F8528C"/>
    <w:rsid w:val="00F858B5"/>
    <w:rsid w:val="00F85B43"/>
    <w:rsid w:val="00F8664E"/>
    <w:rsid w:val="00F87440"/>
    <w:rsid w:val="00F87934"/>
    <w:rsid w:val="00F87C1B"/>
    <w:rsid w:val="00F900D8"/>
    <w:rsid w:val="00F90D1D"/>
    <w:rsid w:val="00F9134E"/>
    <w:rsid w:val="00F92C30"/>
    <w:rsid w:val="00F92CE2"/>
    <w:rsid w:val="00F930B3"/>
    <w:rsid w:val="00F94252"/>
    <w:rsid w:val="00F94C80"/>
    <w:rsid w:val="00F9505E"/>
    <w:rsid w:val="00F95067"/>
    <w:rsid w:val="00F950F8"/>
    <w:rsid w:val="00F952BF"/>
    <w:rsid w:val="00F9565D"/>
    <w:rsid w:val="00F96077"/>
    <w:rsid w:val="00F96178"/>
    <w:rsid w:val="00F96A03"/>
    <w:rsid w:val="00F974DD"/>
    <w:rsid w:val="00FA0376"/>
    <w:rsid w:val="00FA0601"/>
    <w:rsid w:val="00FA2A6E"/>
    <w:rsid w:val="00FA336D"/>
    <w:rsid w:val="00FA3EB6"/>
    <w:rsid w:val="00FA46AB"/>
    <w:rsid w:val="00FA4E78"/>
    <w:rsid w:val="00FA5201"/>
    <w:rsid w:val="00FA5903"/>
    <w:rsid w:val="00FA5A9E"/>
    <w:rsid w:val="00FA5BCF"/>
    <w:rsid w:val="00FA5F33"/>
    <w:rsid w:val="00FA60A4"/>
    <w:rsid w:val="00FA66AE"/>
    <w:rsid w:val="00FA74A4"/>
    <w:rsid w:val="00FA7A81"/>
    <w:rsid w:val="00FB0454"/>
    <w:rsid w:val="00FB0836"/>
    <w:rsid w:val="00FB0A09"/>
    <w:rsid w:val="00FB0AD7"/>
    <w:rsid w:val="00FB0C7B"/>
    <w:rsid w:val="00FB2367"/>
    <w:rsid w:val="00FB2565"/>
    <w:rsid w:val="00FB288A"/>
    <w:rsid w:val="00FB2C3F"/>
    <w:rsid w:val="00FB2DA4"/>
    <w:rsid w:val="00FB2EF4"/>
    <w:rsid w:val="00FB34CD"/>
    <w:rsid w:val="00FB3664"/>
    <w:rsid w:val="00FB3729"/>
    <w:rsid w:val="00FB3D62"/>
    <w:rsid w:val="00FB4177"/>
    <w:rsid w:val="00FB4A1F"/>
    <w:rsid w:val="00FB4D5C"/>
    <w:rsid w:val="00FB56FD"/>
    <w:rsid w:val="00FB59F1"/>
    <w:rsid w:val="00FB5C36"/>
    <w:rsid w:val="00FB65A7"/>
    <w:rsid w:val="00FB6845"/>
    <w:rsid w:val="00FB6963"/>
    <w:rsid w:val="00FB6E02"/>
    <w:rsid w:val="00FC0317"/>
    <w:rsid w:val="00FC0AD9"/>
    <w:rsid w:val="00FC0E5B"/>
    <w:rsid w:val="00FC0EC3"/>
    <w:rsid w:val="00FC1B85"/>
    <w:rsid w:val="00FC1CA4"/>
    <w:rsid w:val="00FC20D3"/>
    <w:rsid w:val="00FC2F50"/>
    <w:rsid w:val="00FC3363"/>
    <w:rsid w:val="00FC3CB9"/>
    <w:rsid w:val="00FC4373"/>
    <w:rsid w:val="00FC58D6"/>
    <w:rsid w:val="00FC5B8F"/>
    <w:rsid w:val="00FC5D72"/>
    <w:rsid w:val="00FC65B7"/>
    <w:rsid w:val="00FC698B"/>
    <w:rsid w:val="00FC6C53"/>
    <w:rsid w:val="00FC6D92"/>
    <w:rsid w:val="00FC7425"/>
    <w:rsid w:val="00FC774F"/>
    <w:rsid w:val="00FD04FD"/>
    <w:rsid w:val="00FD0726"/>
    <w:rsid w:val="00FD09DB"/>
    <w:rsid w:val="00FD118B"/>
    <w:rsid w:val="00FD14ED"/>
    <w:rsid w:val="00FD1987"/>
    <w:rsid w:val="00FD253A"/>
    <w:rsid w:val="00FD25DB"/>
    <w:rsid w:val="00FD2876"/>
    <w:rsid w:val="00FD37CA"/>
    <w:rsid w:val="00FD405D"/>
    <w:rsid w:val="00FD41DC"/>
    <w:rsid w:val="00FD4930"/>
    <w:rsid w:val="00FD49D8"/>
    <w:rsid w:val="00FD4DA4"/>
    <w:rsid w:val="00FD5A0A"/>
    <w:rsid w:val="00FD6110"/>
    <w:rsid w:val="00FD639C"/>
    <w:rsid w:val="00FD769C"/>
    <w:rsid w:val="00FD7996"/>
    <w:rsid w:val="00FD79AE"/>
    <w:rsid w:val="00FD7A27"/>
    <w:rsid w:val="00FE0D14"/>
    <w:rsid w:val="00FE10FD"/>
    <w:rsid w:val="00FE1A7E"/>
    <w:rsid w:val="00FE2052"/>
    <w:rsid w:val="00FE2759"/>
    <w:rsid w:val="00FE4833"/>
    <w:rsid w:val="00FE56FA"/>
    <w:rsid w:val="00FE6920"/>
    <w:rsid w:val="00FE732B"/>
    <w:rsid w:val="00FE75F1"/>
    <w:rsid w:val="00FE768D"/>
    <w:rsid w:val="00FE7C57"/>
    <w:rsid w:val="00FE7DD7"/>
    <w:rsid w:val="00FF047A"/>
    <w:rsid w:val="00FF13CB"/>
    <w:rsid w:val="00FF152F"/>
    <w:rsid w:val="00FF17E3"/>
    <w:rsid w:val="00FF1D11"/>
    <w:rsid w:val="00FF21DE"/>
    <w:rsid w:val="00FF27FD"/>
    <w:rsid w:val="00FF3319"/>
    <w:rsid w:val="00FF347B"/>
    <w:rsid w:val="00FF347F"/>
    <w:rsid w:val="00FF39EC"/>
    <w:rsid w:val="00FF5299"/>
    <w:rsid w:val="00FF5484"/>
    <w:rsid w:val="00FF55D0"/>
    <w:rsid w:val="00FF5C62"/>
    <w:rsid w:val="00FF649D"/>
    <w:rsid w:val="00FF6E1C"/>
    <w:rsid w:val="00FF6F55"/>
    <w:rsid w:val="00FF71DA"/>
    <w:rsid w:val="00FF7681"/>
    <w:rsid w:val="00FF7782"/>
    <w:rsid w:val="00FF7D4B"/>
    <w:rsid w:val="00FF7F6B"/>
  </w:rsids>
  <m:mathPr>
    <m:mathFont m:val="Cambria Math"/>
    <m:brkBin m:val="before"/>
    <m:brkBinSub m:val="--"/>
    <m:smallFrac/>
    <m:dispDef/>
    <m:lMargin m:val="72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A4BA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imes New Roman" w:hAnsi="Garamond" w:cs="Times New Roman"/>
        <w:sz w:val="24"/>
        <w:szCs w:val="24"/>
        <w:lang w:val="en-AU" w:eastAsia="zh-CN" w:bidi="ar-SA"/>
      </w:rPr>
    </w:rPrDefault>
    <w:pPrDefault>
      <w:pPr>
        <w:spacing w:before="180" w:line="300" w:lineRule="exact"/>
      </w:pPr>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
    <w:lsdException w:name="annotation text" w:uiPriority="99"/>
    <w:lsdException w:name="footer" w:uiPriority="99"/>
    <w:lsdException w:name="index heading" w:uiPriority="99"/>
    <w:lsdException w:name="caption" w:semiHidden="0" w:unhideWhenUsed="0" w:qFormat="1"/>
    <w:lsdException w:name="table of figures" w:uiPriority="99"/>
    <w:lsdException w:name="footnote reference" w:uiPriority="8"/>
    <w:lsdException w:name="table of authorities" w:uiPriority="99"/>
    <w:lsdException w:name="List Bullet" w:uiPriority="2" w:qFormat="1"/>
    <w:lsdException w:name="List Number" w:uiPriority="2" w:qFormat="1"/>
    <w:lsdException w:name="List Bullet 2" w:uiPriority="2" w:qFormat="1"/>
    <w:lsdException w:name="List Bullet 3" w:uiPriority="2" w:qFormat="1"/>
    <w:lsdException w:name="List Number 2" w:uiPriority="2"/>
    <w:lsdException w:name="List Number 3" w:uiPriority="2"/>
    <w:lsdException w:name="Title" w:semiHidden="0" w:unhideWhenUsed="0" w:qFormat="1"/>
    <w:lsdException w:name="Default Paragraph Font" w:uiPriority="1"/>
    <w:lsdException w:name="Body Text" w:qFormat="1"/>
    <w:lsdException w:name="Subtitle" w:semiHidden="0" w:unhideWhenUsed="0"/>
    <w:lsdException w:name="Note Heading" w:uiPriority="99"/>
    <w:lsdException w:name="Hyperlink" w:uiPriority="99"/>
    <w:lsdException w:name="Strong" w:semiHidden="0" w:unhideWhenUsed="0"/>
    <w:lsdException w:name="Emphasis" w:semiHidden="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Table List 1" w:uiPriority="99"/>
    <w:lsdException w:name="Table List 2" w:uiPriority="99"/>
    <w:lsdException w:name="Table List 3" w:uiPriority="99"/>
    <w:lsdException w:name="Table 3D effects 3"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4" w:unhideWhenUsed="0" w:qFormat="1"/>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99" w:unhideWhenUsed="0"/>
    <w:lsdException w:name="Subtle Reference" w:semiHidden="0" w:uiPriority="31" w:unhideWhenUsed="0"/>
    <w:lsdException w:name="Intense Reference" w:semiHidden="0" w:uiPriority="99"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003343"/>
    <w:pPr>
      <w:spacing w:before="120" w:after="120" w:line="240" w:lineRule="exact"/>
    </w:pPr>
    <w:rPr>
      <w:rFonts w:asciiTheme="minorHAnsi" w:hAnsiTheme="minorHAnsi"/>
      <w:lang w:eastAsia="en-US"/>
    </w:rPr>
  </w:style>
  <w:style w:type="paragraph" w:styleId="Heading1">
    <w:name w:val="heading 1"/>
    <w:next w:val="BodyText"/>
    <w:link w:val="Heading1Char"/>
    <w:qFormat/>
    <w:rsid w:val="0071248D"/>
    <w:pPr>
      <w:keepNext/>
      <w:pageBreakBefore/>
      <w:numPr>
        <w:numId w:val="20"/>
      </w:numPr>
      <w:pBdr>
        <w:top w:val="single" w:sz="48" w:space="30" w:color="9757A6"/>
        <w:left w:val="single" w:sz="48" w:space="4" w:color="9757A6"/>
        <w:bottom w:val="single" w:sz="48" w:space="5" w:color="9757A6"/>
        <w:right w:val="single" w:sz="48" w:space="4" w:color="9757A6"/>
      </w:pBdr>
      <w:shd w:val="clear" w:color="auto" w:fill="9757A6"/>
      <w:spacing w:before="300" w:after="60" w:line="420" w:lineRule="exact"/>
      <w:outlineLvl w:val="0"/>
    </w:pPr>
    <w:rPr>
      <w:rFonts w:asciiTheme="majorHAnsi" w:hAnsiTheme="majorHAnsi"/>
      <w:b/>
      <w:color w:val="FFFFFF" w:themeColor="background1"/>
      <w:kern w:val="28"/>
      <w:sz w:val="38"/>
      <w:szCs w:val="38"/>
      <w:lang w:eastAsia="en-AU"/>
    </w:rPr>
  </w:style>
  <w:style w:type="paragraph" w:styleId="Heading2">
    <w:name w:val="heading 2"/>
    <w:next w:val="BodyText"/>
    <w:qFormat/>
    <w:rsid w:val="0071248D"/>
    <w:pPr>
      <w:keepNext/>
      <w:numPr>
        <w:ilvl w:val="1"/>
        <w:numId w:val="29"/>
      </w:numPr>
      <w:pBdr>
        <w:bottom w:val="single" w:sz="8" w:space="1" w:color="BFBFBF" w:themeColor="background1" w:themeShade="BF"/>
      </w:pBdr>
      <w:spacing w:before="300" w:after="60" w:line="340" w:lineRule="exact"/>
      <w:outlineLvl w:val="1"/>
    </w:pPr>
    <w:rPr>
      <w:rFonts w:asciiTheme="majorHAnsi" w:hAnsiTheme="majorHAnsi"/>
      <w:b/>
      <w:color w:val="9757A6" w:themeColor="text2"/>
      <w:kern w:val="36"/>
      <w:sz w:val="28"/>
      <w:lang w:eastAsia="en-AU"/>
    </w:rPr>
  </w:style>
  <w:style w:type="paragraph" w:styleId="Heading3">
    <w:name w:val="heading 3"/>
    <w:next w:val="BodyText"/>
    <w:qFormat/>
    <w:rsid w:val="0071248D"/>
    <w:pPr>
      <w:keepNext/>
      <w:numPr>
        <w:ilvl w:val="2"/>
        <w:numId w:val="29"/>
      </w:numPr>
      <w:spacing w:before="300" w:line="270" w:lineRule="exact"/>
      <w:outlineLvl w:val="2"/>
    </w:pPr>
    <w:rPr>
      <w:rFonts w:asciiTheme="majorHAnsi" w:hAnsiTheme="majorHAnsi"/>
      <w:b/>
      <w:color w:val="9757A6" w:themeColor="text2"/>
      <w:sz w:val="22"/>
      <w:lang w:eastAsia="en-AU"/>
    </w:rPr>
  </w:style>
  <w:style w:type="paragraph" w:styleId="Heading4">
    <w:name w:val="heading 4"/>
    <w:next w:val="BodyText"/>
    <w:qFormat/>
    <w:rsid w:val="0071248D"/>
    <w:pPr>
      <w:keepNext/>
      <w:numPr>
        <w:ilvl w:val="3"/>
        <w:numId w:val="29"/>
      </w:numPr>
      <w:spacing w:before="300" w:after="20" w:line="280" w:lineRule="exact"/>
      <w:outlineLvl w:val="3"/>
    </w:pPr>
    <w:rPr>
      <w:rFonts w:asciiTheme="majorHAnsi" w:hAnsiTheme="majorHAnsi"/>
      <w:b/>
      <w:color w:val="9757A6"/>
      <w:sz w:val="20"/>
      <w:lang w:eastAsia="en-AU"/>
    </w:rPr>
  </w:style>
  <w:style w:type="paragraph" w:styleId="Heading5">
    <w:name w:val="heading 5"/>
    <w:basedOn w:val="Heading4"/>
    <w:next w:val="BodyText"/>
    <w:qFormat/>
    <w:rsid w:val="00B4627C"/>
    <w:pPr>
      <w:numPr>
        <w:ilvl w:val="4"/>
      </w:numPr>
      <w:outlineLvl w:val="4"/>
    </w:pPr>
    <w:rPr>
      <w:i/>
      <w:szCs w:val="22"/>
    </w:rPr>
  </w:style>
  <w:style w:type="paragraph" w:styleId="Heading6">
    <w:name w:val="heading 6"/>
    <w:basedOn w:val="Normal"/>
    <w:next w:val="Normal"/>
    <w:semiHidden/>
    <w:rsid w:val="00C249C7"/>
    <w:pPr>
      <w:keepNext/>
      <w:spacing w:before="240" w:after="60"/>
      <w:outlineLvl w:val="5"/>
    </w:pPr>
    <w:rPr>
      <w:i/>
      <w:sz w:val="22"/>
    </w:rPr>
  </w:style>
  <w:style w:type="paragraph" w:styleId="Heading7">
    <w:name w:val="heading 7"/>
    <w:next w:val="BodyText"/>
    <w:qFormat/>
    <w:rsid w:val="0071248D"/>
    <w:pPr>
      <w:keepNext/>
      <w:numPr>
        <w:ilvl w:val="6"/>
        <w:numId w:val="29"/>
      </w:numPr>
      <w:spacing w:before="300" w:after="60" w:line="420" w:lineRule="exact"/>
      <w:outlineLvl w:val="6"/>
    </w:pPr>
    <w:rPr>
      <w:rFonts w:asciiTheme="majorHAnsi" w:hAnsiTheme="majorHAnsi"/>
      <w:b/>
      <w:color w:val="9757A6"/>
      <w:sz w:val="36"/>
      <w:szCs w:val="36"/>
      <w:lang w:eastAsia="en-AU"/>
    </w:rPr>
  </w:style>
  <w:style w:type="paragraph" w:styleId="Heading8">
    <w:name w:val="heading 8"/>
    <w:next w:val="BodyText"/>
    <w:qFormat/>
    <w:rsid w:val="0071248D"/>
    <w:pPr>
      <w:keepNext/>
      <w:numPr>
        <w:ilvl w:val="7"/>
        <w:numId w:val="29"/>
      </w:numPr>
      <w:pBdr>
        <w:bottom w:val="single" w:sz="8" w:space="1" w:color="BFBFBF" w:themeColor="background1" w:themeShade="BF"/>
      </w:pBdr>
      <w:spacing w:before="300" w:after="60" w:line="340" w:lineRule="exact"/>
      <w:outlineLvl w:val="7"/>
    </w:pPr>
    <w:rPr>
      <w:rFonts w:asciiTheme="majorHAnsi" w:hAnsiTheme="majorHAnsi"/>
      <w:b/>
      <w:color w:val="9757A6" w:themeColor="text2"/>
      <w:sz w:val="28"/>
      <w:szCs w:val="28"/>
      <w:lang w:eastAsia="en-AU"/>
    </w:rPr>
  </w:style>
  <w:style w:type="paragraph" w:styleId="Heading9">
    <w:name w:val="heading 9"/>
    <w:basedOn w:val="BodyText"/>
    <w:next w:val="BodyText"/>
    <w:qFormat/>
    <w:rsid w:val="0071248D"/>
    <w:pPr>
      <w:keepNext/>
      <w:numPr>
        <w:ilvl w:val="8"/>
        <w:numId w:val="29"/>
      </w:numPr>
      <w:spacing w:before="300" w:line="270" w:lineRule="exact"/>
      <w:outlineLvl w:val="8"/>
    </w:pPr>
    <w:rPr>
      <w:rFonts w:asciiTheme="majorHAnsi" w:hAnsiTheme="majorHAnsi"/>
      <w:b/>
      <w:color w:val="9757A6"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
    <w:link w:val="BodyTextChar"/>
    <w:qFormat/>
    <w:rsid w:val="00F259AE"/>
    <w:pPr>
      <w:spacing w:before="120" w:after="120" w:line="280" w:lineRule="exact"/>
    </w:pPr>
    <w:rPr>
      <w:rFonts w:asciiTheme="minorHAnsi" w:hAnsiTheme="minorHAnsi"/>
      <w:szCs w:val="22"/>
      <w:lang w:eastAsia="en-AU"/>
    </w:rPr>
  </w:style>
  <w:style w:type="paragraph" w:styleId="Header">
    <w:name w:val="header"/>
    <w:link w:val="HeaderChar"/>
    <w:rsid w:val="00C249C7"/>
    <w:pPr>
      <w:spacing w:before="0" w:line="240" w:lineRule="auto"/>
    </w:pPr>
    <w:rPr>
      <w:rFonts w:asciiTheme="minorHAnsi" w:hAnsiTheme="minorHAnsi"/>
      <w:noProof/>
      <w:sz w:val="16"/>
      <w:lang w:eastAsia="en-AU"/>
    </w:rPr>
  </w:style>
  <w:style w:type="paragraph" w:styleId="Footer">
    <w:name w:val="footer"/>
    <w:link w:val="FooterChar"/>
    <w:uiPriority w:val="99"/>
    <w:rsid w:val="00C249C7"/>
    <w:pPr>
      <w:spacing w:before="0" w:line="240" w:lineRule="auto"/>
      <w:ind w:right="851"/>
    </w:pPr>
    <w:rPr>
      <w:rFonts w:asciiTheme="minorHAnsi" w:hAnsiTheme="minorHAnsi"/>
      <w:sz w:val="14"/>
      <w:lang w:eastAsia="en-US"/>
    </w:rPr>
  </w:style>
  <w:style w:type="paragraph" w:styleId="Title">
    <w:name w:val="Title"/>
    <w:link w:val="TitleChar"/>
    <w:rsid w:val="00180AC7"/>
    <w:pPr>
      <w:spacing w:before="0" w:after="300" w:line="380" w:lineRule="exact"/>
    </w:pPr>
    <w:rPr>
      <w:rFonts w:asciiTheme="majorHAnsi" w:eastAsiaTheme="majorEastAsia" w:hAnsiTheme="majorHAnsi" w:cstheme="majorBidi"/>
      <w:caps/>
      <w:spacing w:val="5"/>
      <w:kern w:val="28"/>
      <w:sz w:val="41"/>
      <w:szCs w:val="52"/>
      <w:lang w:eastAsia="en-US"/>
    </w:rPr>
  </w:style>
  <w:style w:type="paragraph" w:customStyle="1" w:styleId="Preparedfor">
    <w:name w:val="Prepared for"/>
    <w:semiHidden/>
    <w:rsid w:val="00C249C7"/>
    <w:pPr>
      <w:ind w:left="1674"/>
      <w:jc w:val="right"/>
    </w:pPr>
    <w:rPr>
      <w:rFonts w:ascii="Century Gothic" w:hAnsi="Century Gothic"/>
      <w:sz w:val="18"/>
      <w:szCs w:val="20"/>
      <w:lang w:eastAsia="en-AU"/>
    </w:rPr>
  </w:style>
  <w:style w:type="paragraph" w:customStyle="1" w:styleId="CoverLogos">
    <w:name w:val="Cover Logos"/>
    <w:uiPriority w:val="99"/>
    <w:semiHidden/>
    <w:rsid w:val="00C249C7"/>
    <w:pPr>
      <w:framePr w:wrap="notBeside" w:vAnchor="text" w:hAnchor="text" w:y="1"/>
      <w:spacing w:before="60" w:line="240" w:lineRule="auto"/>
      <w:jc w:val="right"/>
    </w:pPr>
    <w:rPr>
      <w:noProof/>
      <w:szCs w:val="20"/>
      <w:lang w:eastAsia="en-AU"/>
    </w:rPr>
  </w:style>
  <w:style w:type="paragraph" w:customStyle="1" w:styleId="SaveDate">
    <w:name w:val="Save Date"/>
    <w:semiHidden/>
    <w:rsid w:val="00C249C7"/>
    <w:pPr>
      <w:ind w:left="2716"/>
      <w:jc w:val="right"/>
    </w:pPr>
    <w:rPr>
      <w:rFonts w:ascii="Century Gothic" w:hAnsi="Century Gothic"/>
      <w:b/>
      <w:lang w:eastAsia="en-US"/>
    </w:rPr>
  </w:style>
  <w:style w:type="paragraph" w:customStyle="1" w:styleId="CoverInfo">
    <w:name w:val="Cover Info"/>
    <w:uiPriority w:val="99"/>
    <w:rsid w:val="00C249C7"/>
    <w:pPr>
      <w:spacing w:before="20" w:after="20" w:line="240" w:lineRule="auto"/>
    </w:pPr>
    <w:rPr>
      <w:rFonts w:asciiTheme="minorHAnsi" w:hAnsiTheme="minorHAnsi"/>
      <w:color w:val="5F5F5F"/>
      <w:sz w:val="18"/>
      <w:szCs w:val="20"/>
      <w:lang w:val="fr-FR" w:eastAsia="en-AU"/>
    </w:rPr>
  </w:style>
  <w:style w:type="paragraph" w:customStyle="1" w:styleId="CoverLogo">
    <w:name w:val="CoverLogo"/>
    <w:uiPriority w:val="99"/>
    <w:semiHidden/>
    <w:rsid w:val="00C249C7"/>
    <w:pPr>
      <w:spacing w:before="120" w:line="240" w:lineRule="auto"/>
    </w:pPr>
    <w:rPr>
      <w:szCs w:val="20"/>
      <w:lang w:eastAsia="en-AU"/>
    </w:rPr>
  </w:style>
  <w:style w:type="paragraph" w:customStyle="1" w:styleId="SubTitle">
    <w:name w:val="Sub Title"/>
    <w:uiPriority w:val="99"/>
    <w:semiHidden/>
    <w:rsid w:val="00C249C7"/>
    <w:pPr>
      <w:spacing w:before="40" w:line="360" w:lineRule="exact"/>
      <w:ind w:left="2778"/>
      <w:jc w:val="right"/>
    </w:pPr>
    <w:rPr>
      <w:rFonts w:ascii="Century Gothic" w:hAnsi="Century Gothic"/>
      <w:szCs w:val="20"/>
      <w:lang w:eastAsia="en-AU"/>
    </w:rPr>
  </w:style>
  <w:style w:type="paragraph" w:customStyle="1" w:styleId="Copyright">
    <w:name w:val="Copyright"/>
    <w:uiPriority w:val="99"/>
    <w:semiHidden/>
    <w:rsid w:val="00C249C7"/>
    <w:pPr>
      <w:spacing w:before="80" w:line="250" w:lineRule="exact"/>
    </w:pPr>
    <w:rPr>
      <w:color w:val="000000"/>
      <w:sz w:val="20"/>
      <w:szCs w:val="20"/>
      <w:lang w:eastAsia="en-AU"/>
    </w:rPr>
  </w:style>
  <w:style w:type="paragraph" w:styleId="BodyText2">
    <w:name w:val="Body Text 2"/>
    <w:basedOn w:val="Normal"/>
    <w:semiHidden/>
    <w:rsid w:val="00C249C7"/>
    <w:rPr>
      <w:color w:val="FF0000"/>
    </w:rPr>
  </w:style>
  <w:style w:type="paragraph" w:customStyle="1" w:styleId="CoverHeadings">
    <w:name w:val="Cover Headings"/>
    <w:uiPriority w:val="99"/>
    <w:semiHidden/>
    <w:rsid w:val="00C249C7"/>
    <w:pPr>
      <w:spacing w:before="240" w:line="270" w:lineRule="exact"/>
    </w:pPr>
    <w:rPr>
      <w:rFonts w:ascii="Century Gothic" w:hAnsi="Century Gothic"/>
      <w:b/>
      <w:color w:val="000080"/>
      <w:sz w:val="22"/>
      <w:lang w:eastAsia="en-US"/>
    </w:rPr>
  </w:style>
  <w:style w:type="paragraph" w:customStyle="1" w:styleId="Office">
    <w:name w:val="Office"/>
    <w:semiHidden/>
    <w:rsid w:val="00C249C7"/>
    <w:pPr>
      <w:spacing w:before="300" w:line="240" w:lineRule="auto"/>
      <w:ind w:right="-291"/>
    </w:pPr>
    <w:rPr>
      <w:rFonts w:ascii="Century Gothic" w:hAnsi="Century Gothic"/>
      <w:b/>
      <w:color w:val="808080"/>
      <w:sz w:val="20"/>
      <w:szCs w:val="20"/>
      <w:lang w:eastAsia="en-AU"/>
    </w:rPr>
  </w:style>
  <w:style w:type="character" w:styleId="Hyperlink">
    <w:name w:val="Hyperlink"/>
    <w:basedOn w:val="DefaultParagraphFont"/>
    <w:uiPriority w:val="99"/>
    <w:rsid w:val="00C249C7"/>
    <w:rPr>
      <w:color w:val="0000FF"/>
      <w:u w:val="single"/>
    </w:rPr>
  </w:style>
  <w:style w:type="character" w:customStyle="1" w:styleId="TitleChar">
    <w:name w:val="Title Char"/>
    <w:basedOn w:val="DefaultParagraphFont"/>
    <w:link w:val="Title"/>
    <w:rsid w:val="00180AC7"/>
    <w:rPr>
      <w:rFonts w:asciiTheme="majorHAnsi" w:eastAsiaTheme="majorEastAsia" w:hAnsiTheme="majorHAnsi" w:cstheme="majorBidi"/>
      <w:caps/>
      <w:spacing w:val="5"/>
      <w:kern w:val="28"/>
      <w:sz w:val="41"/>
      <w:szCs w:val="52"/>
      <w:lang w:eastAsia="en-US"/>
    </w:rPr>
  </w:style>
  <w:style w:type="paragraph" w:customStyle="1" w:styleId="Heading10">
    <w:name w:val="Heading 10"/>
    <w:basedOn w:val="Heading4"/>
    <w:next w:val="BodyText"/>
    <w:qFormat/>
    <w:rsid w:val="00C249C7"/>
    <w:pPr>
      <w:numPr>
        <w:ilvl w:val="0"/>
        <w:numId w:val="0"/>
      </w:numPr>
    </w:pPr>
    <w:rPr>
      <w:szCs w:val="22"/>
    </w:rPr>
  </w:style>
  <w:style w:type="paragraph" w:customStyle="1" w:styleId="Heading11">
    <w:name w:val="Heading 11"/>
    <w:basedOn w:val="Heading5"/>
    <w:next w:val="BodyText"/>
    <w:qFormat/>
    <w:rsid w:val="00C249C7"/>
    <w:pPr>
      <w:numPr>
        <w:ilvl w:val="0"/>
        <w:numId w:val="0"/>
      </w:numPr>
    </w:pPr>
  </w:style>
  <w:style w:type="paragraph" w:customStyle="1" w:styleId="BoxText">
    <w:name w:val="Box Text"/>
    <w:basedOn w:val="BodyText"/>
    <w:qFormat/>
    <w:rsid w:val="00556389"/>
    <w:pPr>
      <w:keepNext/>
      <w:keepLines/>
      <w:spacing w:before="80" w:after="40" w:line="220" w:lineRule="exact"/>
    </w:pPr>
    <w:rPr>
      <w:sz w:val="20"/>
    </w:rPr>
  </w:style>
  <w:style w:type="paragraph" w:customStyle="1" w:styleId="BoxContinued">
    <w:name w:val="Box Continued"/>
    <w:basedOn w:val="Normal"/>
    <w:next w:val="BodyText"/>
    <w:uiPriority w:val="99"/>
    <w:semiHidden/>
    <w:rsid w:val="00C249C7"/>
    <w:pPr>
      <w:spacing w:after="40" w:line="240" w:lineRule="auto"/>
      <w:jc w:val="right"/>
    </w:pPr>
    <w:rPr>
      <w:sz w:val="14"/>
      <w:lang w:eastAsia="en-AU"/>
    </w:rPr>
  </w:style>
  <w:style w:type="paragraph" w:customStyle="1" w:styleId="BoxSideHeading1">
    <w:name w:val="Box Side Heading 1"/>
    <w:basedOn w:val="BoxText"/>
    <w:next w:val="BoxText"/>
    <w:uiPriority w:val="4"/>
    <w:rsid w:val="00C249C7"/>
    <w:pPr>
      <w:spacing w:before="240"/>
    </w:pPr>
    <w:rPr>
      <w:b/>
    </w:rPr>
  </w:style>
  <w:style w:type="paragraph" w:customStyle="1" w:styleId="BoxSideHeading2">
    <w:name w:val="Box Side Heading 2"/>
    <w:basedOn w:val="BoxText"/>
    <w:next w:val="BoxText"/>
    <w:uiPriority w:val="4"/>
    <w:rsid w:val="00C249C7"/>
    <w:pPr>
      <w:spacing w:before="200"/>
    </w:pPr>
    <w:rPr>
      <w:i/>
    </w:rPr>
  </w:style>
  <w:style w:type="paragraph" w:customStyle="1" w:styleId="BoxListBullet">
    <w:name w:val="Box List Bullet"/>
    <w:uiPriority w:val="4"/>
    <w:rsid w:val="009A67B0"/>
    <w:pPr>
      <w:numPr>
        <w:numId w:val="27"/>
      </w:numPr>
      <w:spacing w:before="40" w:after="40" w:line="220" w:lineRule="exact"/>
    </w:pPr>
    <w:rPr>
      <w:rFonts w:asciiTheme="minorHAnsi" w:hAnsiTheme="minorHAnsi"/>
      <w:sz w:val="20"/>
      <w:lang w:eastAsia="en-AU"/>
    </w:rPr>
  </w:style>
  <w:style w:type="paragraph" w:customStyle="1" w:styleId="BoxListBullet2">
    <w:name w:val="Box List Bullet 2"/>
    <w:basedOn w:val="BoxListBullet"/>
    <w:rsid w:val="00C249C7"/>
    <w:pPr>
      <w:numPr>
        <w:ilvl w:val="1"/>
      </w:numPr>
    </w:pPr>
  </w:style>
  <w:style w:type="paragraph" w:customStyle="1" w:styleId="BoxListNumber">
    <w:name w:val="Box List Number"/>
    <w:uiPriority w:val="4"/>
    <w:rsid w:val="00826BEB"/>
    <w:pPr>
      <w:numPr>
        <w:numId w:val="24"/>
      </w:numPr>
      <w:spacing w:before="40" w:after="40" w:line="220" w:lineRule="exact"/>
    </w:pPr>
    <w:rPr>
      <w:rFonts w:asciiTheme="minorHAnsi" w:hAnsiTheme="minorHAnsi"/>
      <w:color w:val="000000"/>
      <w:sz w:val="20"/>
      <w:lang w:eastAsia="en-US"/>
    </w:rPr>
  </w:style>
  <w:style w:type="paragraph" w:customStyle="1" w:styleId="BoxQuote">
    <w:name w:val="Box Quote"/>
    <w:basedOn w:val="BoxText"/>
    <w:next w:val="BoxText"/>
    <w:uiPriority w:val="4"/>
    <w:rsid w:val="00826BEB"/>
    <w:pPr>
      <w:spacing w:line="240" w:lineRule="auto"/>
      <w:ind w:left="227"/>
    </w:pPr>
    <w:rPr>
      <w:sz w:val="18"/>
      <w:szCs w:val="14"/>
    </w:rPr>
  </w:style>
  <w:style w:type="paragraph" w:styleId="Caption">
    <w:name w:val="caption"/>
    <w:next w:val="BodyText"/>
    <w:qFormat/>
    <w:rsid w:val="00366ADF"/>
    <w:pPr>
      <w:keepNext/>
      <w:spacing w:before="360" w:after="40" w:line="240" w:lineRule="exact"/>
      <w:ind w:left="992" w:hanging="992"/>
    </w:pPr>
    <w:rPr>
      <w:rFonts w:asciiTheme="majorHAnsi" w:hAnsiTheme="majorHAnsi" w:cs="Arial"/>
      <w:sz w:val="20"/>
      <w:lang w:eastAsia="en-US"/>
    </w:rPr>
  </w:style>
  <w:style w:type="paragraph" w:customStyle="1" w:styleId="ChapterSummary">
    <w:name w:val="Chapter Summary"/>
    <w:basedOn w:val="BodyText"/>
    <w:next w:val="BodyText"/>
    <w:rsid w:val="00C249C7"/>
    <w:pPr>
      <w:spacing w:before="200" w:after="60" w:line="300" w:lineRule="exact"/>
      <w:ind w:left="-2552"/>
    </w:pPr>
    <w:rPr>
      <w:b/>
      <w:i/>
      <w:color w:val="808080" w:themeColor="background1" w:themeShade="80"/>
    </w:rPr>
  </w:style>
  <w:style w:type="paragraph" w:styleId="ListBullet">
    <w:name w:val="List Bullet"/>
    <w:basedOn w:val="BodyText"/>
    <w:uiPriority w:val="2"/>
    <w:qFormat/>
    <w:rsid w:val="00CE3F7C"/>
    <w:pPr>
      <w:numPr>
        <w:numId w:val="26"/>
      </w:numPr>
      <w:spacing w:before="60" w:after="60"/>
    </w:pPr>
  </w:style>
  <w:style w:type="paragraph" w:styleId="ListBullet2">
    <w:name w:val="List Bullet 2"/>
    <w:basedOn w:val="ListBullet"/>
    <w:uiPriority w:val="2"/>
    <w:qFormat/>
    <w:rsid w:val="00C249C7"/>
    <w:pPr>
      <w:numPr>
        <w:ilvl w:val="1"/>
      </w:numPr>
    </w:pPr>
  </w:style>
  <w:style w:type="character" w:styleId="CommentReference">
    <w:name w:val="annotation reference"/>
    <w:basedOn w:val="DefaultParagraphFont"/>
    <w:semiHidden/>
    <w:rsid w:val="00C249C7"/>
    <w:rPr>
      <w:rFonts w:ascii="Garamond" w:hAnsi="Garamond"/>
      <w:b/>
      <w:vanish/>
      <w:color w:val="FF00FF"/>
      <w:sz w:val="20"/>
    </w:rPr>
  </w:style>
  <w:style w:type="paragraph" w:styleId="CommentText">
    <w:name w:val="annotation text"/>
    <w:basedOn w:val="BodyText"/>
    <w:uiPriority w:val="99"/>
    <w:semiHidden/>
    <w:rsid w:val="00C249C7"/>
    <w:pPr>
      <w:ind w:left="567" w:hanging="567"/>
    </w:pPr>
    <w:rPr>
      <w:rFonts w:ascii="Century Gothic" w:hAnsi="Century Gothic"/>
      <w:sz w:val="21"/>
    </w:rPr>
  </w:style>
  <w:style w:type="paragraph" w:customStyle="1" w:styleId="Confidential">
    <w:name w:val="Confidential"/>
    <w:next w:val="BodyText"/>
    <w:uiPriority w:val="99"/>
    <w:semiHidden/>
    <w:rsid w:val="00C249C7"/>
    <w:pPr>
      <w:spacing w:before="120" w:line="520" w:lineRule="exact"/>
      <w:ind w:left="2268"/>
      <w:jc w:val="right"/>
    </w:pPr>
    <w:rPr>
      <w:rFonts w:ascii="Century Gothic" w:hAnsi="Century Gothic"/>
      <w:b/>
      <w:color w:val="808080" w:themeColor="background1" w:themeShade="80"/>
      <w:sz w:val="52"/>
      <w:lang w:eastAsia="en-US"/>
    </w:rPr>
  </w:style>
  <w:style w:type="paragraph" w:customStyle="1" w:styleId="Contents">
    <w:name w:val="Contents"/>
    <w:basedOn w:val="BodyText"/>
    <w:next w:val="BodyText"/>
    <w:rsid w:val="00C249C7"/>
    <w:pPr>
      <w:pBdr>
        <w:bottom w:val="single" w:sz="4" w:space="1" w:color="A6A6A6" w:themeColor="background1" w:themeShade="A6"/>
      </w:pBdr>
      <w:tabs>
        <w:tab w:val="left" w:pos="0"/>
      </w:tabs>
      <w:spacing w:before="200" w:after="200" w:line="240" w:lineRule="auto"/>
      <w:jc w:val="center"/>
      <w:outlineLvl w:val="3"/>
    </w:pPr>
    <w:rPr>
      <w:rFonts w:ascii="Novecento UltraLight" w:hAnsi="Novecento UltraLight"/>
      <w:spacing w:val="460"/>
      <w:sz w:val="66"/>
      <w:szCs w:val="52"/>
    </w:rPr>
  </w:style>
  <w:style w:type="paragraph" w:styleId="TOC1">
    <w:name w:val="toc 1"/>
    <w:basedOn w:val="BodyText"/>
    <w:next w:val="TOC2"/>
    <w:autoRedefine/>
    <w:uiPriority w:val="39"/>
    <w:rsid w:val="008F2020"/>
    <w:pPr>
      <w:keepNext/>
      <w:pBdr>
        <w:top w:val="single" w:sz="6" w:space="1" w:color="BFBFBF" w:themeColor="background1" w:themeShade="BF"/>
      </w:pBdr>
      <w:tabs>
        <w:tab w:val="left" w:pos="340"/>
        <w:tab w:val="right" w:pos="7371"/>
      </w:tabs>
      <w:spacing w:before="300"/>
      <w:ind w:left="340" w:right="567" w:hanging="340"/>
    </w:pPr>
    <w:rPr>
      <w:rFonts w:asciiTheme="majorHAnsi" w:hAnsiTheme="majorHAnsi"/>
      <w:b/>
      <w:noProof/>
      <w:color w:val="9757A6"/>
    </w:rPr>
  </w:style>
  <w:style w:type="paragraph" w:styleId="TOC2">
    <w:name w:val="toc 2"/>
    <w:autoRedefine/>
    <w:uiPriority w:val="39"/>
    <w:rsid w:val="009949E9"/>
    <w:pPr>
      <w:tabs>
        <w:tab w:val="left" w:pos="794"/>
        <w:tab w:val="right" w:pos="7371"/>
      </w:tabs>
      <w:spacing w:before="60"/>
      <w:ind w:left="794" w:right="568" w:hanging="454"/>
    </w:pPr>
    <w:rPr>
      <w:rFonts w:asciiTheme="majorHAnsi" w:hAnsiTheme="majorHAnsi"/>
      <w:noProof/>
      <w:sz w:val="22"/>
      <w:lang w:eastAsia="en-AU"/>
    </w:rPr>
  </w:style>
  <w:style w:type="paragraph" w:customStyle="1" w:styleId="Continued">
    <w:name w:val="Continued"/>
    <w:basedOn w:val="BoxContinued"/>
    <w:next w:val="BodyText"/>
    <w:uiPriority w:val="5"/>
    <w:semiHidden/>
    <w:rsid w:val="00C249C7"/>
    <w:pPr>
      <w:spacing w:before="40"/>
      <w:jc w:val="left"/>
    </w:pPr>
    <w:rPr>
      <w:color w:val="000080"/>
      <w:sz w:val="18"/>
    </w:rPr>
  </w:style>
  <w:style w:type="character" w:customStyle="1" w:styleId="DraftingNote">
    <w:name w:val="Drafting Note"/>
    <w:basedOn w:val="DefaultParagraphFont"/>
    <w:uiPriority w:val="5"/>
    <w:rsid w:val="00C249C7"/>
    <w:rPr>
      <w:rFonts w:asciiTheme="minorHAnsi" w:hAnsiTheme="minorHAnsi"/>
      <w:b/>
      <w:color w:val="FF0000"/>
      <w:szCs w:val="20"/>
      <w:u w:val="dotted"/>
    </w:rPr>
  </w:style>
  <w:style w:type="paragraph" w:customStyle="1" w:styleId="Figure">
    <w:name w:val="Figure"/>
    <w:basedOn w:val="BodyText"/>
    <w:rsid w:val="00C249C7"/>
    <w:pPr>
      <w:keepNext/>
      <w:spacing w:before="60" w:line="240" w:lineRule="auto"/>
      <w:jc w:val="center"/>
    </w:pPr>
    <w:rPr>
      <w:sz w:val="18"/>
      <w:szCs w:val="20"/>
      <w:lang w:eastAsia="en-US"/>
    </w:rPr>
  </w:style>
  <w:style w:type="character" w:styleId="FootnoteReference">
    <w:name w:val="footnote reference"/>
    <w:aliases w:val="(NECG) Footnote Reference"/>
    <w:basedOn w:val="DefaultParagraphFont"/>
    <w:uiPriority w:val="8"/>
    <w:rsid w:val="00C249C7"/>
    <w:rPr>
      <w:rFonts w:asciiTheme="minorHAnsi" w:hAnsiTheme="minorHAnsi"/>
      <w:position w:val="0"/>
      <w:vertAlign w:val="superscript"/>
    </w:rPr>
  </w:style>
  <w:style w:type="paragraph" w:styleId="FootnoteText">
    <w:name w:val="footnote text"/>
    <w:aliases w:val="(NECG) Footnote Text"/>
    <w:basedOn w:val="BodyText"/>
    <w:link w:val="FootnoteTextChar"/>
    <w:uiPriority w:val="8"/>
    <w:rsid w:val="00C249C7"/>
    <w:pPr>
      <w:spacing w:before="80" w:line="240" w:lineRule="auto"/>
      <w:ind w:left="227" w:hanging="227"/>
    </w:pPr>
    <w:rPr>
      <w:sz w:val="16"/>
    </w:rPr>
  </w:style>
  <w:style w:type="paragraph" w:customStyle="1" w:styleId="Heading1nonumber">
    <w:name w:val="Heading 1 (no number)"/>
    <w:basedOn w:val="Normal"/>
    <w:next w:val="BodyText"/>
    <w:qFormat/>
    <w:rsid w:val="0069009F"/>
    <w:pPr>
      <w:keepNext/>
      <w:pBdr>
        <w:bottom w:val="single" w:sz="8" w:space="1" w:color="BFBFBF"/>
      </w:pBdr>
      <w:spacing w:before="300" w:after="60" w:line="340" w:lineRule="exact"/>
      <w:outlineLvl w:val="1"/>
    </w:pPr>
    <w:rPr>
      <w:rFonts w:ascii="Arial" w:hAnsi="Arial"/>
      <w:b/>
      <w:color w:val="9757A6"/>
      <w:kern w:val="36"/>
      <w:sz w:val="28"/>
      <w:lang w:eastAsia="en-AU"/>
    </w:rPr>
  </w:style>
  <w:style w:type="paragraph" w:customStyle="1" w:styleId="Heading2nonumber">
    <w:name w:val="Heading 2 (no number)"/>
    <w:basedOn w:val="Heading2"/>
    <w:next w:val="BodyText"/>
    <w:qFormat/>
    <w:rsid w:val="00C249C7"/>
    <w:pPr>
      <w:numPr>
        <w:ilvl w:val="0"/>
        <w:numId w:val="0"/>
      </w:numPr>
    </w:pPr>
  </w:style>
  <w:style w:type="paragraph" w:customStyle="1" w:styleId="Heading3nonumber">
    <w:name w:val="Heading 3 (no number)"/>
    <w:basedOn w:val="Heading3"/>
    <w:next w:val="BodyText"/>
    <w:qFormat/>
    <w:rsid w:val="00C249C7"/>
    <w:pPr>
      <w:numPr>
        <w:ilvl w:val="0"/>
        <w:numId w:val="0"/>
      </w:numPr>
    </w:pPr>
  </w:style>
  <w:style w:type="paragraph" w:customStyle="1" w:styleId="Heading8nonumber">
    <w:name w:val="Heading 8 (no number)"/>
    <w:basedOn w:val="Heading8"/>
    <w:next w:val="BodyText"/>
    <w:qFormat/>
    <w:rsid w:val="00C249C7"/>
    <w:pPr>
      <w:numPr>
        <w:ilvl w:val="0"/>
        <w:numId w:val="0"/>
      </w:numPr>
      <w:outlineLvl w:val="1"/>
    </w:pPr>
  </w:style>
  <w:style w:type="paragraph" w:customStyle="1" w:styleId="Heading9nonumber">
    <w:name w:val="Heading 9 (no number)"/>
    <w:basedOn w:val="Heading9"/>
    <w:next w:val="BodyText"/>
    <w:qFormat/>
    <w:rsid w:val="00C249C7"/>
    <w:pPr>
      <w:numPr>
        <w:ilvl w:val="0"/>
        <w:numId w:val="0"/>
      </w:numPr>
      <w:outlineLvl w:val="2"/>
    </w:pPr>
  </w:style>
  <w:style w:type="paragraph" w:customStyle="1" w:styleId="Invisiblepara">
    <w:name w:val="Invisible para"/>
    <w:basedOn w:val="Normal"/>
    <w:semiHidden/>
    <w:rsid w:val="00C249C7"/>
    <w:pPr>
      <w:keepNext/>
      <w:spacing w:before="0" w:line="240" w:lineRule="auto"/>
    </w:pPr>
    <w:rPr>
      <w:sz w:val="16"/>
    </w:rPr>
  </w:style>
  <w:style w:type="paragraph" w:styleId="ListBullet3">
    <w:name w:val="List Bullet 3"/>
    <w:basedOn w:val="ListBullet2"/>
    <w:uiPriority w:val="2"/>
    <w:qFormat/>
    <w:rsid w:val="00C249C7"/>
    <w:pPr>
      <w:numPr>
        <w:ilvl w:val="2"/>
      </w:numPr>
    </w:pPr>
  </w:style>
  <w:style w:type="paragraph" w:styleId="ListNumber">
    <w:name w:val="List Number"/>
    <w:basedOn w:val="ListBullet"/>
    <w:uiPriority w:val="2"/>
    <w:qFormat/>
    <w:rsid w:val="00013650"/>
    <w:pPr>
      <w:numPr>
        <w:numId w:val="25"/>
      </w:numPr>
    </w:pPr>
  </w:style>
  <w:style w:type="paragraph" w:customStyle="1" w:styleId="Note">
    <w:name w:val="Note"/>
    <w:next w:val="BodyText"/>
    <w:rsid w:val="009949E9"/>
    <w:pPr>
      <w:keepNext/>
      <w:keepLines/>
      <w:spacing w:before="40" w:line="180" w:lineRule="exact"/>
    </w:pPr>
    <w:rPr>
      <w:rFonts w:ascii="Arial" w:hAnsi="Arial"/>
      <w:sz w:val="16"/>
      <w:lang w:eastAsia="en-US"/>
    </w:rPr>
  </w:style>
  <w:style w:type="character" w:customStyle="1" w:styleId="Notelabel">
    <w:name w:val="Note label"/>
    <w:basedOn w:val="DefaultParagraphFont"/>
    <w:rsid w:val="009949E9"/>
    <w:rPr>
      <w:rFonts w:ascii="Arial" w:hAnsi="Arial"/>
      <w:b/>
      <w:color w:val="auto"/>
      <w:vertAlign w:val="superscript"/>
    </w:rPr>
  </w:style>
  <w:style w:type="character" w:customStyle="1" w:styleId="NoteLabelTable">
    <w:name w:val="Note Label Table"/>
    <w:basedOn w:val="DefaultParagraphFont"/>
    <w:uiPriority w:val="5"/>
    <w:rsid w:val="00C249C7"/>
    <w:rPr>
      <w:rFonts w:asciiTheme="minorHAnsi" w:hAnsiTheme="minorHAnsi"/>
      <w:b/>
      <w:color w:val="auto"/>
      <w:position w:val="6"/>
      <w:sz w:val="14"/>
    </w:rPr>
  </w:style>
  <w:style w:type="character" w:styleId="PageNumber">
    <w:name w:val="page number"/>
    <w:rsid w:val="00C249C7"/>
    <w:rPr>
      <w:rFonts w:ascii="Arial Narrow" w:eastAsia="Calibri" w:hAnsi="Arial Narrow"/>
      <w:sz w:val="24"/>
      <w:szCs w:val="28"/>
    </w:rPr>
  </w:style>
  <w:style w:type="paragraph" w:styleId="Quote">
    <w:name w:val="Quote"/>
    <w:basedOn w:val="BodyText"/>
    <w:next w:val="QuoteSource"/>
    <w:uiPriority w:val="4"/>
    <w:qFormat/>
    <w:rsid w:val="00C249C7"/>
    <w:pPr>
      <w:spacing w:before="60" w:after="60" w:line="220" w:lineRule="exact"/>
      <w:ind w:left="567" w:right="567"/>
    </w:pPr>
    <w:rPr>
      <w:sz w:val="18"/>
    </w:rPr>
  </w:style>
  <w:style w:type="paragraph" w:customStyle="1" w:styleId="SideNote">
    <w:name w:val="Side Note"/>
    <w:basedOn w:val="BodyText"/>
    <w:next w:val="BodyText"/>
    <w:uiPriority w:val="2"/>
    <w:rsid w:val="009949E9"/>
    <w:pPr>
      <w:keepNext/>
      <w:framePr w:w="2268" w:hSpace="284" w:vSpace="181" w:wrap="around" w:vAnchor="text" w:hAnchor="margin" w:x="-2551" w:y="1"/>
      <w:spacing w:before="60" w:after="40" w:line="220" w:lineRule="exact"/>
    </w:pPr>
    <w:rPr>
      <w:rFonts w:asciiTheme="majorHAnsi" w:hAnsiTheme="majorHAnsi"/>
      <w:b/>
      <w:color w:val="9757A6"/>
      <w:sz w:val="16"/>
    </w:rPr>
  </w:style>
  <w:style w:type="paragraph" w:customStyle="1" w:styleId="SideDash">
    <w:name w:val="Side Dash"/>
    <w:basedOn w:val="SideNote"/>
    <w:next w:val="BodyText"/>
    <w:uiPriority w:val="2"/>
    <w:qFormat/>
    <w:rsid w:val="00C249C7"/>
    <w:pPr>
      <w:framePr w:wrap="around"/>
      <w:numPr>
        <w:numId w:val="8"/>
      </w:numPr>
    </w:pPr>
  </w:style>
  <w:style w:type="paragraph" w:customStyle="1" w:styleId="Source">
    <w:name w:val="Source"/>
    <w:basedOn w:val="BodyText"/>
    <w:next w:val="BodyText"/>
    <w:rsid w:val="009949E9"/>
    <w:pPr>
      <w:pBdr>
        <w:bottom w:val="single" w:sz="2" w:space="1" w:color="C0C0C0"/>
      </w:pBdr>
      <w:spacing w:before="40" w:after="60" w:line="180" w:lineRule="exact"/>
    </w:pPr>
    <w:rPr>
      <w:rFonts w:ascii="Arial" w:hAnsi="Arial"/>
      <w:sz w:val="16"/>
      <w:szCs w:val="14"/>
    </w:rPr>
  </w:style>
  <w:style w:type="paragraph" w:customStyle="1" w:styleId="PageNumberLandscape">
    <w:name w:val="Page Number Landscape"/>
    <w:basedOn w:val="Normal"/>
    <w:link w:val="PageNumberLandscapeChar"/>
    <w:semiHidden/>
    <w:rsid w:val="00C249C7"/>
    <w:pPr>
      <w:jc w:val="right"/>
    </w:pPr>
  </w:style>
  <w:style w:type="paragraph" w:customStyle="1" w:styleId="Tablebody">
    <w:name w:val="Table body"/>
    <w:basedOn w:val="Tabletext"/>
    <w:uiPriority w:val="3"/>
    <w:rsid w:val="00E10C5B"/>
  </w:style>
  <w:style w:type="paragraph" w:customStyle="1" w:styleId="Tablecolumnheadings">
    <w:name w:val="Table column headings"/>
    <w:uiPriority w:val="3"/>
    <w:qFormat/>
    <w:rsid w:val="00C249C7"/>
    <w:pPr>
      <w:keepNext/>
      <w:spacing w:before="60" w:after="60" w:line="220" w:lineRule="exact"/>
    </w:pPr>
    <w:rPr>
      <w:rFonts w:asciiTheme="majorHAnsi" w:hAnsiTheme="majorHAnsi"/>
      <w:color w:val="FFFFFF" w:themeColor="background1"/>
      <w:sz w:val="16"/>
      <w:szCs w:val="16"/>
      <w:lang w:eastAsia="en-US"/>
    </w:rPr>
  </w:style>
  <w:style w:type="paragraph" w:customStyle="1" w:styleId="Tablecontinued">
    <w:name w:val="Table continued"/>
    <w:basedOn w:val="Note"/>
    <w:next w:val="BodyText"/>
    <w:uiPriority w:val="4"/>
    <w:semiHidden/>
    <w:rsid w:val="00C249C7"/>
    <w:pPr>
      <w:spacing w:after="120" w:line="220" w:lineRule="exact"/>
      <w:jc w:val="right"/>
    </w:pPr>
  </w:style>
  <w:style w:type="paragraph" w:customStyle="1" w:styleId="Tablesideheading1">
    <w:name w:val="Table side heading 1"/>
    <w:basedOn w:val="Tablebody"/>
    <w:next w:val="Tabletext"/>
    <w:uiPriority w:val="3"/>
    <w:rsid w:val="009949E9"/>
    <w:rPr>
      <w:b/>
      <w:color w:val="auto"/>
      <w:szCs w:val="16"/>
    </w:rPr>
  </w:style>
  <w:style w:type="paragraph" w:customStyle="1" w:styleId="Tablesideheading2">
    <w:name w:val="Table side heading 2"/>
    <w:basedOn w:val="Tablesideheading1"/>
    <w:next w:val="Tabletext"/>
    <w:uiPriority w:val="3"/>
    <w:rsid w:val="009949E9"/>
    <w:rPr>
      <w:b w:val="0"/>
      <w:i/>
    </w:rPr>
  </w:style>
  <w:style w:type="paragraph" w:customStyle="1" w:styleId="Tablelistbullet">
    <w:name w:val="Table list bullet"/>
    <w:uiPriority w:val="3"/>
    <w:rsid w:val="009A67B0"/>
    <w:pPr>
      <w:numPr>
        <w:numId w:val="28"/>
      </w:numPr>
      <w:spacing w:before="40" w:after="40" w:line="240" w:lineRule="auto"/>
    </w:pPr>
    <w:rPr>
      <w:rFonts w:ascii="Arial" w:hAnsi="Arial"/>
      <w:color w:val="000000"/>
      <w:sz w:val="16"/>
      <w:lang w:eastAsia="en-US"/>
    </w:rPr>
  </w:style>
  <w:style w:type="paragraph" w:customStyle="1" w:styleId="Tablelistbullet2">
    <w:name w:val="Table list bullet 2"/>
    <w:basedOn w:val="Tablebody"/>
    <w:uiPriority w:val="3"/>
    <w:rsid w:val="009A67B0"/>
    <w:pPr>
      <w:numPr>
        <w:ilvl w:val="1"/>
        <w:numId w:val="28"/>
      </w:numPr>
      <w:tabs>
        <w:tab w:val="num" w:pos="360"/>
      </w:tabs>
      <w:ind w:left="0" w:firstLine="0"/>
    </w:pPr>
  </w:style>
  <w:style w:type="paragraph" w:customStyle="1" w:styleId="Tablelistnumber">
    <w:name w:val="Table list number"/>
    <w:uiPriority w:val="3"/>
    <w:rsid w:val="00520ED6"/>
    <w:pPr>
      <w:numPr>
        <w:numId w:val="21"/>
      </w:numPr>
      <w:spacing w:before="40" w:after="40" w:line="240" w:lineRule="auto"/>
    </w:pPr>
    <w:rPr>
      <w:rFonts w:ascii="Arial" w:hAnsi="Arial"/>
      <w:color w:val="000000"/>
      <w:sz w:val="16"/>
      <w:lang w:eastAsia="en-US"/>
    </w:rPr>
  </w:style>
  <w:style w:type="paragraph" w:styleId="TableofFigures">
    <w:name w:val="table of figures"/>
    <w:basedOn w:val="BodyText"/>
    <w:next w:val="BodyText"/>
    <w:autoRedefine/>
    <w:uiPriority w:val="99"/>
    <w:rsid w:val="009949E9"/>
    <w:pPr>
      <w:tabs>
        <w:tab w:val="left" w:pos="1021"/>
        <w:tab w:val="right" w:pos="7371"/>
      </w:tabs>
      <w:spacing w:before="40" w:line="240" w:lineRule="auto"/>
      <w:ind w:left="1021" w:right="680" w:hanging="1021"/>
    </w:pPr>
    <w:rPr>
      <w:rFonts w:asciiTheme="majorHAnsi" w:hAnsiTheme="majorHAnsi"/>
      <w:sz w:val="18"/>
    </w:rPr>
  </w:style>
  <w:style w:type="paragraph" w:customStyle="1" w:styleId="Tableunitsrow">
    <w:name w:val="Table units row"/>
    <w:basedOn w:val="Tablecolumnheadings"/>
    <w:uiPriority w:val="3"/>
    <w:rsid w:val="009949E9"/>
    <w:pPr>
      <w:spacing w:before="40"/>
    </w:pPr>
    <w:rPr>
      <w:color w:val="auto"/>
    </w:rPr>
  </w:style>
  <w:style w:type="paragraph" w:styleId="TOC3">
    <w:name w:val="toc 3"/>
    <w:basedOn w:val="TOC2"/>
    <w:next w:val="BodyText"/>
    <w:autoRedefine/>
    <w:uiPriority w:val="39"/>
    <w:rsid w:val="009949E9"/>
    <w:pPr>
      <w:tabs>
        <w:tab w:val="clear" w:pos="794"/>
        <w:tab w:val="left" w:pos="1361"/>
      </w:tabs>
      <w:ind w:left="1361" w:hanging="567"/>
    </w:pPr>
  </w:style>
  <w:style w:type="paragraph" w:customStyle="1" w:styleId="Footerlandscape">
    <w:name w:val="Footer landscape"/>
    <w:basedOn w:val="PageNumberLandscape"/>
    <w:semiHidden/>
    <w:rsid w:val="00C249C7"/>
    <w:pPr>
      <w:framePr w:wrap="around" w:hAnchor="text"/>
      <w:jc w:val="left"/>
    </w:pPr>
  </w:style>
  <w:style w:type="character" w:customStyle="1" w:styleId="PlaceholderTitle">
    <w:name w:val="Placeholder Title"/>
    <w:rsid w:val="00C249C7"/>
    <w:rPr>
      <w:b/>
      <w:color w:val="000000"/>
    </w:rPr>
  </w:style>
  <w:style w:type="paragraph" w:customStyle="1" w:styleId="Reference">
    <w:name w:val="Reference"/>
    <w:basedOn w:val="BodyText"/>
    <w:uiPriority w:val="99"/>
    <w:rsid w:val="00C249C7"/>
    <w:pPr>
      <w:spacing w:before="100" w:line="240" w:lineRule="auto"/>
      <w:ind w:left="340" w:hanging="340"/>
    </w:pPr>
    <w:rPr>
      <w:sz w:val="21"/>
    </w:rPr>
  </w:style>
  <w:style w:type="paragraph" w:styleId="ListNumber2">
    <w:name w:val="List Number 2"/>
    <w:basedOn w:val="ListNumber"/>
    <w:uiPriority w:val="2"/>
    <w:rsid w:val="00013650"/>
    <w:pPr>
      <w:numPr>
        <w:ilvl w:val="1"/>
      </w:numPr>
      <w:spacing w:before="40" w:after="40" w:line="260" w:lineRule="exact"/>
    </w:pPr>
  </w:style>
  <w:style w:type="paragraph" w:customStyle="1" w:styleId="LastBoxRow">
    <w:name w:val="LastBoxRow"/>
    <w:basedOn w:val="BoxText"/>
    <w:uiPriority w:val="99"/>
    <w:semiHidden/>
    <w:rsid w:val="00C249C7"/>
    <w:rPr>
      <w:sz w:val="8"/>
      <w:szCs w:val="8"/>
    </w:rPr>
  </w:style>
  <w:style w:type="paragraph" w:styleId="BodyText3">
    <w:name w:val="Body Text 3"/>
    <w:basedOn w:val="Normal"/>
    <w:semiHidden/>
    <w:rsid w:val="00C249C7"/>
    <w:rPr>
      <w:sz w:val="16"/>
    </w:rPr>
  </w:style>
  <w:style w:type="paragraph" w:styleId="ListBullet4">
    <w:name w:val="List Bullet 4"/>
    <w:basedOn w:val="Normal"/>
    <w:semiHidden/>
    <w:rsid w:val="00C249C7"/>
    <w:pPr>
      <w:numPr>
        <w:numId w:val="1"/>
      </w:numPr>
    </w:pPr>
  </w:style>
  <w:style w:type="paragraph" w:styleId="ListBullet5">
    <w:name w:val="List Bullet 5"/>
    <w:basedOn w:val="Normal"/>
    <w:semiHidden/>
    <w:rsid w:val="00C249C7"/>
    <w:pPr>
      <w:numPr>
        <w:numId w:val="2"/>
      </w:numPr>
    </w:pPr>
  </w:style>
  <w:style w:type="paragraph" w:customStyle="1" w:styleId="BoxListNumber2">
    <w:name w:val="Box List Number 2"/>
    <w:basedOn w:val="BoxListNumber"/>
    <w:uiPriority w:val="4"/>
    <w:rsid w:val="00C249C7"/>
    <w:pPr>
      <w:numPr>
        <w:ilvl w:val="1"/>
      </w:numPr>
    </w:pPr>
  </w:style>
  <w:style w:type="paragraph" w:customStyle="1" w:styleId="SideNoteopListBullet">
    <w:name w:val="Side Note op List Bullet"/>
    <w:basedOn w:val="SideNote"/>
    <w:uiPriority w:val="2"/>
    <w:rsid w:val="00C249C7"/>
    <w:pPr>
      <w:framePr w:wrap="around"/>
    </w:pPr>
  </w:style>
  <w:style w:type="paragraph" w:customStyle="1" w:styleId="OfficeAddress">
    <w:name w:val="OfficeAddress"/>
    <w:autoRedefine/>
    <w:semiHidden/>
    <w:rsid w:val="00C249C7"/>
    <w:pPr>
      <w:spacing w:before="0" w:line="240" w:lineRule="auto"/>
      <w:ind w:right="-291"/>
    </w:pPr>
    <w:rPr>
      <w:sz w:val="16"/>
      <w:szCs w:val="20"/>
      <w:lang w:eastAsia="en-AU"/>
    </w:rPr>
  </w:style>
  <w:style w:type="paragraph" w:customStyle="1" w:styleId="OfficeContact">
    <w:name w:val="OfficeContact"/>
    <w:autoRedefine/>
    <w:semiHidden/>
    <w:rsid w:val="00C249C7"/>
    <w:pPr>
      <w:spacing w:before="60" w:line="240" w:lineRule="auto"/>
    </w:pPr>
    <w:rPr>
      <w:sz w:val="16"/>
      <w:szCs w:val="20"/>
      <w:lang w:eastAsia="en-AU"/>
    </w:rPr>
  </w:style>
  <w:style w:type="paragraph" w:customStyle="1" w:styleId="OfficeEmail">
    <w:name w:val="OfficeEmail"/>
    <w:basedOn w:val="OfficeAddress"/>
    <w:autoRedefine/>
    <w:semiHidden/>
    <w:rsid w:val="00C249C7"/>
  </w:style>
  <w:style w:type="paragraph" w:styleId="BalloonText">
    <w:name w:val="Balloon Text"/>
    <w:basedOn w:val="Normal"/>
    <w:semiHidden/>
    <w:rsid w:val="00C249C7"/>
    <w:rPr>
      <w:rFonts w:ascii="Tahoma" w:hAnsi="Tahoma" w:cs="Tahoma"/>
      <w:sz w:val="16"/>
      <w:szCs w:val="16"/>
    </w:rPr>
  </w:style>
  <w:style w:type="paragraph" w:styleId="CommentSubject">
    <w:name w:val="annotation subject"/>
    <w:basedOn w:val="CommentText"/>
    <w:next w:val="CommentText"/>
    <w:semiHidden/>
    <w:rsid w:val="00C249C7"/>
    <w:pPr>
      <w:spacing w:before="0" w:line="240" w:lineRule="auto"/>
      <w:ind w:left="0" w:firstLine="0"/>
    </w:pPr>
    <w:rPr>
      <w:rFonts w:ascii="Garamond" w:hAnsi="Garamond"/>
      <w:b/>
      <w:bCs/>
      <w:sz w:val="20"/>
    </w:rPr>
  </w:style>
  <w:style w:type="paragraph" w:styleId="DocumentMap">
    <w:name w:val="Document Map"/>
    <w:basedOn w:val="Normal"/>
    <w:semiHidden/>
    <w:rsid w:val="00C249C7"/>
    <w:pPr>
      <w:shd w:val="clear" w:color="auto" w:fill="000080"/>
    </w:pPr>
    <w:rPr>
      <w:rFonts w:ascii="Tahoma" w:hAnsi="Tahoma" w:cs="Tahoma"/>
    </w:rPr>
  </w:style>
  <w:style w:type="character" w:styleId="EndnoteReference">
    <w:name w:val="endnote reference"/>
    <w:basedOn w:val="DefaultParagraphFont"/>
    <w:semiHidden/>
    <w:rsid w:val="00C249C7"/>
    <w:rPr>
      <w:vertAlign w:val="superscript"/>
    </w:rPr>
  </w:style>
  <w:style w:type="paragraph" w:styleId="EndnoteText">
    <w:name w:val="endnote text"/>
    <w:semiHidden/>
    <w:rsid w:val="00C249C7"/>
    <w:rPr>
      <w:lang w:eastAsia="en-US"/>
    </w:rPr>
  </w:style>
  <w:style w:type="paragraph" w:styleId="Index1">
    <w:name w:val="index 1"/>
    <w:basedOn w:val="Normal"/>
    <w:next w:val="Normal"/>
    <w:autoRedefine/>
    <w:uiPriority w:val="99"/>
    <w:semiHidden/>
    <w:rsid w:val="00C249C7"/>
    <w:pPr>
      <w:ind w:left="240" w:hanging="240"/>
    </w:pPr>
  </w:style>
  <w:style w:type="paragraph" w:styleId="Index2">
    <w:name w:val="index 2"/>
    <w:basedOn w:val="Normal"/>
    <w:next w:val="Normal"/>
    <w:autoRedefine/>
    <w:uiPriority w:val="99"/>
    <w:semiHidden/>
    <w:rsid w:val="00C249C7"/>
    <w:pPr>
      <w:ind w:left="480" w:hanging="240"/>
    </w:pPr>
  </w:style>
  <w:style w:type="paragraph" w:styleId="Index3">
    <w:name w:val="index 3"/>
    <w:basedOn w:val="Normal"/>
    <w:next w:val="Normal"/>
    <w:autoRedefine/>
    <w:uiPriority w:val="99"/>
    <w:semiHidden/>
    <w:rsid w:val="00C249C7"/>
    <w:pPr>
      <w:ind w:left="720" w:hanging="240"/>
    </w:pPr>
  </w:style>
  <w:style w:type="paragraph" w:styleId="Index4">
    <w:name w:val="index 4"/>
    <w:basedOn w:val="Normal"/>
    <w:next w:val="Normal"/>
    <w:autoRedefine/>
    <w:uiPriority w:val="99"/>
    <w:semiHidden/>
    <w:rsid w:val="00C249C7"/>
    <w:pPr>
      <w:ind w:left="960" w:hanging="240"/>
    </w:pPr>
  </w:style>
  <w:style w:type="paragraph" w:styleId="Index5">
    <w:name w:val="index 5"/>
    <w:basedOn w:val="Normal"/>
    <w:next w:val="Normal"/>
    <w:autoRedefine/>
    <w:semiHidden/>
    <w:rsid w:val="00C249C7"/>
    <w:pPr>
      <w:ind w:left="1200" w:hanging="240"/>
    </w:pPr>
  </w:style>
  <w:style w:type="paragraph" w:styleId="Index6">
    <w:name w:val="index 6"/>
    <w:basedOn w:val="Normal"/>
    <w:next w:val="Normal"/>
    <w:autoRedefine/>
    <w:semiHidden/>
    <w:rsid w:val="00C249C7"/>
    <w:pPr>
      <w:ind w:left="1440" w:hanging="240"/>
    </w:pPr>
  </w:style>
  <w:style w:type="paragraph" w:styleId="Index7">
    <w:name w:val="index 7"/>
    <w:basedOn w:val="Normal"/>
    <w:next w:val="Normal"/>
    <w:autoRedefine/>
    <w:semiHidden/>
    <w:rsid w:val="00C249C7"/>
    <w:pPr>
      <w:ind w:left="1680" w:hanging="240"/>
    </w:pPr>
  </w:style>
  <w:style w:type="paragraph" w:styleId="Index8">
    <w:name w:val="index 8"/>
    <w:basedOn w:val="Normal"/>
    <w:next w:val="Normal"/>
    <w:autoRedefine/>
    <w:semiHidden/>
    <w:rsid w:val="00C249C7"/>
    <w:pPr>
      <w:ind w:left="1920" w:hanging="240"/>
    </w:pPr>
  </w:style>
  <w:style w:type="paragraph" w:styleId="Index9">
    <w:name w:val="index 9"/>
    <w:basedOn w:val="Normal"/>
    <w:next w:val="Normal"/>
    <w:autoRedefine/>
    <w:semiHidden/>
    <w:rsid w:val="00C249C7"/>
    <w:pPr>
      <w:ind w:left="2160" w:hanging="240"/>
    </w:pPr>
  </w:style>
  <w:style w:type="paragraph" w:styleId="IndexHeading">
    <w:name w:val="index heading"/>
    <w:basedOn w:val="Normal"/>
    <w:next w:val="Index1"/>
    <w:uiPriority w:val="99"/>
    <w:semiHidden/>
    <w:rsid w:val="00C249C7"/>
    <w:rPr>
      <w:rFonts w:ascii="Arial" w:hAnsi="Arial" w:cs="Arial"/>
      <w:b/>
      <w:bCs/>
    </w:rPr>
  </w:style>
  <w:style w:type="paragraph" w:styleId="MacroText">
    <w:name w:val="macro"/>
    <w:semiHidden/>
    <w:rsid w:val="00C249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AU"/>
    </w:rPr>
  </w:style>
  <w:style w:type="paragraph" w:styleId="TableofAuthorities">
    <w:name w:val="table of authorities"/>
    <w:next w:val="Normal"/>
    <w:uiPriority w:val="99"/>
    <w:rsid w:val="00C249C7"/>
    <w:pPr>
      <w:ind w:left="240" w:hanging="240"/>
    </w:pPr>
    <w:rPr>
      <w:rFonts w:asciiTheme="minorHAnsi" w:hAnsiTheme="minorHAnsi"/>
      <w:lang w:eastAsia="en-US"/>
    </w:rPr>
  </w:style>
  <w:style w:type="paragraph" w:styleId="TOAHeading">
    <w:name w:val="toa heading"/>
    <w:basedOn w:val="Normal"/>
    <w:next w:val="Normal"/>
    <w:autoRedefine/>
    <w:rsid w:val="00C249C7"/>
    <w:rPr>
      <w:rFonts w:asciiTheme="majorHAnsi" w:hAnsiTheme="majorHAnsi" w:cs="Arial"/>
      <w:b/>
      <w:bCs/>
      <w:sz w:val="20"/>
    </w:rPr>
  </w:style>
  <w:style w:type="paragraph" w:styleId="TOC4">
    <w:name w:val="toc 4"/>
    <w:basedOn w:val="Normal"/>
    <w:next w:val="Normal"/>
    <w:autoRedefine/>
    <w:uiPriority w:val="39"/>
    <w:rsid w:val="009949E9"/>
    <w:pPr>
      <w:ind w:left="720"/>
    </w:pPr>
    <w:rPr>
      <w:rFonts w:asciiTheme="majorHAnsi" w:hAnsiTheme="majorHAnsi"/>
    </w:rPr>
  </w:style>
  <w:style w:type="paragraph" w:styleId="TOC5">
    <w:name w:val="toc 5"/>
    <w:basedOn w:val="Normal"/>
    <w:next w:val="Normal"/>
    <w:autoRedefine/>
    <w:uiPriority w:val="39"/>
    <w:rsid w:val="00F77AB7"/>
    <w:pPr>
      <w:tabs>
        <w:tab w:val="right" w:pos="7362"/>
      </w:tabs>
      <w:spacing w:before="600" w:after="0" w:line="260" w:lineRule="exact"/>
    </w:pPr>
    <w:rPr>
      <w:rFonts w:asciiTheme="majorHAnsi" w:hAnsiTheme="majorHAnsi"/>
      <w:b/>
      <w:smallCaps/>
      <w:noProof/>
      <w:color w:val="9757A6" w:themeColor="text2"/>
    </w:rPr>
  </w:style>
  <w:style w:type="paragraph" w:styleId="TOC6">
    <w:name w:val="toc 6"/>
    <w:basedOn w:val="Normal"/>
    <w:next w:val="Normal"/>
    <w:autoRedefine/>
    <w:uiPriority w:val="39"/>
    <w:rsid w:val="009949E9"/>
    <w:pPr>
      <w:tabs>
        <w:tab w:val="right" w:pos="7371"/>
      </w:tabs>
      <w:ind w:right="568"/>
    </w:pPr>
    <w:rPr>
      <w:rFonts w:asciiTheme="majorHAnsi" w:hAnsiTheme="majorHAnsi"/>
      <w:sz w:val="22"/>
    </w:rPr>
  </w:style>
  <w:style w:type="paragraph" w:styleId="TOC7">
    <w:name w:val="toc 7"/>
    <w:basedOn w:val="Normal"/>
    <w:next w:val="Normal"/>
    <w:autoRedefine/>
    <w:uiPriority w:val="39"/>
    <w:rsid w:val="009949E9"/>
    <w:pPr>
      <w:tabs>
        <w:tab w:val="right" w:pos="7371"/>
      </w:tabs>
      <w:ind w:left="1701" w:right="567" w:hanging="1701"/>
    </w:pPr>
    <w:rPr>
      <w:rFonts w:asciiTheme="majorHAnsi" w:hAnsiTheme="majorHAnsi"/>
      <w:noProof/>
      <w:sz w:val="22"/>
    </w:rPr>
  </w:style>
  <w:style w:type="paragraph" w:styleId="TOC8">
    <w:name w:val="toc 8"/>
    <w:basedOn w:val="Normal"/>
    <w:next w:val="Normal"/>
    <w:autoRedefine/>
    <w:uiPriority w:val="39"/>
    <w:rsid w:val="009949E9"/>
    <w:pPr>
      <w:tabs>
        <w:tab w:val="right" w:pos="7371"/>
      </w:tabs>
      <w:spacing w:before="500" w:after="0" w:line="260" w:lineRule="exact"/>
    </w:pPr>
    <w:rPr>
      <w:rFonts w:asciiTheme="majorHAnsi" w:hAnsiTheme="majorHAnsi"/>
      <w:b/>
      <w:noProof/>
      <w:color w:val="9757A6" w:themeColor="text2"/>
      <w:sz w:val="32"/>
    </w:rPr>
  </w:style>
  <w:style w:type="paragraph" w:styleId="TOC9">
    <w:name w:val="toc 9"/>
    <w:basedOn w:val="Normal"/>
    <w:next w:val="Normal"/>
    <w:autoRedefine/>
    <w:uiPriority w:val="39"/>
    <w:rsid w:val="009949E9"/>
    <w:pPr>
      <w:ind w:left="1920"/>
    </w:pPr>
    <w:rPr>
      <w:rFonts w:asciiTheme="majorHAnsi" w:hAnsiTheme="majorHAnsi"/>
      <w:sz w:val="52"/>
    </w:rPr>
  </w:style>
  <w:style w:type="numbering" w:styleId="ArticleSection">
    <w:name w:val="Outline List 3"/>
    <w:basedOn w:val="NoList"/>
    <w:semiHidden/>
    <w:rsid w:val="00C249C7"/>
    <w:pPr>
      <w:numPr>
        <w:numId w:val="7"/>
      </w:numPr>
    </w:pPr>
  </w:style>
  <w:style w:type="paragraph" w:styleId="BlockText">
    <w:name w:val="Block Text"/>
    <w:basedOn w:val="Normal"/>
    <w:semiHidden/>
    <w:rsid w:val="00C249C7"/>
    <w:pPr>
      <w:ind w:left="1440" w:right="1440"/>
    </w:pPr>
  </w:style>
  <w:style w:type="paragraph" w:styleId="BodyTextFirstIndent">
    <w:name w:val="Body Text First Indent"/>
    <w:basedOn w:val="BodyText"/>
    <w:semiHidden/>
    <w:rsid w:val="00C249C7"/>
    <w:pPr>
      <w:spacing w:before="0" w:line="240" w:lineRule="auto"/>
      <w:ind w:firstLine="210"/>
    </w:pPr>
  </w:style>
  <w:style w:type="paragraph" w:styleId="BodyTextIndent">
    <w:name w:val="Body Text Indent"/>
    <w:basedOn w:val="Normal"/>
    <w:semiHidden/>
    <w:rsid w:val="00C249C7"/>
    <w:pPr>
      <w:ind w:left="283"/>
    </w:pPr>
  </w:style>
  <w:style w:type="paragraph" w:styleId="BodyTextFirstIndent2">
    <w:name w:val="Body Text First Indent 2"/>
    <w:basedOn w:val="BodyTextIndent"/>
    <w:semiHidden/>
    <w:rsid w:val="00C249C7"/>
    <w:pPr>
      <w:ind w:firstLine="210"/>
    </w:pPr>
  </w:style>
  <w:style w:type="paragraph" w:styleId="BodyTextIndent2">
    <w:name w:val="Body Text Indent 2"/>
    <w:basedOn w:val="Normal"/>
    <w:semiHidden/>
    <w:rsid w:val="00C249C7"/>
    <w:pPr>
      <w:spacing w:line="480" w:lineRule="auto"/>
      <w:ind w:left="283"/>
    </w:pPr>
  </w:style>
  <w:style w:type="paragraph" w:styleId="BodyTextIndent3">
    <w:name w:val="Body Text Indent 3"/>
    <w:basedOn w:val="Normal"/>
    <w:semiHidden/>
    <w:rsid w:val="00C249C7"/>
    <w:pPr>
      <w:ind w:left="283"/>
    </w:pPr>
    <w:rPr>
      <w:sz w:val="16"/>
      <w:szCs w:val="16"/>
    </w:rPr>
  </w:style>
  <w:style w:type="paragraph" w:styleId="Closing">
    <w:name w:val="Closing"/>
    <w:basedOn w:val="Normal"/>
    <w:semiHidden/>
    <w:rsid w:val="00C249C7"/>
    <w:pPr>
      <w:ind w:left="4252"/>
    </w:pPr>
  </w:style>
  <w:style w:type="paragraph" w:styleId="E-mailSignature">
    <w:name w:val="E-mail Signature"/>
    <w:basedOn w:val="Normal"/>
    <w:semiHidden/>
    <w:rsid w:val="00C249C7"/>
  </w:style>
  <w:style w:type="character" w:styleId="Emphasis">
    <w:name w:val="Emphasis"/>
    <w:basedOn w:val="DefaultParagraphFont"/>
    <w:semiHidden/>
    <w:rsid w:val="00C249C7"/>
    <w:rPr>
      <w:i/>
      <w:iCs/>
    </w:rPr>
  </w:style>
  <w:style w:type="paragraph" w:styleId="EnvelopeAddress">
    <w:name w:val="envelope address"/>
    <w:basedOn w:val="Normal"/>
    <w:semiHidden/>
    <w:rsid w:val="00C249C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C249C7"/>
    <w:rPr>
      <w:rFonts w:ascii="Arial" w:hAnsi="Arial" w:cs="Arial"/>
    </w:rPr>
  </w:style>
  <w:style w:type="character" w:styleId="FollowedHyperlink">
    <w:name w:val="FollowedHyperlink"/>
    <w:basedOn w:val="DefaultParagraphFont"/>
    <w:semiHidden/>
    <w:rsid w:val="00C249C7"/>
    <w:rPr>
      <w:color w:val="800080"/>
      <w:u w:val="single"/>
    </w:rPr>
  </w:style>
  <w:style w:type="character" w:styleId="HTMLAcronym">
    <w:name w:val="HTML Acronym"/>
    <w:basedOn w:val="DefaultParagraphFont"/>
    <w:semiHidden/>
    <w:rsid w:val="00C249C7"/>
  </w:style>
  <w:style w:type="paragraph" w:styleId="HTMLAddress">
    <w:name w:val="HTML Address"/>
    <w:basedOn w:val="Normal"/>
    <w:semiHidden/>
    <w:rsid w:val="00C249C7"/>
    <w:rPr>
      <w:i/>
      <w:iCs/>
    </w:rPr>
  </w:style>
  <w:style w:type="character" w:styleId="HTMLCite">
    <w:name w:val="HTML Cite"/>
    <w:basedOn w:val="DefaultParagraphFont"/>
    <w:semiHidden/>
    <w:rsid w:val="00C249C7"/>
    <w:rPr>
      <w:i/>
      <w:iCs/>
    </w:rPr>
  </w:style>
  <w:style w:type="character" w:styleId="HTMLCode">
    <w:name w:val="HTML Code"/>
    <w:basedOn w:val="DefaultParagraphFont"/>
    <w:semiHidden/>
    <w:rsid w:val="00C249C7"/>
    <w:rPr>
      <w:rFonts w:ascii="Courier New" w:hAnsi="Courier New" w:cs="Courier New"/>
      <w:sz w:val="20"/>
      <w:szCs w:val="20"/>
    </w:rPr>
  </w:style>
  <w:style w:type="character" w:styleId="HTMLDefinition">
    <w:name w:val="HTML Definition"/>
    <w:basedOn w:val="DefaultParagraphFont"/>
    <w:semiHidden/>
    <w:rsid w:val="00C249C7"/>
    <w:rPr>
      <w:i/>
      <w:iCs/>
    </w:rPr>
  </w:style>
  <w:style w:type="character" w:styleId="HTMLKeyboard">
    <w:name w:val="HTML Keyboard"/>
    <w:basedOn w:val="DefaultParagraphFont"/>
    <w:semiHidden/>
    <w:rsid w:val="00C249C7"/>
    <w:rPr>
      <w:rFonts w:ascii="Courier New" w:hAnsi="Courier New" w:cs="Courier New"/>
      <w:sz w:val="20"/>
      <w:szCs w:val="20"/>
    </w:rPr>
  </w:style>
  <w:style w:type="paragraph" w:styleId="HTMLPreformatted">
    <w:name w:val="HTML Preformatted"/>
    <w:basedOn w:val="Normal"/>
    <w:semiHidden/>
    <w:rsid w:val="00C249C7"/>
    <w:rPr>
      <w:rFonts w:ascii="Courier New" w:hAnsi="Courier New" w:cs="Courier New"/>
    </w:rPr>
  </w:style>
  <w:style w:type="character" w:styleId="HTMLSample">
    <w:name w:val="HTML Sample"/>
    <w:basedOn w:val="DefaultParagraphFont"/>
    <w:semiHidden/>
    <w:rsid w:val="00C249C7"/>
    <w:rPr>
      <w:rFonts w:ascii="Courier New" w:hAnsi="Courier New" w:cs="Courier New"/>
    </w:rPr>
  </w:style>
  <w:style w:type="character" w:styleId="HTMLTypewriter">
    <w:name w:val="HTML Typewriter"/>
    <w:basedOn w:val="DefaultParagraphFont"/>
    <w:semiHidden/>
    <w:rsid w:val="00C249C7"/>
    <w:rPr>
      <w:rFonts w:ascii="Courier New" w:hAnsi="Courier New" w:cs="Courier New"/>
      <w:sz w:val="20"/>
      <w:szCs w:val="20"/>
    </w:rPr>
  </w:style>
  <w:style w:type="character" w:styleId="HTMLVariable">
    <w:name w:val="HTML Variable"/>
    <w:basedOn w:val="DefaultParagraphFont"/>
    <w:semiHidden/>
    <w:rsid w:val="00C249C7"/>
    <w:rPr>
      <w:i/>
      <w:iCs/>
    </w:rPr>
  </w:style>
  <w:style w:type="character" w:styleId="LineNumber">
    <w:name w:val="line number"/>
    <w:basedOn w:val="DefaultParagraphFont"/>
    <w:semiHidden/>
    <w:rsid w:val="00C249C7"/>
  </w:style>
  <w:style w:type="paragraph" w:styleId="List">
    <w:name w:val="List"/>
    <w:basedOn w:val="Normal"/>
    <w:semiHidden/>
    <w:rsid w:val="00C249C7"/>
    <w:pPr>
      <w:ind w:left="283" w:hanging="283"/>
    </w:pPr>
  </w:style>
  <w:style w:type="paragraph" w:styleId="List2">
    <w:name w:val="List 2"/>
    <w:basedOn w:val="Normal"/>
    <w:semiHidden/>
    <w:rsid w:val="00C249C7"/>
    <w:pPr>
      <w:ind w:left="566" w:hanging="283"/>
    </w:pPr>
  </w:style>
  <w:style w:type="paragraph" w:styleId="List3">
    <w:name w:val="List 3"/>
    <w:basedOn w:val="Normal"/>
    <w:semiHidden/>
    <w:rsid w:val="00C249C7"/>
    <w:pPr>
      <w:ind w:left="849" w:hanging="283"/>
    </w:pPr>
  </w:style>
  <w:style w:type="paragraph" w:styleId="List4">
    <w:name w:val="List 4"/>
    <w:basedOn w:val="Normal"/>
    <w:semiHidden/>
    <w:rsid w:val="00C249C7"/>
    <w:pPr>
      <w:ind w:left="1132" w:hanging="283"/>
    </w:pPr>
  </w:style>
  <w:style w:type="paragraph" w:styleId="List5">
    <w:name w:val="List 5"/>
    <w:basedOn w:val="Normal"/>
    <w:semiHidden/>
    <w:rsid w:val="00C249C7"/>
    <w:pPr>
      <w:ind w:left="1415" w:hanging="283"/>
    </w:pPr>
  </w:style>
  <w:style w:type="paragraph" w:styleId="ListContinue">
    <w:name w:val="List Continue"/>
    <w:basedOn w:val="Normal"/>
    <w:semiHidden/>
    <w:rsid w:val="00C249C7"/>
    <w:pPr>
      <w:ind w:left="283"/>
    </w:pPr>
  </w:style>
  <w:style w:type="paragraph" w:styleId="ListContinue2">
    <w:name w:val="List Continue 2"/>
    <w:basedOn w:val="Normal"/>
    <w:semiHidden/>
    <w:rsid w:val="00C249C7"/>
    <w:pPr>
      <w:ind w:left="566"/>
    </w:pPr>
  </w:style>
  <w:style w:type="paragraph" w:styleId="ListContinue3">
    <w:name w:val="List Continue 3"/>
    <w:basedOn w:val="Normal"/>
    <w:semiHidden/>
    <w:rsid w:val="00C249C7"/>
    <w:pPr>
      <w:ind w:left="849"/>
    </w:pPr>
  </w:style>
  <w:style w:type="paragraph" w:styleId="ListContinue4">
    <w:name w:val="List Continue 4"/>
    <w:basedOn w:val="Normal"/>
    <w:semiHidden/>
    <w:rsid w:val="00C249C7"/>
    <w:pPr>
      <w:ind w:left="1132"/>
    </w:pPr>
  </w:style>
  <w:style w:type="paragraph" w:styleId="ListContinue5">
    <w:name w:val="List Continue 5"/>
    <w:basedOn w:val="Normal"/>
    <w:semiHidden/>
    <w:rsid w:val="00C249C7"/>
    <w:pPr>
      <w:ind w:left="1415"/>
    </w:pPr>
  </w:style>
  <w:style w:type="paragraph" w:styleId="ListNumber3">
    <w:name w:val="List Number 3"/>
    <w:basedOn w:val="ListNumber2"/>
    <w:uiPriority w:val="2"/>
    <w:rsid w:val="00013650"/>
    <w:pPr>
      <w:numPr>
        <w:ilvl w:val="2"/>
      </w:numPr>
    </w:pPr>
  </w:style>
  <w:style w:type="paragraph" w:styleId="ListNumber4">
    <w:name w:val="List Number 4"/>
    <w:basedOn w:val="Normal"/>
    <w:semiHidden/>
    <w:rsid w:val="00C249C7"/>
    <w:pPr>
      <w:numPr>
        <w:numId w:val="3"/>
      </w:numPr>
    </w:pPr>
  </w:style>
  <w:style w:type="paragraph" w:styleId="ListNumber5">
    <w:name w:val="List Number 5"/>
    <w:basedOn w:val="Normal"/>
    <w:semiHidden/>
    <w:rsid w:val="00C249C7"/>
    <w:pPr>
      <w:numPr>
        <w:numId w:val="4"/>
      </w:numPr>
    </w:pPr>
  </w:style>
  <w:style w:type="paragraph" w:styleId="MessageHeader">
    <w:name w:val="Message Header"/>
    <w:basedOn w:val="Normal"/>
    <w:semiHidden/>
    <w:rsid w:val="00C249C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C249C7"/>
    <w:rPr>
      <w:rFonts w:ascii="Times New Roman" w:hAnsi="Times New Roman"/>
    </w:rPr>
  </w:style>
  <w:style w:type="paragraph" w:styleId="NormalIndent">
    <w:name w:val="Normal Indent"/>
    <w:basedOn w:val="Normal"/>
    <w:semiHidden/>
    <w:rsid w:val="00C249C7"/>
    <w:pPr>
      <w:ind w:left="720"/>
    </w:pPr>
  </w:style>
  <w:style w:type="paragraph" w:styleId="PlainText">
    <w:name w:val="Plain Text"/>
    <w:basedOn w:val="Normal"/>
    <w:semiHidden/>
    <w:rsid w:val="00C249C7"/>
    <w:rPr>
      <w:rFonts w:ascii="Courier New" w:hAnsi="Courier New" w:cs="Courier New"/>
    </w:rPr>
  </w:style>
  <w:style w:type="paragraph" w:styleId="Salutation">
    <w:name w:val="Salutation"/>
    <w:basedOn w:val="Normal"/>
    <w:next w:val="Normal"/>
    <w:semiHidden/>
    <w:rsid w:val="00C249C7"/>
  </w:style>
  <w:style w:type="paragraph" w:styleId="Signature">
    <w:name w:val="Signature"/>
    <w:basedOn w:val="Normal"/>
    <w:semiHidden/>
    <w:rsid w:val="00C249C7"/>
    <w:pPr>
      <w:ind w:left="4252"/>
    </w:pPr>
  </w:style>
  <w:style w:type="character" w:styleId="Strong">
    <w:name w:val="Strong"/>
    <w:basedOn w:val="DefaultParagraphFont"/>
    <w:semiHidden/>
    <w:rsid w:val="00C249C7"/>
    <w:rPr>
      <w:b/>
      <w:bCs/>
    </w:rPr>
  </w:style>
  <w:style w:type="table" w:styleId="Table3Deffects1">
    <w:name w:val="Table 3D effects 1"/>
    <w:basedOn w:val="TableNormal"/>
    <w:semiHidden/>
    <w:rsid w:val="00C249C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249C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249C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249C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249C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249C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249C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249C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249C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249C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249C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249C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249C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249C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249C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249C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24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C249C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249C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249C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249C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249C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249C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249C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249C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semiHidden/>
    <w:rsid w:val="00C249C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249C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249C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249C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249C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249C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249C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249C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249C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249C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249C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24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249C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249C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249C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
    <w:name w:val="Table"/>
    <w:uiPriority w:val="4"/>
    <w:rsid w:val="00C249C7"/>
    <w:pPr>
      <w:spacing w:before="40" w:after="40" w:line="240" w:lineRule="auto"/>
    </w:pPr>
    <w:rPr>
      <w:rFonts w:ascii="Arial" w:hAnsi="Arial"/>
      <w:color w:val="000000"/>
      <w:sz w:val="16"/>
      <w:lang w:eastAsia="en-AU"/>
    </w:rPr>
  </w:style>
  <w:style w:type="paragraph" w:customStyle="1" w:styleId="QuoteListBullet">
    <w:name w:val="Quote List Bullet"/>
    <w:basedOn w:val="Quote"/>
    <w:uiPriority w:val="4"/>
    <w:qFormat/>
    <w:rsid w:val="00C249C7"/>
    <w:pPr>
      <w:numPr>
        <w:numId w:val="9"/>
      </w:numPr>
    </w:pPr>
    <w:rPr>
      <w:szCs w:val="18"/>
    </w:rPr>
  </w:style>
  <w:style w:type="paragraph" w:customStyle="1" w:styleId="AppendixFooterlandscape">
    <w:name w:val="AppendixFooter landscape"/>
    <w:uiPriority w:val="99"/>
    <w:semiHidden/>
    <w:rsid w:val="00C249C7"/>
    <w:pPr>
      <w:framePr w:wrap="around" w:vAnchor="text" w:hAnchor="margin" w:xAlign="right" w:y="1"/>
      <w:spacing w:line="200" w:lineRule="exact"/>
      <w:ind w:right="40"/>
      <w:jc w:val="both"/>
    </w:pPr>
    <w:rPr>
      <w:rFonts w:ascii="Century Gothic" w:hAnsi="Century Gothic"/>
      <w:b/>
      <w:sz w:val="16"/>
      <w:lang w:eastAsia="en-AU"/>
    </w:rPr>
  </w:style>
  <w:style w:type="paragraph" w:customStyle="1" w:styleId="AppendixLandscapePageNumber">
    <w:name w:val="AppendixLandscapePage Number"/>
    <w:basedOn w:val="Normal"/>
    <w:semiHidden/>
    <w:rsid w:val="00C249C7"/>
    <w:pPr>
      <w:framePr w:wrap="around" w:vAnchor="text" w:hAnchor="margin" w:xAlign="right" w:y="1"/>
      <w:spacing w:before="40"/>
      <w:ind w:left="-142" w:right="40"/>
      <w:jc w:val="right"/>
    </w:pPr>
    <w:rPr>
      <w:rFonts w:ascii="Century Gothic" w:hAnsi="Century Gothic"/>
      <w:sz w:val="16"/>
    </w:rPr>
  </w:style>
  <w:style w:type="character" w:customStyle="1" w:styleId="Heading1Char">
    <w:name w:val="Heading 1 Char"/>
    <w:basedOn w:val="DefaultParagraphFont"/>
    <w:link w:val="Heading1"/>
    <w:rsid w:val="0071248D"/>
    <w:rPr>
      <w:rFonts w:asciiTheme="majorHAnsi" w:hAnsiTheme="majorHAnsi"/>
      <w:b/>
      <w:color w:val="FFFFFF" w:themeColor="background1"/>
      <w:kern w:val="28"/>
      <w:sz w:val="38"/>
      <w:szCs w:val="38"/>
      <w:shd w:val="clear" w:color="auto" w:fill="9757A6"/>
      <w:lang w:eastAsia="en-AU"/>
    </w:rPr>
  </w:style>
  <w:style w:type="paragraph" w:customStyle="1" w:styleId="LastTableRow">
    <w:name w:val="LastTableRow"/>
    <w:basedOn w:val="Tablebody"/>
    <w:uiPriority w:val="99"/>
    <w:semiHidden/>
    <w:rsid w:val="00C249C7"/>
  </w:style>
  <w:style w:type="paragraph" w:customStyle="1" w:styleId="HeaderLandscape">
    <w:name w:val="HeaderLandscape"/>
    <w:semiHidden/>
    <w:rsid w:val="00C249C7"/>
    <w:pPr>
      <w:spacing w:before="0" w:line="240" w:lineRule="auto"/>
    </w:pPr>
    <w:rPr>
      <w:rFonts w:asciiTheme="minorHAnsi" w:hAnsiTheme="minorHAnsi"/>
      <w:sz w:val="14"/>
      <w:szCs w:val="16"/>
      <w:lang w:eastAsia="en-US"/>
    </w:rPr>
  </w:style>
  <w:style w:type="character" w:customStyle="1" w:styleId="HeaderChar">
    <w:name w:val="Header Char"/>
    <w:basedOn w:val="DefaultParagraphFont"/>
    <w:link w:val="Header"/>
    <w:rsid w:val="00C249C7"/>
    <w:rPr>
      <w:rFonts w:asciiTheme="minorHAnsi" w:hAnsiTheme="minorHAnsi"/>
      <w:noProof/>
      <w:sz w:val="16"/>
      <w:lang w:eastAsia="en-AU"/>
    </w:rPr>
  </w:style>
  <w:style w:type="character" w:customStyle="1" w:styleId="FooterChar">
    <w:name w:val="Footer Char"/>
    <w:basedOn w:val="DefaultParagraphFont"/>
    <w:link w:val="Footer"/>
    <w:uiPriority w:val="99"/>
    <w:rsid w:val="00C249C7"/>
    <w:rPr>
      <w:rFonts w:asciiTheme="minorHAnsi" w:hAnsiTheme="minorHAnsi"/>
      <w:sz w:val="14"/>
      <w:lang w:eastAsia="en-US"/>
    </w:rPr>
  </w:style>
  <w:style w:type="paragraph" w:customStyle="1" w:styleId="Contact">
    <w:name w:val="Contact"/>
    <w:basedOn w:val="OfficeAddress"/>
    <w:rsid w:val="00180AC7"/>
    <w:pPr>
      <w:spacing w:after="120" w:line="200" w:lineRule="exact"/>
      <w:ind w:left="113" w:right="-289"/>
    </w:pPr>
    <w:rPr>
      <w:rFonts w:asciiTheme="majorHAnsi" w:hAnsiTheme="majorHAnsi"/>
      <w:caps/>
      <w:sz w:val="14"/>
    </w:rPr>
  </w:style>
  <w:style w:type="paragraph" w:customStyle="1" w:styleId="BoxQuoteListBullet">
    <w:name w:val="Box Quote List Bullet"/>
    <w:basedOn w:val="BoxQuote"/>
    <w:uiPriority w:val="4"/>
    <w:rsid w:val="00EE1A65"/>
    <w:pPr>
      <w:numPr>
        <w:numId w:val="23"/>
      </w:numPr>
      <w:spacing w:before="40"/>
    </w:pPr>
  </w:style>
  <w:style w:type="paragraph" w:styleId="Bibliography">
    <w:name w:val="Bibliography"/>
    <w:basedOn w:val="Reference"/>
    <w:next w:val="BodyText"/>
    <w:uiPriority w:val="37"/>
    <w:semiHidden/>
    <w:rsid w:val="00C249C7"/>
  </w:style>
  <w:style w:type="table" w:customStyle="1" w:styleId="LightShading1">
    <w:name w:val="Light Shading1"/>
    <w:basedOn w:val="TableNormal"/>
    <w:uiPriority w:val="60"/>
    <w:rsid w:val="00C249C7"/>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quation">
    <w:name w:val="Equation"/>
    <w:basedOn w:val="BodyText"/>
    <w:next w:val="BodyText"/>
    <w:uiPriority w:val="8"/>
    <w:rsid w:val="00C249C7"/>
    <w:pPr>
      <w:spacing w:before="0" w:after="60" w:line="240" w:lineRule="auto"/>
      <w:jc w:val="center"/>
    </w:pPr>
  </w:style>
  <w:style w:type="character" w:styleId="PlaceholderText">
    <w:name w:val="Placeholder Text"/>
    <w:basedOn w:val="DefaultParagraphFont"/>
    <w:uiPriority w:val="99"/>
    <w:semiHidden/>
    <w:rsid w:val="00C249C7"/>
    <w:rPr>
      <w:color w:val="808080"/>
    </w:rPr>
  </w:style>
  <w:style w:type="paragraph" w:customStyle="1" w:styleId="Subject">
    <w:name w:val="Subject"/>
    <w:semiHidden/>
    <w:rsid w:val="00C249C7"/>
    <w:pPr>
      <w:spacing w:before="0"/>
    </w:pPr>
    <w:rPr>
      <w:rFonts w:ascii="Century Gothic" w:hAnsi="Century Gothic"/>
      <w:b/>
      <w:color w:val="000080"/>
      <w:szCs w:val="20"/>
      <w:lang w:eastAsia="en-US"/>
    </w:rPr>
  </w:style>
  <w:style w:type="paragraph" w:customStyle="1" w:styleId="Email">
    <w:name w:val="Email"/>
    <w:basedOn w:val="Normal"/>
    <w:semiHidden/>
    <w:rsid w:val="00C249C7"/>
    <w:pPr>
      <w:spacing w:before="0" w:line="240" w:lineRule="auto"/>
      <w:outlineLvl w:val="0"/>
    </w:pPr>
    <w:rPr>
      <w:sz w:val="23"/>
      <w:szCs w:val="20"/>
    </w:rPr>
  </w:style>
  <w:style w:type="paragraph" w:customStyle="1" w:styleId="SignatureBlock">
    <w:name w:val="Signature Block"/>
    <w:basedOn w:val="LetterName"/>
    <w:uiPriority w:val="6"/>
    <w:rsid w:val="00610859"/>
    <w:pPr>
      <w:spacing w:line="240" w:lineRule="auto"/>
    </w:pPr>
  </w:style>
  <w:style w:type="paragraph" w:customStyle="1" w:styleId="Address">
    <w:name w:val="Address"/>
    <w:basedOn w:val="BodyText"/>
    <w:uiPriority w:val="99"/>
    <w:semiHidden/>
    <w:rsid w:val="00C249C7"/>
  </w:style>
  <w:style w:type="paragraph" w:customStyle="1" w:styleId="OfficeDarwin">
    <w:name w:val="OfficeDarwin"/>
    <w:basedOn w:val="Office"/>
    <w:uiPriority w:val="99"/>
    <w:semiHidden/>
    <w:rsid w:val="00C249C7"/>
    <w:pPr>
      <w:spacing w:before="540"/>
      <w:ind w:right="-289"/>
    </w:pPr>
  </w:style>
  <w:style w:type="paragraph" w:customStyle="1" w:styleId="OfficeSydney">
    <w:name w:val="OfficeSydney"/>
    <w:basedOn w:val="Office"/>
    <w:uiPriority w:val="99"/>
    <w:semiHidden/>
    <w:rsid w:val="00C249C7"/>
    <w:pPr>
      <w:spacing w:before="640"/>
      <w:ind w:right="-289"/>
    </w:pPr>
  </w:style>
  <w:style w:type="paragraph" w:customStyle="1" w:styleId="Tablelistnumber2">
    <w:name w:val="Table list number 2"/>
    <w:basedOn w:val="Tablelistnumber"/>
    <w:uiPriority w:val="3"/>
    <w:rsid w:val="00520ED6"/>
    <w:pPr>
      <w:numPr>
        <w:ilvl w:val="1"/>
      </w:numPr>
    </w:pPr>
  </w:style>
  <w:style w:type="paragraph" w:customStyle="1" w:styleId="BoxListNumber3">
    <w:name w:val="Box List Number 3"/>
    <w:basedOn w:val="BoxListNumber2"/>
    <w:uiPriority w:val="4"/>
    <w:rsid w:val="00C249C7"/>
    <w:pPr>
      <w:numPr>
        <w:ilvl w:val="2"/>
      </w:numPr>
    </w:pPr>
  </w:style>
  <w:style w:type="paragraph" w:customStyle="1" w:styleId="Tablelistnumber3">
    <w:name w:val="Table list number 3"/>
    <w:basedOn w:val="Tablelistnumber2"/>
    <w:uiPriority w:val="3"/>
    <w:rsid w:val="00520ED6"/>
    <w:pPr>
      <w:numPr>
        <w:ilvl w:val="2"/>
      </w:numPr>
    </w:pPr>
    <w:rPr>
      <w:rFonts w:cs="Arial"/>
      <w:szCs w:val="16"/>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
    <w:basedOn w:val="DefaultParagraphFont"/>
    <w:link w:val="BodyText"/>
    <w:rsid w:val="00F259AE"/>
    <w:rPr>
      <w:rFonts w:asciiTheme="minorHAnsi" w:hAnsiTheme="minorHAnsi"/>
      <w:szCs w:val="22"/>
      <w:lang w:eastAsia="en-AU"/>
    </w:rPr>
  </w:style>
  <w:style w:type="numbering" w:styleId="111111">
    <w:name w:val="Outline List 2"/>
    <w:basedOn w:val="NoList"/>
    <w:uiPriority w:val="99"/>
    <w:semiHidden/>
    <w:unhideWhenUsed/>
    <w:rsid w:val="00C249C7"/>
    <w:pPr>
      <w:numPr>
        <w:numId w:val="6"/>
      </w:numPr>
    </w:pPr>
  </w:style>
  <w:style w:type="numbering" w:styleId="1ai">
    <w:name w:val="Outline List 1"/>
    <w:basedOn w:val="NoList"/>
    <w:uiPriority w:val="99"/>
    <w:semiHidden/>
    <w:unhideWhenUsed/>
    <w:rsid w:val="00C249C7"/>
    <w:pPr>
      <w:numPr>
        <w:numId w:val="5"/>
      </w:numPr>
    </w:pPr>
  </w:style>
  <w:style w:type="character" w:styleId="BookTitle">
    <w:name w:val="Book Title"/>
    <w:basedOn w:val="DefaultParagraphFont"/>
    <w:uiPriority w:val="33"/>
    <w:semiHidden/>
    <w:rsid w:val="00C249C7"/>
    <w:rPr>
      <w:b/>
      <w:bCs/>
      <w:smallCaps/>
      <w:spacing w:val="5"/>
    </w:rPr>
  </w:style>
  <w:style w:type="table" w:styleId="ColorfulGrid">
    <w:name w:val="Colorful Grid"/>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ColorfulGrid-Accent2">
    <w:name w:val="Colorful Grid Accent 2"/>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ColorfulGrid-Accent3">
    <w:name w:val="Colorful Grid Accent 3"/>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ColorfulGrid-Accent5">
    <w:name w:val="Colorful Grid Accent 5"/>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ColorfulGrid-Accent6">
    <w:name w:val="Colorful Grid Accent 6"/>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ColorfulList">
    <w:name w:val="Colorful List"/>
    <w:basedOn w:val="TableNormal"/>
    <w:uiPriority w:val="72"/>
    <w:rsid w:val="00C249C7"/>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249C7"/>
    <w:pPr>
      <w:spacing w:before="0" w:line="240" w:lineRule="auto"/>
    </w:pPr>
    <w:rPr>
      <w:color w:val="000000" w:themeColor="text1"/>
    </w:rPr>
    <w:tblPr>
      <w:tblStyleRowBandSize w:val="1"/>
      <w:tblStyleColBandSize w:val="1"/>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styleId="ColorfulList-Accent2">
    <w:name w:val="Colorful List Accent 2"/>
    <w:basedOn w:val="TableNormal"/>
    <w:uiPriority w:val="72"/>
    <w:rsid w:val="00C249C7"/>
    <w:pPr>
      <w:spacing w:before="0" w:line="240" w:lineRule="auto"/>
    </w:pPr>
    <w:rPr>
      <w:color w:val="000000" w:themeColor="text1"/>
    </w:rPr>
    <w:tblPr>
      <w:tblStyleRowBandSize w:val="1"/>
      <w:tblStyleColBandSize w:val="1"/>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styleId="ColorfulList-Accent3">
    <w:name w:val="Colorful List Accent 3"/>
    <w:basedOn w:val="TableNormal"/>
    <w:uiPriority w:val="72"/>
    <w:rsid w:val="00C249C7"/>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C249C7"/>
    <w:pPr>
      <w:spacing w:before="0" w:line="240" w:lineRule="auto"/>
    </w:pPr>
    <w:rPr>
      <w:color w:val="000000" w:themeColor="text1"/>
    </w:rPr>
    <w:tblPr>
      <w:tblStyleRowBandSize w:val="1"/>
      <w:tblStyleColBandSize w:val="1"/>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styleId="ColorfulList-Accent5">
    <w:name w:val="Colorful List Accent 5"/>
    <w:basedOn w:val="TableNormal"/>
    <w:uiPriority w:val="72"/>
    <w:rsid w:val="00C249C7"/>
    <w:pPr>
      <w:spacing w:before="0" w:line="240" w:lineRule="auto"/>
    </w:pPr>
    <w:rPr>
      <w:color w:val="000000" w:themeColor="text1"/>
    </w:rPr>
    <w:tblPr>
      <w:tblStyleRowBandSize w:val="1"/>
      <w:tblStyleColBandSize w:val="1"/>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styleId="ColorfulList-Accent6">
    <w:name w:val="Colorful List Accent 6"/>
    <w:basedOn w:val="TableNormal"/>
    <w:uiPriority w:val="72"/>
    <w:rsid w:val="00C249C7"/>
    <w:pPr>
      <w:spacing w:before="0" w:line="240" w:lineRule="auto"/>
    </w:pPr>
    <w:rPr>
      <w:color w:val="000000" w:themeColor="text1"/>
    </w:rPr>
    <w:tblPr>
      <w:tblStyleRowBandSize w:val="1"/>
      <w:tblStyleColBandSize w:val="1"/>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styleId="ColorfulShading">
    <w:name w:val="Colorful Shading"/>
    <w:basedOn w:val="TableNormal"/>
    <w:uiPriority w:val="71"/>
    <w:rsid w:val="00C249C7"/>
    <w:pPr>
      <w:spacing w:before="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249C7"/>
    <w:pPr>
      <w:spacing w:before="0" w:line="240" w:lineRule="auto"/>
    </w:pPr>
    <w:rPr>
      <w:color w:val="000000" w:themeColor="text1"/>
    </w:rPr>
    <w:tblPr>
      <w:tblStyleRowBandSize w:val="1"/>
      <w:tblStyleColBandSize w:val="1"/>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249C7"/>
    <w:pPr>
      <w:spacing w:before="0" w:line="240" w:lineRule="auto"/>
    </w:pPr>
    <w:rPr>
      <w:color w:val="000000" w:themeColor="text1"/>
    </w:rPr>
    <w:tblPr>
      <w:tblStyleRowBandSize w:val="1"/>
      <w:tblStyleColBandSize w:val="1"/>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249C7"/>
    <w:pPr>
      <w:spacing w:before="0" w:line="240" w:lineRule="auto"/>
    </w:pPr>
    <w:rPr>
      <w:color w:val="000000" w:themeColor="text1"/>
    </w:rPr>
    <w:tblPr>
      <w:tblStyleRowBandSize w:val="1"/>
      <w:tblStyleColBandSize w:val="1"/>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C249C7"/>
    <w:pPr>
      <w:spacing w:before="0" w:line="240" w:lineRule="auto"/>
    </w:pPr>
    <w:rPr>
      <w:color w:val="000000" w:themeColor="text1"/>
    </w:rPr>
    <w:tblPr>
      <w:tblStyleRowBandSize w:val="1"/>
      <w:tblStyleColBandSize w:val="1"/>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249C7"/>
    <w:pPr>
      <w:spacing w:before="0" w:line="240" w:lineRule="auto"/>
    </w:pPr>
    <w:rPr>
      <w:color w:val="000000" w:themeColor="text1"/>
    </w:rPr>
    <w:tblPr>
      <w:tblStyleRowBandSize w:val="1"/>
      <w:tblStyleColBandSize w:val="1"/>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249C7"/>
    <w:pPr>
      <w:spacing w:before="0" w:line="240" w:lineRule="auto"/>
    </w:pPr>
    <w:rPr>
      <w:color w:val="000000" w:themeColor="text1"/>
    </w:rPr>
    <w:tblPr>
      <w:tblStyleRowBandSize w:val="1"/>
      <w:tblStyleColBandSize w:val="1"/>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C249C7"/>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249C7"/>
    <w:pPr>
      <w:spacing w:before="0" w:line="240" w:lineRule="auto"/>
    </w:pPr>
    <w:rPr>
      <w:color w:val="FFFFFF" w:themeColor="background1"/>
    </w:rPr>
    <w:tblPr>
      <w:tblStyleRowBandSize w:val="1"/>
      <w:tblStyleColBandSize w:val="1"/>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rsid w:val="00C249C7"/>
    <w:pPr>
      <w:spacing w:before="0" w:line="240" w:lineRule="auto"/>
    </w:pPr>
    <w:rPr>
      <w:color w:val="FFFFFF" w:themeColor="background1"/>
    </w:rPr>
    <w:tblPr>
      <w:tblStyleRowBandSize w:val="1"/>
      <w:tblStyleColBandSize w:val="1"/>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rsid w:val="00C249C7"/>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C249C7"/>
    <w:pPr>
      <w:spacing w:before="0" w:line="240" w:lineRule="auto"/>
    </w:pPr>
    <w:rPr>
      <w:color w:val="FFFFFF" w:themeColor="background1"/>
    </w:rPr>
    <w:tblPr>
      <w:tblStyleRowBandSize w:val="1"/>
      <w:tblStyleColBandSize w:val="1"/>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rsid w:val="00C249C7"/>
    <w:pPr>
      <w:spacing w:before="0" w:line="240" w:lineRule="auto"/>
    </w:pPr>
    <w:rPr>
      <w:color w:val="FFFFFF" w:themeColor="background1"/>
    </w:rPr>
    <w:tblPr>
      <w:tblStyleRowBandSize w:val="1"/>
      <w:tblStyleColBandSize w:val="1"/>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rsid w:val="00C249C7"/>
    <w:pPr>
      <w:spacing w:before="0" w:line="240" w:lineRule="auto"/>
    </w:pPr>
    <w:rPr>
      <w:color w:val="FFFFFF" w:themeColor="background1"/>
    </w:rPr>
    <w:tblPr>
      <w:tblStyleRowBandSize w:val="1"/>
      <w:tblStyleColBandSize w:val="1"/>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paragraph" w:styleId="Date">
    <w:name w:val="Date"/>
    <w:next w:val="Normal"/>
    <w:link w:val="DateChar"/>
    <w:rsid w:val="00C249C7"/>
    <w:pPr>
      <w:spacing w:before="0" w:line="240" w:lineRule="auto"/>
    </w:pPr>
    <w:rPr>
      <w:rFonts w:asciiTheme="majorHAnsi" w:hAnsiTheme="majorHAnsi"/>
      <w:caps/>
      <w:sz w:val="20"/>
      <w:lang w:eastAsia="en-US"/>
    </w:rPr>
  </w:style>
  <w:style w:type="character" w:customStyle="1" w:styleId="DateChar">
    <w:name w:val="Date Char"/>
    <w:basedOn w:val="DefaultParagraphFont"/>
    <w:link w:val="Date"/>
    <w:rsid w:val="00C249C7"/>
    <w:rPr>
      <w:rFonts w:asciiTheme="majorHAnsi" w:hAnsiTheme="majorHAnsi"/>
      <w:caps/>
      <w:sz w:val="20"/>
      <w:lang w:eastAsia="en-US"/>
    </w:rPr>
  </w:style>
  <w:style w:type="character" w:styleId="IntenseEmphasis">
    <w:name w:val="Intense Emphasis"/>
    <w:basedOn w:val="DefaultParagraphFont"/>
    <w:uiPriority w:val="99"/>
    <w:semiHidden/>
    <w:rsid w:val="00C249C7"/>
    <w:rPr>
      <w:b/>
      <w:bCs/>
      <w:i/>
      <w:iCs/>
      <w:color w:val="9757A6" w:themeColor="accent1"/>
    </w:rPr>
  </w:style>
  <w:style w:type="paragraph" w:styleId="IntenseQuote">
    <w:name w:val="Intense Quote"/>
    <w:basedOn w:val="Normal"/>
    <w:next w:val="Normal"/>
    <w:link w:val="IntenseQuoteChar"/>
    <w:uiPriority w:val="99"/>
    <w:semiHidden/>
    <w:rsid w:val="00C249C7"/>
    <w:pPr>
      <w:pBdr>
        <w:bottom w:val="single" w:sz="4" w:space="4" w:color="9757A6" w:themeColor="accent1"/>
      </w:pBdr>
      <w:spacing w:before="200" w:after="280"/>
      <w:ind w:left="936" w:right="936"/>
    </w:pPr>
    <w:rPr>
      <w:rFonts w:ascii="Garamond" w:hAnsi="Garamond"/>
      <w:b/>
      <w:bCs/>
      <w:i/>
      <w:iCs/>
      <w:color w:val="9757A6" w:themeColor="accent1"/>
    </w:rPr>
  </w:style>
  <w:style w:type="character" w:customStyle="1" w:styleId="IntenseQuoteChar">
    <w:name w:val="Intense Quote Char"/>
    <w:basedOn w:val="DefaultParagraphFont"/>
    <w:link w:val="IntenseQuote"/>
    <w:uiPriority w:val="99"/>
    <w:semiHidden/>
    <w:rsid w:val="00C249C7"/>
    <w:rPr>
      <w:b/>
      <w:bCs/>
      <w:i/>
      <w:iCs/>
      <w:color w:val="9757A6" w:themeColor="accent1"/>
      <w:lang w:eastAsia="en-US"/>
    </w:rPr>
  </w:style>
  <w:style w:type="character" w:styleId="IntenseReference">
    <w:name w:val="Intense Reference"/>
    <w:basedOn w:val="DefaultParagraphFont"/>
    <w:uiPriority w:val="99"/>
    <w:semiHidden/>
    <w:rsid w:val="00C249C7"/>
    <w:rPr>
      <w:b/>
      <w:bCs/>
      <w:smallCaps/>
      <w:color w:val="FFAE3B" w:themeColor="accent2"/>
      <w:spacing w:val="5"/>
      <w:u w:val="single"/>
    </w:rPr>
  </w:style>
  <w:style w:type="table" w:styleId="LightGrid">
    <w:name w:val="Light Grid"/>
    <w:basedOn w:val="TableNormal"/>
    <w:uiPriority w:val="62"/>
    <w:rsid w:val="00C249C7"/>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249C7"/>
    <w:pPr>
      <w:spacing w:before="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rsid w:val="00C249C7"/>
    <w:pPr>
      <w:spacing w:before="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rsid w:val="00C249C7"/>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C249C7"/>
    <w:pPr>
      <w:spacing w:before="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rsid w:val="00C249C7"/>
    <w:pPr>
      <w:spacing w:before="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rsid w:val="00C249C7"/>
    <w:pPr>
      <w:spacing w:before="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rsid w:val="00C249C7"/>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C249C7"/>
    <w:pPr>
      <w:spacing w:before="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rsid w:val="00C249C7"/>
    <w:pPr>
      <w:spacing w:before="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rsid w:val="00C249C7"/>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C249C7"/>
    <w:pPr>
      <w:spacing w:before="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rsid w:val="00C249C7"/>
    <w:pPr>
      <w:spacing w:before="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rsid w:val="00C249C7"/>
    <w:pPr>
      <w:spacing w:before="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rsid w:val="00C249C7"/>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249C7"/>
    <w:pPr>
      <w:spacing w:before="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rsid w:val="00C249C7"/>
    <w:pPr>
      <w:spacing w:before="0" w:line="240" w:lineRule="auto"/>
    </w:pPr>
    <w:rPr>
      <w:color w:val="EB8900" w:themeColor="accent2" w:themeShade="BF"/>
    </w:rPr>
    <w:tblPr>
      <w:tblStyleRowBandSize w:val="1"/>
      <w:tblStyleColBandSize w:val="1"/>
      <w:tblBorders>
        <w:top w:val="single" w:sz="8" w:space="0" w:color="FFAE3B" w:themeColor="accent2"/>
        <w:bottom w:val="single" w:sz="8" w:space="0" w:color="FFAE3B" w:themeColor="accent2"/>
      </w:tblBorders>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rsid w:val="00C249C7"/>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C249C7"/>
    <w:pPr>
      <w:spacing w:before="0" w:line="240" w:lineRule="auto"/>
    </w:pPr>
    <w:rPr>
      <w:color w:val="9255A1" w:themeColor="accent4" w:themeShade="BF"/>
    </w:rPr>
    <w:tblPr>
      <w:tblStyleRowBandSize w:val="1"/>
      <w:tblStyleColBandSize w:val="1"/>
      <w:tblBorders>
        <w:top w:val="single" w:sz="8" w:space="0" w:color="B689C1" w:themeColor="accent4"/>
        <w:bottom w:val="single" w:sz="8" w:space="0" w:color="B689C1" w:themeColor="accent4"/>
      </w:tblBorders>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rsid w:val="00C249C7"/>
    <w:pPr>
      <w:spacing w:before="0" w:line="240" w:lineRule="auto"/>
    </w:pPr>
    <w:rPr>
      <w:color w:val="AF6700" w:themeColor="accent5" w:themeShade="BF"/>
    </w:rPr>
    <w:tblPr>
      <w:tblStyleRowBandSize w:val="1"/>
      <w:tblStyleColBandSize w:val="1"/>
      <w:tblBorders>
        <w:top w:val="single" w:sz="8" w:space="0" w:color="EA8B00" w:themeColor="accent5"/>
        <w:bottom w:val="single" w:sz="8" w:space="0" w:color="EA8B00" w:themeColor="accent5"/>
      </w:tblBorders>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rsid w:val="00C249C7"/>
    <w:pPr>
      <w:spacing w:before="0" w:line="240" w:lineRule="auto"/>
    </w:pPr>
    <w:rPr>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paragraph" w:styleId="ListParagraph">
    <w:name w:val="List Paragraph"/>
    <w:basedOn w:val="Normal"/>
    <w:uiPriority w:val="34"/>
    <w:qFormat/>
    <w:rsid w:val="00C249C7"/>
    <w:pPr>
      <w:ind w:left="720"/>
      <w:contextualSpacing/>
    </w:pPr>
  </w:style>
  <w:style w:type="table" w:styleId="MediumGrid1">
    <w:name w:val="Medium Grid 1"/>
    <w:basedOn w:val="TableNormal"/>
    <w:uiPriority w:val="67"/>
    <w:rsid w:val="00C249C7"/>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249C7"/>
    <w:pPr>
      <w:spacing w:before="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MediumGrid1-Accent2">
    <w:name w:val="Medium Grid 1 Accent 2"/>
    <w:basedOn w:val="TableNormal"/>
    <w:uiPriority w:val="67"/>
    <w:rsid w:val="00C249C7"/>
    <w:pPr>
      <w:spacing w:before="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MediumGrid1-Accent3">
    <w:name w:val="Medium Grid 1 Accent 3"/>
    <w:basedOn w:val="TableNormal"/>
    <w:uiPriority w:val="67"/>
    <w:rsid w:val="00C249C7"/>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C249C7"/>
    <w:pPr>
      <w:spacing w:before="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MediumGrid1-Accent5">
    <w:name w:val="Medium Grid 1 Accent 5"/>
    <w:basedOn w:val="TableNormal"/>
    <w:uiPriority w:val="67"/>
    <w:rsid w:val="00C249C7"/>
    <w:pPr>
      <w:spacing w:before="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MediumGrid1-Accent6">
    <w:name w:val="Medium Grid 1 Accent 6"/>
    <w:basedOn w:val="TableNormal"/>
    <w:uiPriority w:val="67"/>
    <w:rsid w:val="00C249C7"/>
    <w:pPr>
      <w:spacing w:before="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MediumGrid2">
    <w:name w:val="Medium Grid 2"/>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rsid w:val="00C249C7"/>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249C7"/>
    <w:pPr>
      <w:spacing w:before="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styleId="MediumList1-Accent2">
    <w:name w:val="Medium List 1 Accent 2"/>
    <w:basedOn w:val="TableNormal"/>
    <w:uiPriority w:val="65"/>
    <w:rsid w:val="00C249C7"/>
    <w:pPr>
      <w:spacing w:before="0" w:line="240" w:lineRule="auto"/>
    </w:pPr>
    <w:rPr>
      <w:color w:val="000000" w:themeColor="text1"/>
    </w:rPr>
    <w:tblPr>
      <w:tblStyleRowBandSize w:val="1"/>
      <w:tblStyleColBandSize w:val="1"/>
      <w:tblBorders>
        <w:top w:val="single" w:sz="8" w:space="0" w:color="FFAE3B" w:themeColor="accent2"/>
        <w:bottom w:val="single" w:sz="8" w:space="0" w:color="FFAE3B" w:themeColor="accent2"/>
      </w:tblBorders>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styleId="MediumList1-Accent3">
    <w:name w:val="Medium List 1 Accent 3"/>
    <w:basedOn w:val="TableNormal"/>
    <w:uiPriority w:val="65"/>
    <w:rsid w:val="00C249C7"/>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C249C7"/>
    <w:pPr>
      <w:spacing w:before="0" w:line="240" w:lineRule="auto"/>
    </w:pPr>
    <w:rPr>
      <w:color w:val="000000" w:themeColor="text1"/>
    </w:rPr>
    <w:tblPr>
      <w:tblStyleRowBandSize w:val="1"/>
      <w:tblStyleColBandSize w:val="1"/>
      <w:tblBorders>
        <w:top w:val="single" w:sz="8" w:space="0" w:color="B689C1" w:themeColor="accent4"/>
        <w:bottom w:val="single" w:sz="8" w:space="0" w:color="B689C1" w:themeColor="accent4"/>
      </w:tblBorders>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styleId="MediumList1-Accent5">
    <w:name w:val="Medium List 1 Accent 5"/>
    <w:basedOn w:val="TableNormal"/>
    <w:uiPriority w:val="65"/>
    <w:rsid w:val="00C249C7"/>
    <w:pPr>
      <w:spacing w:before="0" w:line="240" w:lineRule="auto"/>
    </w:pPr>
    <w:rPr>
      <w:color w:val="000000" w:themeColor="text1"/>
    </w:rPr>
    <w:tblPr>
      <w:tblStyleRowBandSize w:val="1"/>
      <w:tblStyleColBandSize w:val="1"/>
      <w:tblBorders>
        <w:top w:val="single" w:sz="8" w:space="0" w:color="EA8B00" w:themeColor="accent5"/>
        <w:bottom w:val="single" w:sz="8" w:space="0" w:color="EA8B00" w:themeColor="accent5"/>
      </w:tblBorders>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styleId="MediumList1-Accent6">
    <w:name w:val="Medium List 1 Accent 6"/>
    <w:basedOn w:val="TableNormal"/>
    <w:uiPriority w:val="65"/>
    <w:rsid w:val="00C249C7"/>
    <w:pPr>
      <w:spacing w:before="0" w:line="240" w:lineRule="auto"/>
    </w:pPr>
    <w:rPr>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styleId="MediumList2">
    <w:name w:val="Medium List 2"/>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249C7"/>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249C7"/>
    <w:pPr>
      <w:spacing w:before="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249C7"/>
    <w:pPr>
      <w:spacing w:before="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249C7"/>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249C7"/>
    <w:pPr>
      <w:spacing w:before="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249C7"/>
    <w:pPr>
      <w:spacing w:before="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249C7"/>
    <w:pPr>
      <w:spacing w:before="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semiHidden/>
    <w:rsid w:val="00C249C7"/>
    <w:pPr>
      <w:spacing w:before="0" w:line="240" w:lineRule="auto"/>
    </w:pPr>
    <w:rPr>
      <w:lang w:eastAsia="en-US"/>
    </w:rPr>
  </w:style>
  <w:style w:type="paragraph" w:styleId="NoteHeading">
    <w:name w:val="Note Heading"/>
    <w:basedOn w:val="Normal"/>
    <w:next w:val="Normal"/>
    <w:link w:val="NoteHeadingChar"/>
    <w:uiPriority w:val="99"/>
    <w:semiHidden/>
    <w:unhideWhenUsed/>
    <w:rsid w:val="00C249C7"/>
    <w:pPr>
      <w:spacing w:before="0" w:line="240" w:lineRule="auto"/>
    </w:pPr>
    <w:rPr>
      <w:rFonts w:ascii="Garamond" w:hAnsi="Garamond"/>
    </w:rPr>
  </w:style>
  <w:style w:type="character" w:customStyle="1" w:styleId="NoteHeadingChar">
    <w:name w:val="Note Heading Char"/>
    <w:basedOn w:val="DefaultParagraphFont"/>
    <w:link w:val="NoteHeading"/>
    <w:uiPriority w:val="99"/>
    <w:semiHidden/>
    <w:rsid w:val="00C249C7"/>
    <w:rPr>
      <w:lang w:eastAsia="en-US"/>
    </w:rPr>
  </w:style>
  <w:style w:type="paragraph" w:styleId="Subtitle0">
    <w:name w:val="Subtitle"/>
    <w:basedOn w:val="Normal"/>
    <w:next w:val="Normal"/>
    <w:link w:val="SubtitleChar"/>
    <w:rsid w:val="00180AC7"/>
    <w:pPr>
      <w:numPr>
        <w:ilvl w:val="1"/>
      </w:numPr>
      <w:spacing w:before="0" w:after="0" w:line="220" w:lineRule="exact"/>
    </w:pPr>
    <w:rPr>
      <w:rFonts w:asciiTheme="majorHAnsi" w:eastAsiaTheme="majorEastAsia" w:hAnsiTheme="majorHAnsi" w:cstheme="majorBidi"/>
      <w:b/>
      <w:iCs/>
      <w:caps/>
      <w:spacing w:val="15"/>
      <w:sz w:val="22"/>
    </w:rPr>
  </w:style>
  <w:style w:type="character" w:customStyle="1" w:styleId="SubtitleChar">
    <w:name w:val="Subtitle Char"/>
    <w:basedOn w:val="DefaultParagraphFont"/>
    <w:link w:val="Subtitle0"/>
    <w:rsid w:val="00180AC7"/>
    <w:rPr>
      <w:rFonts w:asciiTheme="majorHAnsi" w:eastAsiaTheme="majorEastAsia" w:hAnsiTheme="majorHAnsi" w:cstheme="majorBidi"/>
      <w:b/>
      <w:iCs/>
      <w:caps/>
      <w:spacing w:val="15"/>
      <w:sz w:val="22"/>
      <w:lang w:eastAsia="en-US"/>
    </w:rPr>
  </w:style>
  <w:style w:type="character" w:styleId="SubtleEmphasis">
    <w:name w:val="Subtle Emphasis"/>
    <w:basedOn w:val="DefaultParagraphFont"/>
    <w:uiPriority w:val="19"/>
    <w:semiHidden/>
    <w:rsid w:val="00C249C7"/>
    <w:rPr>
      <w:i/>
      <w:iCs/>
      <w:color w:val="808080" w:themeColor="text1" w:themeTint="7F"/>
    </w:rPr>
  </w:style>
  <w:style w:type="character" w:styleId="SubtleReference">
    <w:name w:val="Subtle Reference"/>
    <w:basedOn w:val="DefaultParagraphFont"/>
    <w:uiPriority w:val="31"/>
    <w:semiHidden/>
    <w:rsid w:val="00C249C7"/>
    <w:rPr>
      <w:smallCaps/>
      <w:color w:val="FFAE3B" w:themeColor="accent2"/>
      <w:u w:val="single"/>
    </w:rPr>
  </w:style>
  <w:style w:type="table" w:styleId="Table3Deffects3">
    <w:name w:val="Table 3D effects 3"/>
    <w:basedOn w:val="TableNormal"/>
    <w:uiPriority w:val="99"/>
    <w:semiHidden/>
    <w:unhideWhenUsed/>
    <w:rsid w:val="00C249C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249C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249C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249C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C249C7"/>
    <w:pPr>
      <w:keepLines/>
      <w:pageBreakBefore w:val="0"/>
      <w:numPr>
        <w:numId w:val="0"/>
      </w:numPr>
      <w:spacing w:before="480" w:after="0" w:line="300" w:lineRule="exact"/>
      <w:outlineLvl w:val="9"/>
    </w:pPr>
    <w:rPr>
      <w:rFonts w:eastAsiaTheme="majorEastAsia" w:cstheme="majorBidi"/>
      <w:bCs/>
      <w:color w:val="70417C" w:themeColor="accent1" w:themeShade="BF"/>
      <w:kern w:val="0"/>
      <w:sz w:val="28"/>
      <w:szCs w:val="28"/>
      <w:lang w:eastAsia="en-US"/>
    </w:rPr>
  </w:style>
  <w:style w:type="paragraph" w:customStyle="1" w:styleId="BoxListBullet3">
    <w:name w:val="Box List Bullet 3"/>
    <w:basedOn w:val="BoxListBullet2"/>
    <w:uiPriority w:val="4"/>
    <w:rsid w:val="00C249C7"/>
    <w:pPr>
      <w:numPr>
        <w:ilvl w:val="2"/>
      </w:numPr>
    </w:pPr>
  </w:style>
  <w:style w:type="paragraph" w:customStyle="1" w:styleId="Tablelistbullet3">
    <w:name w:val="Table list bullet 3"/>
    <w:basedOn w:val="Tablebody"/>
    <w:uiPriority w:val="3"/>
    <w:rsid w:val="009A67B0"/>
    <w:pPr>
      <w:numPr>
        <w:ilvl w:val="2"/>
        <w:numId w:val="28"/>
      </w:numPr>
    </w:pPr>
  </w:style>
  <w:style w:type="paragraph" w:customStyle="1" w:styleId="SmallDeltasRightAligned">
    <w:name w:val="SmallDeltasRightAligned"/>
    <w:basedOn w:val="Normal"/>
    <w:rsid w:val="00C249C7"/>
    <w:pPr>
      <w:spacing w:before="0" w:after="0" w:line="240" w:lineRule="auto"/>
      <w:jc w:val="right"/>
    </w:pPr>
  </w:style>
  <w:style w:type="paragraph" w:customStyle="1" w:styleId="SmallDeltasLeftAligned">
    <w:name w:val="SmallDeltasLeftAligned"/>
    <w:basedOn w:val="BodyText"/>
    <w:semiHidden/>
    <w:rsid w:val="00C249C7"/>
  </w:style>
  <w:style w:type="paragraph" w:customStyle="1" w:styleId="LandscapeHeader">
    <w:name w:val="LandscapeHeader"/>
    <w:basedOn w:val="Header"/>
    <w:semiHidden/>
    <w:rsid w:val="00C249C7"/>
    <w:pPr>
      <w:pBdr>
        <w:top w:val="single" w:sz="6" w:space="2" w:color="A6A6A6" w:themeColor="background1" w:themeShade="A6"/>
      </w:pBdr>
      <w:tabs>
        <w:tab w:val="left" w:pos="567"/>
      </w:tabs>
      <w:jc w:val="right"/>
    </w:pPr>
    <w:rPr>
      <w:rFonts w:ascii="Novecento Book" w:hAnsi="Novecento Book"/>
      <w:b/>
      <w:spacing w:val="22"/>
      <w:sz w:val="14"/>
      <w:szCs w:val="14"/>
    </w:rPr>
  </w:style>
  <w:style w:type="paragraph" w:customStyle="1" w:styleId="PortraitHeader">
    <w:name w:val="PortraitHeader"/>
    <w:basedOn w:val="Normal"/>
    <w:semiHidden/>
    <w:rsid w:val="00C249C7"/>
    <w:pPr>
      <w:pBdr>
        <w:top w:val="single" w:sz="6" w:space="2" w:color="A6A6A6" w:themeColor="background1" w:themeShade="A6"/>
      </w:pBdr>
      <w:tabs>
        <w:tab w:val="left" w:pos="567"/>
      </w:tabs>
      <w:spacing w:before="0" w:after="0" w:line="240" w:lineRule="auto"/>
      <w:ind w:left="-2268"/>
      <w:jc w:val="right"/>
    </w:pPr>
    <w:rPr>
      <w:rFonts w:ascii="Novecento Book" w:hAnsi="Novecento Book"/>
      <w:b/>
      <w:spacing w:val="22"/>
      <w:sz w:val="14"/>
      <w:szCs w:val="14"/>
    </w:rPr>
  </w:style>
  <w:style w:type="paragraph" w:customStyle="1" w:styleId="PortraitFooter">
    <w:name w:val="PortraitFooter"/>
    <w:basedOn w:val="Normal"/>
    <w:rsid w:val="00C249C7"/>
    <w:pPr>
      <w:spacing w:before="0" w:after="0" w:line="240" w:lineRule="auto"/>
      <w:jc w:val="right"/>
    </w:pPr>
    <w:rPr>
      <w:rFonts w:asciiTheme="majorHAnsi" w:eastAsia="Calibri" w:hAnsiTheme="majorHAnsi"/>
      <w:caps/>
      <w:sz w:val="14"/>
      <w:szCs w:val="14"/>
    </w:rPr>
  </w:style>
  <w:style w:type="paragraph" w:customStyle="1" w:styleId="LandscapeFooter">
    <w:name w:val="LandscapeFooter"/>
    <w:basedOn w:val="PortraitFooter"/>
    <w:semiHidden/>
    <w:rsid w:val="00C249C7"/>
    <w:rPr>
      <w:b/>
    </w:rPr>
  </w:style>
  <w:style w:type="paragraph" w:customStyle="1" w:styleId="AACHeader">
    <w:name w:val="AACHeader"/>
    <w:basedOn w:val="Header"/>
    <w:rsid w:val="00EA4292"/>
    <w:pPr>
      <w:pBdr>
        <w:top w:val="single" w:sz="6" w:space="2" w:color="A6A6A6" w:themeColor="background1" w:themeShade="A6"/>
      </w:pBdr>
      <w:ind w:left="-2552"/>
      <w:jc w:val="right"/>
    </w:pPr>
    <w:rPr>
      <w:rFonts w:asciiTheme="majorHAnsi" w:hAnsiTheme="majorHAnsi" w:cstheme="majorHAnsi"/>
      <w:b/>
      <w:caps/>
      <w:spacing w:val="22"/>
      <w:sz w:val="14"/>
      <w:szCs w:val="14"/>
    </w:rPr>
  </w:style>
  <w:style w:type="paragraph" w:customStyle="1" w:styleId="AACFooter">
    <w:name w:val="AACFooter"/>
    <w:basedOn w:val="Footer"/>
    <w:semiHidden/>
    <w:rsid w:val="00C249C7"/>
    <w:pPr>
      <w:jc w:val="right"/>
    </w:pPr>
    <w:rPr>
      <w:rFonts w:ascii="Novecento Book" w:eastAsia="Calibri" w:hAnsi="Novecento Book"/>
      <w:szCs w:val="14"/>
    </w:rPr>
  </w:style>
  <w:style w:type="paragraph" w:customStyle="1" w:styleId="Tabletext">
    <w:name w:val="Table text"/>
    <w:uiPriority w:val="3"/>
    <w:rsid w:val="009949E9"/>
    <w:pPr>
      <w:keepNext/>
      <w:keepLines/>
      <w:spacing w:before="40" w:after="40" w:line="240" w:lineRule="auto"/>
    </w:pPr>
    <w:rPr>
      <w:rFonts w:ascii="Arial" w:hAnsi="Arial"/>
      <w:color w:val="000000"/>
      <w:sz w:val="16"/>
      <w:lang w:eastAsia="en-US"/>
    </w:rPr>
  </w:style>
  <w:style w:type="paragraph" w:customStyle="1" w:styleId="SpaceAboveAppendixTOC">
    <w:name w:val="SpaceAboveAppendixTOC"/>
    <w:basedOn w:val="BodyText"/>
    <w:uiPriority w:val="8"/>
    <w:semiHidden/>
    <w:rsid w:val="00C249C7"/>
    <w:pPr>
      <w:pBdr>
        <w:top w:val="single" w:sz="4" w:space="1" w:color="A6A6A6" w:themeColor="background1" w:themeShade="A6"/>
      </w:pBdr>
    </w:pPr>
  </w:style>
  <w:style w:type="paragraph" w:customStyle="1" w:styleId="SpaceAboveInTOC">
    <w:name w:val="SpaceAboveInTOC"/>
    <w:basedOn w:val="BodyText"/>
    <w:rsid w:val="00C249C7"/>
    <w:pPr>
      <w:pBdr>
        <w:top w:val="single" w:sz="4" w:space="1" w:color="A6A6A6" w:themeColor="background1" w:themeShade="A6"/>
      </w:pBdr>
      <w:spacing w:before="0" w:after="0" w:line="240" w:lineRule="auto"/>
    </w:pPr>
  </w:style>
  <w:style w:type="paragraph" w:customStyle="1" w:styleId="ContactPageDeltas">
    <w:name w:val="ContactPageDeltas"/>
    <w:basedOn w:val="Normal"/>
    <w:rsid w:val="00C249C7"/>
    <w:pPr>
      <w:spacing w:before="0" w:after="0" w:line="240" w:lineRule="auto"/>
    </w:pPr>
  </w:style>
  <w:style w:type="paragraph" w:customStyle="1" w:styleId="ReportTo">
    <w:name w:val="ReportTo"/>
    <w:basedOn w:val="Normal"/>
    <w:rsid w:val="00C249C7"/>
    <w:pPr>
      <w:spacing w:before="0" w:after="0" w:line="240" w:lineRule="auto"/>
    </w:pPr>
    <w:rPr>
      <w:rFonts w:asciiTheme="majorHAnsi" w:hAnsiTheme="majorHAnsi"/>
      <w:caps/>
      <w:sz w:val="22"/>
    </w:rPr>
  </w:style>
  <w:style w:type="paragraph" w:customStyle="1" w:styleId="CoverPageDeltas">
    <w:name w:val="CoverPageDeltas"/>
    <w:basedOn w:val="Normal"/>
    <w:rsid w:val="00C249C7"/>
    <w:pPr>
      <w:spacing w:before="0" w:after="0" w:line="240" w:lineRule="auto"/>
      <w:jc w:val="right"/>
    </w:pPr>
  </w:style>
  <w:style w:type="paragraph" w:customStyle="1" w:styleId="PreparedFor0">
    <w:name w:val="Prepared For"/>
    <w:basedOn w:val="Normal"/>
    <w:rsid w:val="00C249C7"/>
    <w:pPr>
      <w:spacing w:before="0" w:after="0" w:line="240" w:lineRule="auto"/>
    </w:pPr>
    <w:rPr>
      <w:rFonts w:asciiTheme="majorHAnsi" w:eastAsiaTheme="minorHAnsi" w:hAnsiTheme="majorHAnsi"/>
      <w:b/>
      <w:caps/>
      <w:sz w:val="22"/>
      <w:szCs w:val="20"/>
    </w:rPr>
  </w:style>
  <w:style w:type="character" w:customStyle="1" w:styleId="StyleTextBrandingNotBoldCustomColorRGB25517459Expan">
    <w:name w:val="Style TextBranding + Not Bold Custom Color(RGB(25517459)) Expan..."/>
    <w:basedOn w:val="DefaultParagraphFont"/>
    <w:uiPriority w:val="7"/>
    <w:rsid w:val="00C249C7"/>
    <w:rPr>
      <w:color w:val="FFAE3B"/>
      <w:spacing w:val="120"/>
    </w:rPr>
  </w:style>
  <w:style w:type="paragraph" w:customStyle="1" w:styleId="TextBranding">
    <w:name w:val="TextBranding"/>
    <w:basedOn w:val="Normal"/>
    <w:rsid w:val="00C249C7"/>
    <w:pPr>
      <w:spacing w:before="0" w:after="0" w:line="240" w:lineRule="auto"/>
    </w:pPr>
    <w:rPr>
      <w:rFonts w:ascii="Novecento Book" w:eastAsiaTheme="minorHAnsi" w:hAnsi="Novecento Book"/>
      <w:b/>
      <w:caps/>
      <w:color w:val="9757A6"/>
      <w:spacing w:val="60"/>
      <w:sz w:val="27"/>
    </w:rPr>
  </w:style>
  <w:style w:type="paragraph" w:customStyle="1" w:styleId="TextBrandingPurple">
    <w:name w:val="TextBrandingPurple"/>
    <w:basedOn w:val="Normal"/>
    <w:rsid w:val="00C249C7"/>
    <w:pPr>
      <w:spacing w:before="0" w:after="0" w:line="240" w:lineRule="auto"/>
    </w:pPr>
    <w:rPr>
      <w:rFonts w:asciiTheme="majorHAnsi" w:eastAsiaTheme="minorHAnsi" w:hAnsiTheme="majorHAnsi"/>
      <w:b/>
      <w:caps/>
      <w:color w:val="9757A6"/>
      <w:spacing w:val="120"/>
      <w:sz w:val="25"/>
    </w:rPr>
  </w:style>
  <w:style w:type="paragraph" w:customStyle="1" w:styleId="TextBrandingYellow">
    <w:name w:val="TextBrandingYellow"/>
    <w:basedOn w:val="TextBrandingPurple"/>
    <w:uiPriority w:val="7"/>
    <w:rsid w:val="00C249C7"/>
    <w:rPr>
      <w:b w:val="0"/>
      <w:caps w:val="0"/>
      <w:color w:val="FFAE3B"/>
    </w:rPr>
  </w:style>
  <w:style w:type="paragraph" w:customStyle="1" w:styleId="TitleShort">
    <w:name w:val="Title Short"/>
    <w:basedOn w:val="Normal"/>
    <w:qFormat/>
    <w:rsid w:val="00C249C7"/>
    <w:pPr>
      <w:spacing w:after="0" w:line="780" w:lineRule="exact"/>
    </w:pPr>
    <w:rPr>
      <w:rFonts w:ascii="Georgia" w:eastAsiaTheme="minorHAnsi" w:hAnsi="Georgia"/>
      <w:b/>
      <w:caps/>
      <w:color w:val="9D57A6"/>
      <w:sz w:val="72"/>
      <w:szCs w:val="20"/>
    </w:rPr>
  </w:style>
  <w:style w:type="paragraph" w:customStyle="1" w:styleId="Image">
    <w:name w:val="Image"/>
    <w:basedOn w:val="Normal"/>
    <w:rsid w:val="00C249C7"/>
    <w:pPr>
      <w:spacing w:before="0" w:after="0" w:line="240" w:lineRule="auto"/>
      <w:jc w:val="right"/>
    </w:pPr>
    <w:rPr>
      <w:rFonts w:eastAsiaTheme="minorHAnsi"/>
      <w:noProof/>
      <w:szCs w:val="20"/>
      <w:lang w:eastAsia="en-AU"/>
    </w:rPr>
  </w:style>
  <w:style w:type="paragraph" w:customStyle="1" w:styleId="SpaceAbove">
    <w:name w:val="SpaceAbove"/>
    <w:basedOn w:val="Normal"/>
    <w:rsid w:val="009949E9"/>
    <w:pPr>
      <w:spacing w:before="0" w:after="0" w:line="240" w:lineRule="auto"/>
    </w:pPr>
    <w:rPr>
      <w:rFonts w:asciiTheme="majorHAnsi" w:eastAsiaTheme="minorHAnsi" w:hAnsiTheme="majorHAnsi"/>
      <w:sz w:val="12"/>
      <w:szCs w:val="20"/>
    </w:rPr>
  </w:style>
  <w:style w:type="paragraph" w:customStyle="1" w:styleId="Disclaimer">
    <w:name w:val="Disclaimer"/>
    <w:basedOn w:val="Normal"/>
    <w:rsid w:val="00FD14ED"/>
    <w:pPr>
      <w:spacing w:before="0" w:after="40" w:line="240" w:lineRule="auto"/>
    </w:pPr>
    <w:rPr>
      <w:rFonts w:asciiTheme="majorHAnsi" w:eastAsiaTheme="minorHAnsi" w:hAnsiTheme="majorHAnsi"/>
      <w:caps/>
      <w:sz w:val="14"/>
      <w:szCs w:val="16"/>
    </w:rPr>
  </w:style>
  <w:style w:type="table" w:customStyle="1" w:styleId="TableGrid10">
    <w:name w:val="Table Grid1"/>
    <w:basedOn w:val="TableNormal"/>
    <w:next w:val="TableGrid"/>
    <w:uiPriority w:val="59"/>
    <w:rsid w:val="00C249C7"/>
    <w:pPr>
      <w:spacing w:before="0" w:line="240" w:lineRule="auto"/>
    </w:pPr>
    <w:rPr>
      <w:rFonts w:ascii="HelveticaNeueLT Std Lt Cn" w:eastAsiaTheme="minorHAnsi" w:hAnsi="HelveticaNeueLT Std Lt C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ILAllenTable">
    <w:name w:val="ACIL Allen Table"/>
    <w:basedOn w:val="TableNormal"/>
    <w:uiPriority w:val="99"/>
    <w:rsid w:val="00C249C7"/>
    <w:pPr>
      <w:spacing w:before="40" w:after="40" w:line="240" w:lineRule="auto"/>
    </w:pPr>
    <w:rPr>
      <w:rFonts w:asciiTheme="minorHAnsi" w:hAnsiTheme="minorHAnsi"/>
      <w:sz w:val="16"/>
    </w:rPr>
    <w:tblPr>
      <w:tblBorders>
        <w:bottom w:val="single" w:sz="6" w:space="0" w:color="BFBFBF" w:themeColor="background1" w:themeShade="BF"/>
        <w:insideH w:val="single" w:sz="6" w:space="0" w:color="BFBFBF" w:themeColor="background1" w:themeShade="BF"/>
      </w:tblBorders>
    </w:tblPr>
    <w:tblStylePr w:type="firstRow">
      <w:rPr>
        <w:rFonts w:asciiTheme="minorHAnsi" w:hAnsiTheme="minorHAnsi"/>
        <w:color w:val="FFFFFF" w:themeColor="background1"/>
        <w:sz w:val="16"/>
      </w:rPr>
      <w:tblPr/>
      <w:tcPr>
        <w:shd w:val="clear" w:color="auto" w:fill="9757A6"/>
      </w:tcPr>
    </w:tblStylePr>
    <w:tblStylePr w:type="lastRow">
      <w:tblPr/>
      <w:tcPr>
        <w:tcBorders>
          <w:bottom w:val="single" w:sz="6" w:space="0" w:color="C0C0C0"/>
        </w:tcBorders>
      </w:tcPr>
    </w:tblStylePr>
  </w:style>
  <w:style w:type="numbering" w:customStyle="1" w:styleId="ACILAllenBoxBulletedList">
    <w:name w:val="ACIL Allen Box Bulleted List"/>
    <w:uiPriority w:val="99"/>
    <w:rsid w:val="009A67B0"/>
    <w:pPr>
      <w:numPr>
        <w:numId w:val="10"/>
      </w:numPr>
    </w:pPr>
  </w:style>
  <w:style w:type="numbering" w:customStyle="1" w:styleId="ACILAllenBoxListNumbering">
    <w:name w:val="ACIL Allen Box List Numbering"/>
    <w:uiPriority w:val="99"/>
    <w:rsid w:val="007F1F56"/>
    <w:pPr>
      <w:numPr>
        <w:numId w:val="11"/>
      </w:numPr>
    </w:pPr>
  </w:style>
  <w:style w:type="numbering" w:customStyle="1" w:styleId="ACILAllenNumberedList">
    <w:name w:val="ACIL Allen Numbered List"/>
    <w:uiPriority w:val="99"/>
    <w:rsid w:val="00C249C7"/>
    <w:pPr>
      <w:numPr>
        <w:numId w:val="12"/>
      </w:numPr>
    </w:pPr>
  </w:style>
  <w:style w:type="numbering" w:customStyle="1" w:styleId="ACILAllenTableBulletedList">
    <w:name w:val="ACIL Allen Table Bulleted List"/>
    <w:uiPriority w:val="99"/>
    <w:rsid w:val="009A67B0"/>
    <w:pPr>
      <w:numPr>
        <w:numId w:val="13"/>
      </w:numPr>
    </w:pPr>
  </w:style>
  <w:style w:type="numbering" w:customStyle="1" w:styleId="ACILAllenTableListNumbering">
    <w:name w:val="ACIL Allen Table List Numbering"/>
    <w:uiPriority w:val="99"/>
    <w:rsid w:val="00520ED6"/>
    <w:pPr>
      <w:numPr>
        <w:numId w:val="21"/>
      </w:numPr>
    </w:pPr>
  </w:style>
  <w:style w:type="paragraph" w:customStyle="1" w:styleId="TableQuote">
    <w:name w:val="Table Quote"/>
    <w:basedOn w:val="Tabletext"/>
    <w:uiPriority w:val="3"/>
    <w:rsid w:val="009949E9"/>
    <w:pPr>
      <w:ind w:left="113" w:right="113"/>
    </w:pPr>
  </w:style>
  <w:style w:type="paragraph" w:customStyle="1" w:styleId="TableQuoteBullet">
    <w:name w:val="Table Quote Bullet"/>
    <w:basedOn w:val="TableQuote"/>
    <w:uiPriority w:val="3"/>
    <w:rsid w:val="00E57AAC"/>
    <w:pPr>
      <w:numPr>
        <w:numId w:val="22"/>
      </w:numPr>
    </w:pPr>
  </w:style>
  <w:style w:type="paragraph" w:customStyle="1" w:styleId="LetterHeading1">
    <w:name w:val="Letter Heading 1"/>
    <w:next w:val="BodyText"/>
    <w:uiPriority w:val="7"/>
    <w:qFormat/>
    <w:rsid w:val="00C249C7"/>
    <w:pPr>
      <w:spacing w:before="200" w:line="240" w:lineRule="auto"/>
    </w:pPr>
    <w:rPr>
      <w:rFonts w:asciiTheme="majorHAnsi" w:hAnsiTheme="majorHAnsi"/>
      <w:b/>
      <w:sz w:val="20"/>
      <w:szCs w:val="36"/>
      <w:lang w:eastAsia="en-AU"/>
    </w:rPr>
  </w:style>
  <w:style w:type="paragraph" w:customStyle="1" w:styleId="LetterHeading2">
    <w:name w:val="Letter Heading 2"/>
    <w:basedOn w:val="LetterHeading1"/>
    <w:next w:val="BodyText"/>
    <w:uiPriority w:val="7"/>
    <w:qFormat/>
    <w:rsid w:val="00C249C7"/>
    <w:rPr>
      <w:i/>
      <w:sz w:val="18"/>
      <w:szCs w:val="28"/>
    </w:rPr>
  </w:style>
  <w:style w:type="paragraph" w:customStyle="1" w:styleId="LetterHeading3">
    <w:name w:val="Letter Heading 3"/>
    <w:basedOn w:val="LetterHeading2"/>
    <w:next w:val="BodyText"/>
    <w:uiPriority w:val="7"/>
    <w:qFormat/>
    <w:rsid w:val="00C249C7"/>
    <w:rPr>
      <w:b w:val="0"/>
      <w:szCs w:val="27"/>
    </w:rPr>
  </w:style>
  <w:style w:type="paragraph" w:customStyle="1" w:styleId="LetterAddress">
    <w:name w:val="LetterAddress"/>
    <w:basedOn w:val="LetterName"/>
    <w:uiPriority w:val="99"/>
    <w:rsid w:val="00610859"/>
    <w:pPr>
      <w:jc w:val="both"/>
    </w:pPr>
  </w:style>
  <w:style w:type="paragraph" w:customStyle="1" w:styleId="LetterCityStatePostcode">
    <w:name w:val="LetterCityStatePostcode"/>
    <w:basedOn w:val="LetterName"/>
    <w:uiPriority w:val="99"/>
    <w:rsid w:val="00610859"/>
    <w:pPr>
      <w:spacing w:line="260" w:lineRule="exact"/>
    </w:pPr>
  </w:style>
  <w:style w:type="paragraph" w:customStyle="1" w:styleId="LetterCompany">
    <w:name w:val="LetterCompany"/>
    <w:basedOn w:val="LetterName"/>
    <w:uiPriority w:val="99"/>
    <w:rsid w:val="00610859"/>
  </w:style>
  <w:style w:type="paragraph" w:customStyle="1" w:styleId="LetterDate">
    <w:name w:val="LetterDate"/>
    <w:basedOn w:val="LetterName"/>
    <w:uiPriority w:val="99"/>
    <w:rsid w:val="00EF6248"/>
    <w:pPr>
      <w:spacing w:before="600"/>
    </w:pPr>
  </w:style>
  <w:style w:type="paragraph" w:customStyle="1" w:styleId="LetterName">
    <w:name w:val="LetterName"/>
    <w:basedOn w:val="Normal"/>
    <w:uiPriority w:val="99"/>
    <w:rsid w:val="00610859"/>
    <w:pPr>
      <w:spacing w:before="0" w:after="0" w:line="280" w:lineRule="exact"/>
    </w:pPr>
    <w:rPr>
      <w:sz w:val="22"/>
      <w:szCs w:val="20"/>
    </w:rPr>
  </w:style>
  <w:style w:type="paragraph" w:customStyle="1" w:styleId="LetterSubject">
    <w:name w:val="LetterSubject"/>
    <w:basedOn w:val="Normal"/>
    <w:next w:val="Normal"/>
    <w:uiPriority w:val="99"/>
    <w:semiHidden/>
    <w:rsid w:val="00C249C7"/>
    <w:pPr>
      <w:tabs>
        <w:tab w:val="left" w:pos="4395"/>
        <w:tab w:val="left" w:pos="6946"/>
      </w:tabs>
      <w:spacing w:before="400" w:after="200" w:line="260" w:lineRule="exact"/>
    </w:pPr>
    <w:rPr>
      <w:b/>
      <w:caps/>
      <w:szCs w:val="20"/>
    </w:rPr>
  </w:style>
  <w:style w:type="paragraph" w:customStyle="1" w:styleId="LetterTitle">
    <w:name w:val="LetterTitle"/>
    <w:basedOn w:val="LetterName"/>
    <w:uiPriority w:val="99"/>
    <w:rsid w:val="00610859"/>
  </w:style>
  <w:style w:type="character" w:customStyle="1" w:styleId="ACILAllenYellow">
    <w:name w:val="ACIL Allen Yellow"/>
    <w:basedOn w:val="DefaultParagraphFont"/>
    <w:uiPriority w:val="1"/>
    <w:rsid w:val="00C249C7"/>
    <w:rPr>
      <w:color w:val="FFAE3B"/>
    </w:rPr>
  </w:style>
  <w:style w:type="character" w:customStyle="1" w:styleId="PageNumberLandscapeChar">
    <w:name w:val="Page Number Landscape Char"/>
    <w:basedOn w:val="DefaultParagraphFont"/>
    <w:link w:val="PageNumberLandscape"/>
    <w:semiHidden/>
    <w:rsid w:val="00C249C7"/>
    <w:rPr>
      <w:rFonts w:asciiTheme="minorHAnsi" w:hAnsiTheme="minorHAnsi"/>
      <w:lang w:eastAsia="en-US"/>
    </w:rPr>
  </w:style>
  <w:style w:type="character" w:customStyle="1" w:styleId="CaptionLabel">
    <w:name w:val="Caption Label"/>
    <w:qFormat/>
    <w:rsid w:val="00C249C7"/>
    <w:rPr>
      <w:b/>
    </w:rPr>
  </w:style>
  <w:style w:type="paragraph" w:customStyle="1" w:styleId="SideQuote">
    <w:name w:val="Side Quote"/>
    <w:basedOn w:val="SideNote"/>
    <w:next w:val="SideQuoteSource"/>
    <w:link w:val="SideQuoteChar"/>
    <w:rsid w:val="00C249C7"/>
    <w:pPr>
      <w:framePr w:wrap="around"/>
      <w:pBdr>
        <w:top w:val="single" w:sz="12" w:space="3" w:color="9757A6" w:themeColor="accent1"/>
        <w:bottom w:val="single" w:sz="12" w:space="3" w:color="9757A6" w:themeColor="accent1"/>
      </w:pBdr>
    </w:pPr>
    <w:rPr>
      <w:color w:val="808080" w:themeColor="background1" w:themeShade="80"/>
    </w:rPr>
  </w:style>
  <w:style w:type="paragraph" w:customStyle="1" w:styleId="SideQuoteSource">
    <w:name w:val="Side Quote Source"/>
    <w:basedOn w:val="SideQuote"/>
    <w:next w:val="BodyText"/>
    <w:rsid w:val="00C249C7"/>
    <w:pPr>
      <w:framePr w:wrap="around"/>
      <w:jc w:val="right"/>
    </w:pPr>
    <w:rPr>
      <w:i/>
    </w:rPr>
  </w:style>
  <w:style w:type="paragraph" w:customStyle="1" w:styleId="Style1">
    <w:name w:val="Style1"/>
    <w:basedOn w:val="SideQuote"/>
    <w:next w:val="BodyText"/>
    <w:link w:val="Style1Char"/>
    <w:rsid w:val="00C249C7"/>
    <w:pPr>
      <w:keepNext w:val="0"/>
      <w:framePr w:w="0" w:hSpace="0" w:vSpace="0" w:wrap="auto" w:vAnchor="margin" w:hAnchor="text" w:xAlign="left" w:yAlign="inline"/>
      <w:spacing w:before="120" w:after="120" w:line="240" w:lineRule="exact"/>
    </w:pPr>
    <w:rPr>
      <w:b w:val="0"/>
      <w:color w:val="9757A6" w:themeColor="accent1"/>
      <w:sz w:val="18"/>
      <w:lang w:eastAsia="en-US"/>
    </w:rPr>
  </w:style>
  <w:style w:type="character" w:customStyle="1" w:styleId="Style1Char">
    <w:name w:val="Style1 Char"/>
    <w:basedOn w:val="DefaultParagraphFont"/>
    <w:link w:val="Style1"/>
    <w:rsid w:val="00C249C7"/>
    <w:rPr>
      <w:rFonts w:asciiTheme="minorHAnsi" w:hAnsiTheme="minorHAnsi"/>
      <w:color w:val="9757A6" w:themeColor="accent1"/>
      <w:sz w:val="18"/>
      <w:lang w:eastAsia="en-US"/>
    </w:rPr>
  </w:style>
  <w:style w:type="character" w:customStyle="1" w:styleId="SideQuoteChar">
    <w:name w:val="Side Quote Char"/>
    <w:basedOn w:val="DefaultParagraphFont"/>
    <w:link w:val="SideQuote"/>
    <w:rsid w:val="00C249C7"/>
    <w:rPr>
      <w:rFonts w:asciiTheme="minorHAnsi" w:hAnsiTheme="minorHAnsi"/>
      <w:b/>
      <w:color w:val="808080" w:themeColor="background1" w:themeShade="80"/>
      <w:sz w:val="16"/>
      <w:lang w:eastAsia="en-AU"/>
    </w:rPr>
  </w:style>
  <w:style w:type="paragraph" w:customStyle="1" w:styleId="ExecSummaryHeading">
    <w:name w:val="Exec Summary Heading"/>
    <w:basedOn w:val="Heading1nonumber"/>
    <w:next w:val="BodyText"/>
    <w:autoRedefine/>
    <w:rsid w:val="00E41AE2"/>
    <w:pPr>
      <w:pBdr>
        <w:top w:val="single" w:sz="48" w:space="30" w:color="9757A6"/>
        <w:left w:val="single" w:sz="48" w:space="4" w:color="9757A6"/>
        <w:bottom w:val="single" w:sz="48" w:space="5" w:color="9757A6"/>
        <w:right w:val="single" w:sz="48" w:space="4" w:color="9757A6"/>
      </w:pBdr>
      <w:shd w:val="clear" w:color="auto" w:fill="9757A6"/>
      <w:spacing w:before="0"/>
    </w:pPr>
    <w:rPr>
      <w:color w:val="FFFFFF" w:themeColor="background1"/>
    </w:rPr>
  </w:style>
  <w:style w:type="paragraph" w:customStyle="1" w:styleId="QuoteSource">
    <w:name w:val="Quote Source"/>
    <w:basedOn w:val="Quote"/>
    <w:next w:val="BodyText"/>
    <w:rsid w:val="00C249C7"/>
    <w:pPr>
      <w:jc w:val="right"/>
    </w:pPr>
    <w:rPr>
      <w:i/>
    </w:rPr>
  </w:style>
  <w:style w:type="paragraph" w:customStyle="1" w:styleId="BoxQuoteSource">
    <w:name w:val="Box Quote Source"/>
    <w:basedOn w:val="BoxQuote"/>
    <w:rsid w:val="00C249C7"/>
    <w:pPr>
      <w:ind w:right="199"/>
      <w:jc w:val="right"/>
    </w:pPr>
    <w:rPr>
      <w:i/>
    </w:rPr>
  </w:style>
  <w:style w:type="paragraph" w:customStyle="1" w:styleId="TableQuoteSource">
    <w:name w:val="Table Quote Source"/>
    <w:basedOn w:val="TableQuote"/>
    <w:rsid w:val="00C249C7"/>
    <w:pPr>
      <w:jc w:val="right"/>
    </w:pPr>
    <w:rPr>
      <w:i/>
    </w:rPr>
  </w:style>
  <w:style w:type="paragraph" w:customStyle="1" w:styleId="ConsultantContact">
    <w:name w:val="Consultant Contact"/>
    <w:basedOn w:val="BodyText"/>
    <w:rsid w:val="007377C2"/>
    <w:rPr>
      <w:color w:val="808080" w:themeColor="background1" w:themeShade="80"/>
      <w:sz w:val="20"/>
    </w:rPr>
  </w:style>
  <w:style w:type="paragraph" w:customStyle="1" w:styleId="CoverInfoHeading">
    <w:name w:val="Cover Info Heading"/>
    <w:basedOn w:val="CoverInfo"/>
    <w:rsid w:val="007377C2"/>
    <w:rPr>
      <w:b/>
      <w:color w:val="9757A6"/>
      <w:sz w:val="20"/>
      <w:lang w:val="en-AU"/>
    </w:rPr>
  </w:style>
  <w:style w:type="numbering" w:customStyle="1" w:styleId="ACILAllenBulletedlist">
    <w:name w:val="ACIL Allen Bulleted list"/>
    <w:uiPriority w:val="99"/>
    <w:rsid w:val="00CE3F7C"/>
    <w:pPr>
      <w:numPr>
        <w:numId w:val="14"/>
      </w:numPr>
    </w:pPr>
  </w:style>
  <w:style w:type="paragraph" w:customStyle="1" w:styleId="ListDash">
    <w:name w:val="List Dash"/>
    <w:basedOn w:val="BodyText"/>
    <w:rsid w:val="00A62441"/>
    <w:pPr>
      <w:numPr>
        <w:numId w:val="19"/>
      </w:numPr>
      <w:spacing w:before="60" w:after="60"/>
    </w:pPr>
  </w:style>
  <w:style w:type="paragraph" w:customStyle="1" w:styleId="ListDash2">
    <w:name w:val="List Dash 2"/>
    <w:basedOn w:val="ListDash"/>
    <w:rsid w:val="00160E03"/>
    <w:pPr>
      <w:numPr>
        <w:ilvl w:val="1"/>
      </w:numPr>
      <w:ind w:left="567"/>
    </w:pPr>
  </w:style>
  <w:style w:type="paragraph" w:customStyle="1" w:styleId="ListDash3">
    <w:name w:val="List Dash 3"/>
    <w:basedOn w:val="ListDash2"/>
    <w:rsid w:val="00160E03"/>
    <w:pPr>
      <w:numPr>
        <w:ilvl w:val="2"/>
      </w:numPr>
      <w:ind w:left="851"/>
    </w:pPr>
  </w:style>
  <w:style w:type="numbering" w:customStyle="1" w:styleId="ACILAllenDashedList">
    <w:name w:val="ACIL Allen Dashed List"/>
    <w:uiPriority w:val="99"/>
    <w:rsid w:val="00A62441"/>
    <w:pPr>
      <w:numPr>
        <w:numId w:val="15"/>
      </w:numPr>
    </w:pPr>
  </w:style>
  <w:style w:type="paragraph" w:customStyle="1" w:styleId="NewPartDeltas">
    <w:name w:val="NewPartDeltas"/>
    <w:basedOn w:val="BodyText"/>
    <w:rsid w:val="00C249C7"/>
    <w:pPr>
      <w:spacing w:before="0" w:after="0" w:line="240" w:lineRule="auto"/>
    </w:pPr>
    <w:rPr>
      <w:noProof/>
    </w:rPr>
  </w:style>
  <w:style w:type="paragraph" w:customStyle="1" w:styleId="Part">
    <w:name w:val="Part"/>
    <w:basedOn w:val="Normal"/>
    <w:rsid w:val="007B3211"/>
    <w:pPr>
      <w:spacing w:before="0" w:after="0" w:line="240" w:lineRule="auto"/>
    </w:pPr>
    <w:rPr>
      <w:rFonts w:asciiTheme="majorHAnsi" w:hAnsiTheme="majorHAnsi"/>
      <w:color w:val="FFFFFF" w:themeColor="background1"/>
      <w:spacing w:val="80"/>
      <w:sz w:val="80"/>
      <w:szCs w:val="80"/>
    </w:rPr>
  </w:style>
  <w:style w:type="paragraph" w:customStyle="1" w:styleId="PartTitle">
    <w:name w:val="Part Title"/>
    <w:basedOn w:val="BodyText"/>
    <w:rsid w:val="007B3211"/>
    <w:pPr>
      <w:spacing w:line="240" w:lineRule="auto"/>
    </w:pPr>
    <w:rPr>
      <w:rFonts w:ascii="Arial Narrow" w:hAnsi="Arial Narrow" w:cstheme="majorHAnsi"/>
      <w:b/>
      <w:caps/>
      <w:color w:val="FFAE3B"/>
      <w:spacing w:val="100"/>
      <w:sz w:val="40"/>
      <w:szCs w:val="40"/>
      <w:lang w:eastAsia="zh-CN"/>
    </w:rPr>
  </w:style>
  <w:style w:type="paragraph" w:customStyle="1" w:styleId="PartNumberOnly">
    <w:name w:val="PartNumberOnly"/>
    <w:basedOn w:val="Normal"/>
    <w:rsid w:val="00CF7515"/>
    <w:pPr>
      <w:spacing w:before="0" w:after="0" w:line="240" w:lineRule="auto"/>
      <w:jc w:val="center"/>
    </w:pPr>
    <w:rPr>
      <w:rFonts w:ascii="Georgia" w:hAnsi="Georgia"/>
      <w:color w:val="FFFFFF" w:themeColor="background1"/>
      <w:sz w:val="144"/>
    </w:rPr>
  </w:style>
  <w:style w:type="numbering" w:customStyle="1" w:styleId="ATbulletedlist">
    <w:name w:val="AT bulleted list"/>
    <w:uiPriority w:val="99"/>
    <w:rsid w:val="00C249C7"/>
    <w:pPr>
      <w:numPr>
        <w:numId w:val="16"/>
      </w:numPr>
    </w:pPr>
  </w:style>
  <w:style w:type="numbering" w:customStyle="1" w:styleId="ATBoxBulletedList">
    <w:name w:val="AT Box Bulleted List"/>
    <w:uiPriority w:val="99"/>
    <w:rsid w:val="00C249C7"/>
    <w:pPr>
      <w:numPr>
        <w:numId w:val="17"/>
      </w:numPr>
    </w:pPr>
  </w:style>
  <w:style w:type="numbering" w:customStyle="1" w:styleId="ACILAllenPartNumbers">
    <w:name w:val="ACIL Allen Part Numbers"/>
    <w:uiPriority w:val="99"/>
    <w:rsid w:val="00C249C7"/>
    <w:pPr>
      <w:numPr>
        <w:numId w:val="18"/>
      </w:numPr>
    </w:pPr>
  </w:style>
  <w:style w:type="paragraph" w:customStyle="1" w:styleId="LetterRef">
    <w:name w:val="LetterRef"/>
    <w:basedOn w:val="LetterDate"/>
    <w:rsid w:val="002F733E"/>
    <w:pPr>
      <w:spacing w:before="40" w:after="600"/>
    </w:pPr>
  </w:style>
  <w:style w:type="character" w:customStyle="1" w:styleId="FootnoteTextChar">
    <w:name w:val="Footnote Text Char"/>
    <w:aliases w:val="(NECG) Footnote Text Char"/>
    <w:basedOn w:val="DefaultParagraphFont"/>
    <w:link w:val="FootnoteText"/>
    <w:uiPriority w:val="8"/>
    <w:locked/>
    <w:rsid w:val="003C215F"/>
    <w:rPr>
      <w:rFonts w:asciiTheme="minorHAnsi" w:hAnsiTheme="minorHAnsi"/>
      <w:sz w:val="16"/>
      <w:szCs w:val="22"/>
      <w:lang w:eastAsia="en-AU"/>
    </w:rPr>
  </w:style>
  <w:style w:type="paragraph" w:styleId="Revision">
    <w:name w:val="Revision"/>
    <w:hidden/>
    <w:uiPriority w:val="99"/>
    <w:semiHidden/>
    <w:rsid w:val="008731E7"/>
    <w:pPr>
      <w:spacing w:before="0" w:line="240" w:lineRule="auto"/>
    </w:pPr>
    <w:rPr>
      <w:rFonts w:asciiTheme="minorHAnsi" w:hAnsi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imes New Roman" w:hAnsi="Garamond" w:cs="Times New Roman"/>
        <w:sz w:val="24"/>
        <w:szCs w:val="24"/>
        <w:lang w:val="en-AU" w:eastAsia="zh-CN" w:bidi="ar-SA"/>
      </w:rPr>
    </w:rPrDefault>
    <w:pPrDefault>
      <w:pPr>
        <w:spacing w:before="180" w:line="300" w:lineRule="exact"/>
      </w:pPr>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
    <w:lsdException w:name="annotation text" w:uiPriority="99"/>
    <w:lsdException w:name="footer" w:uiPriority="99"/>
    <w:lsdException w:name="index heading" w:uiPriority="99"/>
    <w:lsdException w:name="caption" w:semiHidden="0" w:unhideWhenUsed="0" w:qFormat="1"/>
    <w:lsdException w:name="table of figures" w:uiPriority="99"/>
    <w:lsdException w:name="footnote reference" w:uiPriority="8"/>
    <w:lsdException w:name="table of authorities" w:uiPriority="99"/>
    <w:lsdException w:name="List Bullet" w:uiPriority="2" w:qFormat="1"/>
    <w:lsdException w:name="List Number" w:uiPriority="2" w:qFormat="1"/>
    <w:lsdException w:name="List Bullet 2" w:uiPriority="2" w:qFormat="1"/>
    <w:lsdException w:name="List Bullet 3" w:uiPriority="2" w:qFormat="1"/>
    <w:lsdException w:name="List Number 2" w:uiPriority="2"/>
    <w:lsdException w:name="List Number 3" w:uiPriority="2"/>
    <w:lsdException w:name="Title" w:semiHidden="0" w:unhideWhenUsed="0" w:qFormat="1"/>
    <w:lsdException w:name="Default Paragraph Font" w:uiPriority="1"/>
    <w:lsdException w:name="Body Text" w:qFormat="1"/>
    <w:lsdException w:name="Subtitle" w:semiHidden="0" w:unhideWhenUsed="0"/>
    <w:lsdException w:name="Note Heading" w:uiPriority="99"/>
    <w:lsdException w:name="Hyperlink" w:uiPriority="99"/>
    <w:lsdException w:name="Strong" w:semiHidden="0" w:unhideWhenUsed="0"/>
    <w:lsdException w:name="Emphasis" w:semiHidden="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Table List 1" w:uiPriority="99"/>
    <w:lsdException w:name="Table List 2" w:uiPriority="99"/>
    <w:lsdException w:name="Table List 3" w:uiPriority="99"/>
    <w:lsdException w:name="Table 3D effects 3"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4" w:unhideWhenUsed="0" w:qFormat="1"/>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99" w:unhideWhenUsed="0"/>
    <w:lsdException w:name="Subtle Reference" w:semiHidden="0" w:uiPriority="31" w:unhideWhenUsed="0"/>
    <w:lsdException w:name="Intense Reference" w:semiHidden="0" w:uiPriority="99"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003343"/>
    <w:pPr>
      <w:spacing w:before="120" w:after="120" w:line="240" w:lineRule="exact"/>
    </w:pPr>
    <w:rPr>
      <w:rFonts w:asciiTheme="minorHAnsi" w:hAnsiTheme="minorHAnsi"/>
      <w:lang w:eastAsia="en-US"/>
    </w:rPr>
  </w:style>
  <w:style w:type="paragraph" w:styleId="Heading1">
    <w:name w:val="heading 1"/>
    <w:next w:val="BodyText"/>
    <w:link w:val="Heading1Char"/>
    <w:qFormat/>
    <w:rsid w:val="0071248D"/>
    <w:pPr>
      <w:keepNext/>
      <w:pageBreakBefore/>
      <w:numPr>
        <w:numId w:val="20"/>
      </w:numPr>
      <w:pBdr>
        <w:top w:val="single" w:sz="48" w:space="30" w:color="9757A6"/>
        <w:left w:val="single" w:sz="48" w:space="4" w:color="9757A6"/>
        <w:bottom w:val="single" w:sz="48" w:space="5" w:color="9757A6"/>
        <w:right w:val="single" w:sz="48" w:space="4" w:color="9757A6"/>
      </w:pBdr>
      <w:shd w:val="clear" w:color="auto" w:fill="9757A6"/>
      <w:spacing w:before="300" w:after="60" w:line="420" w:lineRule="exact"/>
      <w:outlineLvl w:val="0"/>
    </w:pPr>
    <w:rPr>
      <w:rFonts w:asciiTheme="majorHAnsi" w:hAnsiTheme="majorHAnsi"/>
      <w:b/>
      <w:color w:val="FFFFFF" w:themeColor="background1"/>
      <w:kern w:val="28"/>
      <w:sz w:val="38"/>
      <w:szCs w:val="38"/>
      <w:lang w:eastAsia="en-AU"/>
    </w:rPr>
  </w:style>
  <w:style w:type="paragraph" w:styleId="Heading2">
    <w:name w:val="heading 2"/>
    <w:next w:val="BodyText"/>
    <w:qFormat/>
    <w:rsid w:val="0071248D"/>
    <w:pPr>
      <w:keepNext/>
      <w:numPr>
        <w:ilvl w:val="1"/>
        <w:numId w:val="29"/>
      </w:numPr>
      <w:pBdr>
        <w:bottom w:val="single" w:sz="8" w:space="1" w:color="BFBFBF" w:themeColor="background1" w:themeShade="BF"/>
      </w:pBdr>
      <w:spacing w:before="300" w:after="60" w:line="340" w:lineRule="exact"/>
      <w:outlineLvl w:val="1"/>
    </w:pPr>
    <w:rPr>
      <w:rFonts w:asciiTheme="majorHAnsi" w:hAnsiTheme="majorHAnsi"/>
      <w:b/>
      <w:color w:val="9757A6" w:themeColor="text2"/>
      <w:kern w:val="36"/>
      <w:sz w:val="28"/>
      <w:lang w:eastAsia="en-AU"/>
    </w:rPr>
  </w:style>
  <w:style w:type="paragraph" w:styleId="Heading3">
    <w:name w:val="heading 3"/>
    <w:next w:val="BodyText"/>
    <w:qFormat/>
    <w:rsid w:val="0071248D"/>
    <w:pPr>
      <w:keepNext/>
      <w:numPr>
        <w:ilvl w:val="2"/>
        <w:numId w:val="29"/>
      </w:numPr>
      <w:spacing w:before="300" w:line="270" w:lineRule="exact"/>
      <w:outlineLvl w:val="2"/>
    </w:pPr>
    <w:rPr>
      <w:rFonts w:asciiTheme="majorHAnsi" w:hAnsiTheme="majorHAnsi"/>
      <w:b/>
      <w:color w:val="9757A6" w:themeColor="text2"/>
      <w:sz w:val="22"/>
      <w:lang w:eastAsia="en-AU"/>
    </w:rPr>
  </w:style>
  <w:style w:type="paragraph" w:styleId="Heading4">
    <w:name w:val="heading 4"/>
    <w:next w:val="BodyText"/>
    <w:qFormat/>
    <w:rsid w:val="0071248D"/>
    <w:pPr>
      <w:keepNext/>
      <w:numPr>
        <w:ilvl w:val="3"/>
        <w:numId w:val="29"/>
      </w:numPr>
      <w:spacing w:before="300" w:after="20" w:line="280" w:lineRule="exact"/>
      <w:outlineLvl w:val="3"/>
    </w:pPr>
    <w:rPr>
      <w:rFonts w:asciiTheme="majorHAnsi" w:hAnsiTheme="majorHAnsi"/>
      <w:b/>
      <w:color w:val="9757A6"/>
      <w:sz w:val="20"/>
      <w:lang w:eastAsia="en-AU"/>
    </w:rPr>
  </w:style>
  <w:style w:type="paragraph" w:styleId="Heading5">
    <w:name w:val="heading 5"/>
    <w:basedOn w:val="Heading4"/>
    <w:next w:val="BodyText"/>
    <w:qFormat/>
    <w:rsid w:val="00B4627C"/>
    <w:pPr>
      <w:numPr>
        <w:ilvl w:val="4"/>
      </w:numPr>
      <w:outlineLvl w:val="4"/>
    </w:pPr>
    <w:rPr>
      <w:i/>
      <w:szCs w:val="22"/>
    </w:rPr>
  </w:style>
  <w:style w:type="paragraph" w:styleId="Heading6">
    <w:name w:val="heading 6"/>
    <w:basedOn w:val="Normal"/>
    <w:next w:val="Normal"/>
    <w:semiHidden/>
    <w:rsid w:val="00C249C7"/>
    <w:pPr>
      <w:keepNext/>
      <w:spacing w:before="240" w:after="60"/>
      <w:outlineLvl w:val="5"/>
    </w:pPr>
    <w:rPr>
      <w:i/>
      <w:sz w:val="22"/>
    </w:rPr>
  </w:style>
  <w:style w:type="paragraph" w:styleId="Heading7">
    <w:name w:val="heading 7"/>
    <w:next w:val="BodyText"/>
    <w:qFormat/>
    <w:rsid w:val="0071248D"/>
    <w:pPr>
      <w:keepNext/>
      <w:numPr>
        <w:ilvl w:val="6"/>
        <w:numId w:val="29"/>
      </w:numPr>
      <w:spacing w:before="300" w:after="60" w:line="420" w:lineRule="exact"/>
      <w:outlineLvl w:val="6"/>
    </w:pPr>
    <w:rPr>
      <w:rFonts w:asciiTheme="majorHAnsi" w:hAnsiTheme="majorHAnsi"/>
      <w:b/>
      <w:color w:val="9757A6"/>
      <w:sz w:val="36"/>
      <w:szCs w:val="36"/>
      <w:lang w:eastAsia="en-AU"/>
    </w:rPr>
  </w:style>
  <w:style w:type="paragraph" w:styleId="Heading8">
    <w:name w:val="heading 8"/>
    <w:next w:val="BodyText"/>
    <w:qFormat/>
    <w:rsid w:val="0071248D"/>
    <w:pPr>
      <w:keepNext/>
      <w:numPr>
        <w:ilvl w:val="7"/>
        <w:numId w:val="29"/>
      </w:numPr>
      <w:pBdr>
        <w:bottom w:val="single" w:sz="8" w:space="1" w:color="BFBFBF" w:themeColor="background1" w:themeShade="BF"/>
      </w:pBdr>
      <w:spacing w:before="300" w:after="60" w:line="340" w:lineRule="exact"/>
      <w:outlineLvl w:val="7"/>
    </w:pPr>
    <w:rPr>
      <w:rFonts w:asciiTheme="majorHAnsi" w:hAnsiTheme="majorHAnsi"/>
      <w:b/>
      <w:color w:val="9757A6" w:themeColor="text2"/>
      <w:sz w:val="28"/>
      <w:szCs w:val="28"/>
      <w:lang w:eastAsia="en-AU"/>
    </w:rPr>
  </w:style>
  <w:style w:type="paragraph" w:styleId="Heading9">
    <w:name w:val="heading 9"/>
    <w:basedOn w:val="BodyText"/>
    <w:next w:val="BodyText"/>
    <w:qFormat/>
    <w:rsid w:val="0071248D"/>
    <w:pPr>
      <w:keepNext/>
      <w:numPr>
        <w:ilvl w:val="8"/>
        <w:numId w:val="29"/>
      </w:numPr>
      <w:spacing w:before="300" w:line="270" w:lineRule="exact"/>
      <w:outlineLvl w:val="8"/>
    </w:pPr>
    <w:rPr>
      <w:rFonts w:asciiTheme="majorHAnsi" w:hAnsiTheme="majorHAnsi"/>
      <w:b/>
      <w:color w:val="9757A6"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
    <w:link w:val="BodyTextChar"/>
    <w:qFormat/>
    <w:rsid w:val="00F259AE"/>
    <w:pPr>
      <w:spacing w:before="120" w:after="120" w:line="280" w:lineRule="exact"/>
    </w:pPr>
    <w:rPr>
      <w:rFonts w:asciiTheme="minorHAnsi" w:hAnsiTheme="minorHAnsi"/>
      <w:szCs w:val="22"/>
      <w:lang w:eastAsia="en-AU"/>
    </w:rPr>
  </w:style>
  <w:style w:type="paragraph" w:styleId="Header">
    <w:name w:val="header"/>
    <w:link w:val="HeaderChar"/>
    <w:rsid w:val="00C249C7"/>
    <w:pPr>
      <w:spacing w:before="0" w:line="240" w:lineRule="auto"/>
    </w:pPr>
    <w:rPr>
      <w:rFonts w:asciiTheme="minorHAnsi" w:hAnsiTheme="minorHAnsi"/>
      <w:noProof/>
      <w:sz w:val="16"/>
      <w:lang w:eastAsia="en-AU"/>
    </w:rPr>
  </w:style>
  <w:style w:type="paragraph" w:styleId="Footer">
    <w:name w:val="footer"/>
    <w:link w:val="FooterChar"/>
    <w:uiPriority w:val="99"/>
    <w:rsid w:val="00C249C7"/>
    <w:pPr>
      <w:spacing w:before="0" w:line="240" w:lineRule="auto"/>
      <w:ind w:right="851"/>
    </w:pPr>
    <w:rPr>
      <w:rFonts w:asciiTheme="minorHAnsi" w:hAnsiTheme="minorHAnsi"/>
      <w:sz w:val="14"/>
      <w:lang w:eastAsia="en-US"/>
    </w:rPr>
  </w:style>
  <w:style w:type="paragraph" w:styleId="Title">
    <w:name w:val="Title"/>
    <w:link w:val="TitleChar"/>
    <w:rsid w:val="00180AC7"/>
    <w:pPr>
      <w:spacing w:before="0" w:after="300" w:line="380" w:lineRule="exact"/>
    </w:pPr>
    <w:rPr>
      <w:rFonts w:asciiTheme="majorHAnsi" w:eastAsiaTheme="majorEastAsia" w:hAnsiTheme="majorHAnsi" w:cstheme="majorBidi"/>
      <w:caps/>
      <w:spacing w:val="5"/>
      <w:kern w:val="28"/>
      <w:sz w:val="41"/>
      <w:szCs w:val="52"/>
      <w:lang w:eastAsia="en-US"/>
    </w:rPr>
  </w:style>
  <w:style w:type="paragraph" w:customStyle="1" w:styleId="Preparedfor">
    <w:name w:val="Prepared for"/>
    <w:semiHidden/>
    <w:rsid w:val="00C249C7"/>
    <w:pPr>
      <w:ind w:left="1674"/>
      <w:jc w:val="right"/>
    </w:pPr>
    <w:rPr>
      <w:rFonts w:ascii="Century Gothic" w:hAnsi="Century Gothic"/>
      <w:sz w:val="18"/>
      <w:szCs w:val="20"/>
      <w:lang w:eastAsia="en-AU"/>
    </w:rPr>
  </w:style>
  <w:style w:type="paragraph" w:customStyle="1" w:styleId="CoverLogos">
    <w:name w:val="Cover Logos"/>
    <w:uiPriority w:val="99"/>
    <w:semiHidden/>
    <w:rsid w:val="00C249C7"/>
    <w:pPr>
      <w:framePr w:wrap="notBeside" w:vAnchor="text" w:hAnchor="text" w:y="1"/>
      <w:spacing w:before="60" w:line="240" w:lineRule="auto"/>
      <w:jc w:val="right"/>
    </w:pPr>
    <w:rPr>
      <w:noProof/>
      <w:szCs w:val="20"/>
      <w:lang w:eastAsia="en-AU"/>
    </w:rPr>
  </w:style>
  <w:style w:type="paragraph" w:customStyle="1" w:styleId="SaveDate">
    <w:name w:val="Save Date"/>
    <w:semiHidden/>
    <w:rsid w:val="00C249C7"/>
    <w:pPr>
      <w:ind w:left="2716"/>
      <w:jc w:val="right"/>
    </w:pPr>
    <w:rPr>
      <w:rFonts w:ascii="Century Gothic" w:hAnsi="Century Gothic"/>
      <w:b/>
      <w:lang w:eastAsia="en-US"/>
    </w:rPr>
  </w:style>
  <w:style w:type="paragraph" w:customStyle="1" w:styleId="CoverInfo">
    <w:name w:val="Cover Info"/>
    <w:uiPriority w:val="99"/>
    <w:rsid w:val="00C249C7"/>
    <w:pPr>
      <w:spacing w:before="20" w:after="20" w:line="240" w:lineRule="auto"/>
    </w:pPr>
    <w:rPr>
      <w:rFonts w:asciiTheme="minorHAnsi" w:hAnsiTheme="minorHAnsi"/>
      <w:color w:val="5F5F5F"/>
      <w:sz w:val="18"/>
      <w:szCs w:val="20"/>
      <w:lang w:val="fr-FR" w:eastAsia="en-AU"/>
    </w:rPr>
  </w:style>
  <w:style w:type="paragraph" w:customStyle="1" w:styleId="CoverLogo">
    <w:name w:val="CoverLogo"/>
    <w:uiPriority w:val="99"/>
    <w:semiHidden/>
    <w:rsid w:val="00C249C7"/>
    <w:pPr>
      <w:spacing w:before="120" w:line="240" w:lineRule="auto"/>
    </w:pPr>
    <w:rPr>
      <w:szCs w:val="20"/>
      <w:lang w:eastAsia="en-AU"/>
    </w:rPr>
  </w:style>
  <w:style w:type="paragraph" w:customStyle="1" w:styleId="SubTitle">
    <w:name w:val="Sub Title"/>
    <w:uiPriority w:val="99"/>
    <w:semiHidden/>
    <w:rsid w:val="00C249C7"/>
    <w:pPr>
      <w:spacing w:before="40" w:line="360" w:lineRule="exact"/>
      <w:ind w:left="2778"/>
      <w:jc w:val="right"/>
    </w:pPr>
    <w:rPr>
      <w:rFonts w:ascii="Century Gothic" w:hAnsi="Century Gothic"/>
      <w:szCs w:val="20"/>
      <w:lang w:eastAsia="en-AU"/>
    </w:rPr>
  </w:style>
  <w:style w:type="paragraph" w:customStyle="1" w:styleId="Copyright">
    <w:name w:val="Copyright"/>
    <w:uiPriority w:val="99"/>
    <w:semiHidden/>
    <w:rsid w:val="00C249C7"/>
    <w:pPr>
      <w:spacing w:before="80" w:line="250" w:lineRule="exact"/>
    </w:pPr>
    <w:rPr>
      <w:color w:val="000000"/>
      <w:sz w:val="20"/>
      <w:szCs w:val="20"/>
      <w:lang w:eastAsia="en-AU"/>
    </w:rPr>
  </w:style>
  <w:style w:type="paragraph" w:styleId="BodyText2">
    <w:name w:val="Body Text 2"/>
    <w:basedOn w:val="Normal"/>
    <w:semiHidden/>
    <w:rsid w:val="00C249C7"/>
    <w:rPr>
      <w:color w:val="FF0000"/>
    </w:rPr>
  </w:style>
  <w:style w:type="paragraph" w:customStyle="1" w:styleId="CoverHeadings">
    <w:name w:val="Cover Headings"/>
    <w:uiPriority w:val="99"/>
    <w:semiHidden/>
    <w:rsid w:val="00C249C7"/>
    <w:pPr>
      <w:spacing w:before="240" w:line="270" w:lineRule="exact"/>
    </w:pPr>
    <w:rPr>
      <w:rFonts w:ascii="Century Gothic" w:hAnsi="Century Gothic"/>
      <w:b/>
      <w:color w:val="000080"/>
      <w:sz w:val="22"/>
      <w:lang w:eastAsia="en-US"/>
    </w:rPr>
  </w:style>
  <w:style w:type="paragraph" w:customStyle="1" w:styleId="Office">
    <w:name w:val="Office"/>
    <w:semiHidden/>
    <w:rsid w:val="00C249C7"/>
    <w:pPr>
      <w:spacing w:before="300" w:line="240" w:lineRule="auto"/>
      <w:ind w:right="-291"/>
    </w:pPr>
    <w:rPr>
      <w:rFonts w:ascii="Century Gothic" w:hAnsi="Century Gothic"/>
      <w:b/>
      <w:color w:val="808080"/>
      <w:sz w:val="20"/>
      <w:szCs w:val="20"/>
      <w:lang w:eastAsia="en-AU"/>
    </w:rPr>
  </w:style>
  <w:style w:type="character" w:styleId="Hyperlink">
    <w:name w:val="Hyperlink"/>
    <w:basedOn w:val="DefaultParagraphFont"/>
    <w:uiPriority w:val="99"/>
    <w:rsid w:val="00C249C7"/>
    <w:rPr>
      <w:color w:val="0000FF"/>
      <w:u w:val="single"/>
    </w:rPr>
  </w:style>
  <w:style w:type="character" w:customStyle="1" w:styleId="TitleChar">
    <w:name w:val="Title Char"/>
    <w:basedOn w:val="DefaultParagraphFont"/>
    <w:link w:val="Title"/>
    <w:rsid w:val="00180AC7"/>
    <w:rPr>
      <w:rFonts w:asciiTheme="majorHAnsi" w:eastAsiaTheme="majorEastAsia" w:hAnsiTheme="majorHAnsi" w:cstheme="majorBidi"/>
      <w:caps/>
      <w:spacing w:val="5"/>
      <w:kern w:val="28"/>
      <w:sz w:val="41"/>
      <w:szCs w:val="52"/>
      <w:lang w:eastAsia="en-US"/>
    </w:rPr>
  </w:style>
  <w:style w:type="paragraph" w:customStyle="1" w:styleId="Heading10">
    <w:name w:val="Heading 10"/>
    <w:basedOn w:val="Heading4"/>
    <w:next w:val="BodyText"/>
    <w:qFormat/>
    <w:rsid w:val="00C249C7"/>
    <w:pPr>
      <w:numPr>
        <w:ilvl w:val="0"/>
        <w:numId w:val="0"/>
      </w:numPr>
    </w:pPr>
    <w:rPr>
      <w:szCs w:val="22"/>
    </w:rPr>
  </w:style>
  <w:style w:type="paragraph" w:customStyle="1" w:styleId="Heading11">
    <w:name w:val="Heading 11"/>
    <w:basedOn w:val="Heading5"/>
    <w:next w:val="BodyText"/>
    <w:qFormat/>
    <w:rsid w:val="00C249C7"/>
    <w:pPr>
      <w:numPr>
        <w:ilvl w:val="0"/>
        <w:numId w:val="0"/>
      </w:numPr>
    </w:pPr>
  </w:style>
  <w:style w:type="paragraph" w:customStyle="1" w:styleId="BoxText">
    <w:name w:val="Box Text"/>
    <w:basedOn w:val="BodyText"/>
    <w:qFormat/>
    <w:rsid w:val="00556389"/>
    <w:pPr>
      <w:keepNext/>
      <w:keepLines/>
      <w:spacing w:before="80" w:after="40" w:line="220" w:lineRule="exact"/>
    </w:pPr>
    <w:rPr>
      <w:sz w:val="20"/>
    </w:rPr>
  </w:style>
  <w:style w:type="paragraph" w:customStyle="1" w:styleId="BoxContinued">
    <w:name w:val="Box Continued"/>
    <w:basedOn w:val="Normal"/>
    <w:next w:val="BodyText"/>
    <w:uiPriority w:val="99"/>
    <w:semiHidden/>
    <w:rsid w:val="00C249C7"/>
    <w:pPr>
      <w:spacing w:after="40" w:line="240" w:lineRule="auto"/>
      <w:jc w:val="right"/>
    </w:pPr>
    <w:rPr>
      <w:sz w:val="14"/>
      <w:lang w:eastAsia="en-AU"/>
    </w:rPr>
  </w:style>
  <w:style w:type="paragraph" w:customStyle="1" w:styleId="BoxSideHeading1">
    <w:name w:val="Box Side Heading 1"/>
    <w:basedOn w:val="BoxText"/>
    <w:next w:val="BoxText"/>
    <w:uiPriority w:val="4"/>
    <w:rsid w:val="00C249C7"/>
    <w:pPr>
      <w:spacing w:before="240"/>
    </w:pPr>
    <w:rPr>
      <w:b/>
    </w:rPr>
  </w:style>
  <w:style w:type="paragraph" w:customStyle="1" w:styleId="BoxSideHeading2">
    <w:name w:val="Box Side Heading 2"/>
    <w:basedOn w:val="BoxText"/>
    <w:next w:val="BoxText"/>
    <w:uiPriority w:val="4"/>
    <w:rsid w:val="00C249C7"/>
    <w:pPr>
      <w:spacing w:before="200"/>
    </w:pPr>
    <w:rPr>
      <w:i/>
    </w:rPr>
  </w:style>
  <w:style w:type="paragraph" w:customStyle="1" w:styleId="BoxListBullet">
    <w:name w:val="Box List Bullet"/>
    <w:uiPriority w:val="4"/>
    <w:rsid w:val="009A67B0"/>
    <w:pPr>
      <w:numPr>
        <w:numId w:val="27"/>
      </w:numPr>
      <w:spacing w:before="40" w:after="40" w:line="220" w:lineRule="exact"/>
    </w:pPr>
    <w:rPr>
      <w:rFonts w:asciiTheme="minorHAnsi" w:hAnsiTheme="minorHAnsi"/>
      <w:sz w:val="20"/>
      <w:lang w:eastAsia="en-AU"/>
    </w:rPr>
  </w:style>
  <w:style w:type="paragraph" w:customStyle="1" w:styleId="BoxListBullet2">
    <w:name w:val="Box List Bullet 2"/>
    <w:basedOn w:val="BoxListBullet"/>
    <w:rsid w:val="00C249C7"/>
    <w:pPr>
      <w:numPr>
        <w:ilvl w:val="1"/>
      </w:numPr>
    </w:pPr>
  </w:style>
  <w:style w:type="paragraph" w:customStyle="1" w:styleId="BoxListNumber">
    <w:name w:val="Box List Number"/>
    <w:uiPriority w:val="4"/>
    <w:rsid w:val="00826BEB"/>
    <w:pPr>
      <w:numPr>
        <w:numId w:val="24"/>
      </w:numPr>
      <w:spacing w:before="40" w:after="40" w:line="220" w:lineRule="exact"/>
    </w:pPr>
    <w:rPr>
      <w:rFonts w:asciiTheme="minorHAnsi" w:hAnsiTheme="minorHAnsi"/>
      <w:color w:val="000000"/>
      <w:sz w:val="20"/>
      <w:lang w:eastAsia="en-US"/>
    </w:rPr>
  </w:style>
  <w:style w:type="paragraph" w:customStyle="1" w:styleId="BoxQuote">
    <w:name w:val="Box Quote"/>
    <w:basedOn w:val="BoxText"/>
    <w:next w:val="BoxText"/>
    <w:uiPriority w:val="4"/>
    <w:rsid w:val="00826BEB"/>
    <w:pPr>
      <w:spacing w:line="240" w:lineRule="auto"/>
      <w:ind w:left="227"/>
    </w:pPr>
    <w:rPr>
      <w:sz w:val="18"/>
      <w:szCs w:val="14"/>
    </w:rPr>
  </w:style>
  <w:style w:type="paragraph" w:styleId="Caption">
    <w:name w:val="caption"/>
    <w:next w:val="BodyText"/>
    <w:qFormat/>
    <w:rsid w:val="00366ADF"/>
    <w:pPr>
      <w:keepNext/>
      <w:spacing w:before="360" w:after="40" w:line="240" w:lineRule="exact"/>
      <w:ind w:left="992" w:hanging="992"/>
    </w:pPr>
    <w:rPr>
      <w:rFonts w:asciiTheme="majorHAnsi" w:hAnsiTheme="majorHAnsi" w:cs="Arial"/>
      <w:sz w:val="20"/>
      <w:lang w:eastAsia="en-US"/>
    </w:rPr>
  </w:style>
  <w:style w:type="paragraph" w:customStyle="1" w:styleId="ChapterSummary">
    <w:name w:val="Chapter Summary"/>
    <w:basedOn w:val="BodyText"/>
    <w:next w:val="BodyText"/>
    <w:rsid w:val="00C249C7"/>
    <w:pPr>
      <w:spacing w:before="200" w:after="60" w:line="300" w:lineRule="exact"/>
      <w:ind w:left="-2552"/>
    </w:pPr>
    <w:rPr>
      <w:b/>
      <w:i/>
      <w:color w:val="808080" w:themeColor="background1" w:themeShade="80"/>
    </w:rPr>
  </w:style>
  <w:style w:type="paragraph" w:styleId="ListBullet">
    <w:name w:val="List Bullet"/>
    <w:basedOn w:val="BodyText"/>
    <w:uiPriority w:val="2"/>
    <w:qFormat/>
    <w:rsid w:val="00CE3F7C"/>
    <w:pPr>
      <w:numPr>
        <w:numId w:val="26"/>
      </w:numPr>
      <w:spacing w:before="60" w:after="60"/>
    </w:pPr>
  </w:style>
  <w:style w:type="paragraph" w:styleId="ListBullet2">
    <w:name w:val="List Bullet 2"/>
    <w:basedOn w:val="ListBullet"/>
    <w:uiPriority w:val="2"/>
    <w:qFormat/>
    <w:rsid w:val="00C249C7"/>
    <w:pPr>
      <w:numPr>
        <w:ilvl w:val="1"/>
      </w:numPr>
    </w:pPr>
  </w:style>
  <w:style w:type="character" w:styleId="CommentReference">
    <w:name w:val="annotation reference"/>
    <w:basedOn w:val="DefaultParagraphFont"/>
    <w:semiHidden/>
    <w:rsid w:val="00C249C7"/>
    <w:rPr>
      <w:rFonts w:ascii="Garamond" w:hAnsi="Garamond"/>
      <w:b/>
      <w:vanish/>
      <w:color w:val="FF00FF"/>
      <w:sz w:val="20"/>
    </w:rPr>
  </w:style>
  <w:style w:type="paragraph" w:styleId="CommentText">
    <w:name w:val="annotation text"/>
    <w:basedOn w:val="BodyText"/>
    <w:uiPriority w:val="99"/>
    <w:semiHidden/>
    <w:rsid w:val="00C249C7"/>
    <w:pPr>
      <w:ind w:left="567" w:hanging="567"/>
    </w:pPr>
    <w:rPr>
      <w:rFonts w:ascii="Century Gothic" w:hAnsi="Century Gothic"/>
      <w:sz w:val="21"/>
    </w:rPr>
  </w:style>
  <w:style w:type="paragraph" w:customStyle="1" w:styleId="Confidential">
    <w:name w:val="Confidential"/>
    <w:next w:val="BodyText"/>
    <w:uiPriority w:val="99"/>
    <w:semiHidden/>
    <w:rsid w:val="00C249C7"/>
    <w:pPr>
      <w:spacing w:before="120" w:line="520" w:lineRule="exact"/>
      <w:ind w:left="2268"/>
      <w:jc w:val="right"/>
    </w:pPr>
    <w:rPr>
      <w:rFonts w:ascii="Century Gothic" w:hAnsi="Century Gothic"/>
      <w:b/>
      <w:color w:val="808080" w:themeColor="background1" w:themeShade="80"/>
      <w:sz w:val="52"/>
      <w:lang w:eastAsia="en-US"/>
    </w:rPr>
  </w:style>
  <w:style w:type="paragraph" w:customStyle="1" w:styleId="Contents">
    <w:name w:val="Contents"/>
    <w:basedOn w:val="BodyText"/>
    <w:next w:val="BodyText"/>
    <w:rsid w:val="00C249C7"/>
    <w:pPr>
      <w:pBdr>
        <w:bottom w:val="single" w:sz="4" w:space="1" w:color="A6A6A6" w:themeColor="background1" w:themeShade="A6"/>
      </w:pBdr>
      <w:tabs>
        <w:tab w:val="left" w:pos="0"/>
      </w:tabs>
      <w:spacing w:before="200" w:after="200" w:line="240" w:lineRule="auto"/>
      <w:jc w:val="center"/>
      <w:outlineLvl w:val="3"/>
    </w:pPr>
    <w:rPr>
      <w:rFonts w:ascii="Novecento UltraLight" w:hAnsi="Novecento UltraLight"/>
      <w:spacing w:val="460"/>
      <w:sz w:val="66"/>
      <w:szCs w:val="52"/>
    </w:rPr>
  </w:style>
  <w:style w:type="paragraph" w:styleId="TOC1">
    <w:name w:val="toc 1"/>
    <w:basedOn w:val="BodyText"/>
    <w:next w:val="TOC2"/>
    <w:autoRedefine/>
    <w:uiPriority w:val="39"/>
    <w:rsid w:val="008F2020"/>
    <w:pPr>
      <w:keepNext/>
      <w:pBdr>
        <w:top w:val="single" w:sz="6" w:space="1" w:color="BFBFBF" w:themeColor="background1" w:themeShade="BF"/>
      </w:pBdr>
      <w:tabs>
        <w:tab w:val="left" w:pos="340"/>
        <w:tab w:val="right" w:pos="7371"/>
      </w:tabs>
      <w:spacing w:before="300"/>
      <w:ind w:left="340" w:right="567" w:hanging="340"/>
    </w:pPr>
    <w:rPr>
      <w:rFonts w:asciiTheme="majorHAnsi" w:hAnsiTheme="majorHAnsi"/>
      <w:b/>
      <w:noProof/>
      <w:color w:val="9757A6"/>
    </w:rPr>
  </w:style>
  <w:style w:type="paragraph" w:styleId="TOC2">
    <w:name w:val="toc 2"/>
    <w:autoRedefine/>
    <w:uiPriority w:val="39"/>
    <w:rsid w:val="009949E9"/>
    <w:pPr>
      <w:tabs>
        <w:tab w:val="left" w:pos="794"/>
        <w:tab w:val="right" w:pos="7371"/>
      </w:tabs>
      <w:spacing w:before="60"/>
      <w:ind w:left="794" w:right="568" w:hanging="454"/>
    </w:pPr>
    <w:rPr>
      <w:rFonts w:asciiTheme="majorHAnsi" w:hAnsiTheme="majorHAnsi"/>
      <w:noProof/>
      <w:sz w:val="22"/>
      <w:lang w:eastAsia="en-AU"/>
    </w:rPr>
  </w:style>
  <w:style w:type="paragraph" w:customStyle="1" w:styleId="Continued">
    <w:name w:val="Continued"/>
    <w:basedOn w:val="BoxContinued"/>
    <w:next w:val="BodyText"/>
    <w:uiPriority w:val="5"/>
    <w:semiHidden/>
    <w:rsid w:val="00C249C7"/>
    <w:pPr>
      <w:spacing w:before="40"/>
      <w:jc w:val="left"/>
    </w:pPr>
    <w:rPr>
      <w:color w:val="000080"/>
      <w:sz w:val="18"/>
    </w:rPr>
  </w:style>
  <w:style w:type="character" w:customStyle="1" w:styleId="DraftingNote">
    <w:name w:val="Drafting Note"/>
    <w:basedOn w:val="DefaultParagraphFont"/>
    <w:uiPriority w:val="5"/>
    <w:rsid w:val="00C249C7"/>
    <w:rPr>
      <w:rFonts w:asciiTheme="minorHAnsi" w:hAnsiTheme="minorHAnsi"/>
      <w:b/>
      <w:color w:val="FF0000"/>
      <w:szCs w:val="20"/>
      <w:u w:val="dotted"/>
    </w:rPr>
  </w:style>
  <w:style w:type="paragraph" w:customStyle="1" w:styleId="Figure">
    <w:name w:val="Figure"/>
    <w:basedOn w:val="BodyText"/>
    <w:rsid w:val="00C249C7"/>
    <w:pPr>
      <w:keepNext/>
      <w:spacing w:before="60" w:line="240" w:lineRule="auto"/>
      <w:jc w:val="center"/>
    </w:pPr>
    <w:rPr>
      <w:sz w:val="18"/>
      <w:szCs w:val="20"/>
      <w:lang w:eastAsia="en-US"/>
    </w:rPr>
  </w:style>
  <w:style w:type="character" w:styleId="FootnoteReference">
    <w:name w:val="footnote reference"/>
    <w:aliases w:val="(NECG) Footnote Reference"/>
    <w:basedOn w:val="DefaultParagraphFont"/>
    <w:uiPriority w:val="8"/>
    <w:rsid w:val="00C249C7"/>
    <w:rPr>
      <w:rFonts w:asciiTheme="minorHAnsi" w:hAnsiTheme="minorHAnsi"/>
      <w:position w:val="0"/>
      <w:vertAlign w:val="superscript"/>
    </w:rPr>
  </w:style>
  <w:style w:type="paragraph" w:styleId="FootnoteText">
    <w:name w:val="footnote text"/>
    <w:aliases w:val="(NECG) Footnote Text"/>
    <w:basedOn w:val="BodyText"/>
    <w:link w:val="FootnoteTextChar"/>
    <w:uiPriority w:val="8"/>
    <w:rsid w:val="00C249C7"/>
    <w:pPr>
      <w:spacing w:before="80" w:line="240" w:lineRule="auto"/>
      <w:ind w:left="227" w:hanging="227"/>
    </w:pPr>
    <w:rPr>
      <w:sz w:val="16"/>
    </w:rPr>
  </w:style>
  <w:style w:type="paragraph" w:customStyle="1" w:styleId="Heading1nonumber">
    <w:name w:val="Heading 1 (no number)"/>
    <w:basedOn w:val="Normal"/>
    <w:next w:val="BodyText"/>
    <w:qFormat/>
    <w:rsid w:val="0069009F"/>
    <w:pPr>
      <w:keepNext/>
      <w:pBdr>
        <w:bottom w:val="single" w:sz="8" w:space="1" w:color="BFBFBF"/>
      </w:pBdr>
      <w:spacing w:before="300" w:after="60" w:line="340" w:lineRule="exact"/>
      <w:outlineLvl w:val="1"/>
    </w:pPr>
    <w:rPr>
      <w:rFonts w:ascii="Arial" w:hAnsi="Arial"/>
      <w:b/>
      <w:color w:val="9757A6"/>
      <w:kern w:val="36"/>
      <w:sz w:val="28"/>
      <w:lang w:eastAsia="en-AU"/>
    </w:rPr>
  </w:style>
  <w:style w:type="paragraph" w:customStyle="1" w:styleId="Heading2nonumber">
    <w:name w:val="Heading 2 (no number)"/>
    <w:basedOn w:val="Heading2"/>
    <w:next w:val="BodyText"/>
    <w:qFormat/>
    <w:rsid w:val="00C249C7"/>
    <w:pPr>
      <w:numPr>
        <w:ilvl w:val="0"/>
        <w:numId w:val="0"/>
      </w:numPr>
    </w:pPr>
  </w:style>
  <w:style w:type="paragraph" w:customStyle="1" w:styleId="Heading3nonumber">
    <w:name w:val="Heading 3 (no number)"/>
    <w:basedOn w:val="Heading3"/>
    <w:next w:val="BodyText"/>
    <w:qFormat/>
    <w:rsid w:val="00C249C7"/>
    <w:pPr>
      <w:numPr>
        <w:ilvl w:val="0"/>
        <w:numId w:val="0"/>
      </w:numPr>
    </w:pPr>
  </w:style>
  <w:style w:type="paragraph" w:customStyle="1" w:styleId="Heading8nonumber">
    <w:name w:val="Heading 8 (no number)"/>
    <w:basedOn w:val="Heading8"/>
    <w:next w:val="BodyText"/>
    <w:qFormat/>
    <w:rsid w:val="00C249C7"/>
    <w:pPr>
      <w:numPr>
        <w:ilvl w:val="0"/>
        <w:numId w:val="0"/>
      </w:numPr>
      <w:outlineLvl w:val="1"/>
    </w:pPr>
  </w:style>
  <w:style w:type="paragraph" w:customStyle="1" w:styleId="Heading9nonumber">
    <w:name w:val="Heading 9 (no number)"/>
    <w:basedOn w:val="Heading9"/>
    <w:next w:val="BodyText"/>
    <w:qFormat/>
    <w:rsid w:val="00C249C7"/>
    <w:pPr>
      <w:numPr>
        <w:ilvl w:val="0"/>
        <w:numId w:val="0"/>
      </w:numPr>
      <w:outlineLvl w:val="2"/>
    </w:pPr>
  </w:style>
  <w:style w:type="paragraph" w:customStyle="1" w:styleId="Invisiblepara">
    <w:name w:val="Invisible para"/>
    <w:basedOn w:val="Normal"/>
    <w:semiHidden/>
    <w:rsid w:val="00C249C7"/>
    <w:pPr>
      <w:keepNext/>
      <w:spacing w:before="0" w:line="240" w:lineRule="auto"/>
    </w:pPr>
    <w:rPr>
      <w:sz w:val="16"/>
    </w:rPr>
  </w:style>
  <w:style w:type="paragraph" w:styleId="ListBullet3">
    <w:name w:val="List Bullet 3"/>
    <w:basedOn w:val="ListBullet2"/>
    <w:uiPriority w:val="2"/>
    <w:qFormat/>
    <w:rsid w:val="00C249C7"/>
    <w:pPr>
      <w:numPr>
        <w:ilvl w:val="2"/>
      </w:numPr>
    </w:pPr>
  </w:style>
  <w:style w:type="paragraph" w:styleId="ListNumber">
    <w:name w:val="List Number"/>
    <w:basedOn w:val="ListBullet"/>
    <w:uiPriority w:val="2"/>
    <w:qFormat/>
    <w:rsid w:val="00013650"/>
    <w:pPr>
      <w:numPr>
        <w:numId w:val="25"/>
      </w:numPr>
    </w:pPr>
  </w:style>
  <w:style w:type="paragraph" w:customStyle="1" w:styleId="Note">
    <w:name w:val="Note"/>
    <w:next w:val="BodyText"/>
    <w:rsid w:val="009949E9"/>
    <w:pPr>
      <w:keepNext/>
      <w:keepLines/>
      <w:spacing w:before="40" w:line="180" w:lineRule="exact"/>
    </w:pPr>
    <w:rPr>
      <w:rFonts w:ascii="Arial" w:hAnsi="Arial"/>
      <w:sz w:val="16"/>
      <w:lang w:eastAsia="en-US"/>
    </w:rPr>
  </w:style>
  <w:style w:type="character" w:customStyle="1" w:styleId="Notelabel">
    <w:name w:val="Note label"/>
    <w:basedOn w:val="DefaultParagraphFont"/>
    <w:rsid w:val="009949E9"/>
    <w:rPr>
      <w:rFonts w:ascii="Arial" w:hAnsi="Arial"/>
      <w:b/>
      <w:color w:val="auto"/>
      <w:vertAlign w:val="superscript"/>
    </w:rPr>
  </w:style>
  <w:style w:type="character" w:customStyle="1" w:styleId="NoteLabelTable">
    <w:name w:val="Note Label Table"/>
    <w:basedOn w:val="DefaultParagraphFont"/>
    <w:uiPriority w:val="5"/>
    <w:rsid w:val="00C249C7"/>
    <w:rPr>
      <w:rFonts w:asciiTheme="minorHAnsi" w:hAnsiTheme="minorHAnsi"/>
      <w:b/>
      <w:color w:val="auto"/>
      <w:position w:val="6"/>
      <w:sz w:val="14"/>
    </w:rPr>
  </w:style>
  <w:style w:type="character" w:styleId="PageNumber">
    <w:name w:val="page number"/>
    <w:rsid w:val="00C249C7"/>
    <w:rPr>
      <w:rFonts w:ascii="Arial Narrow" w:eastAsia="Calibri" w:hAnsi="Arial Narrow"/>
      <w:sz w:val="24"/>
      <w:szCs w:val="28"/>
    </w:rPr>
  </w:style>
  <w:style w:type="paragraph" w:styleId="Quote">
    <w:name w:val="Quote"/>
    <w:basedOn w:val="BodyText"/>
    <w:next w:val="QuoteSource"/>
    <w:uiPriority w:val="4"/>
    <w:qFormat/>
    <w:rsid w:val="00C249C7"/>
    <w:pPr>
      <w:spacing w:before="60" w:after="60" w:line="220" w:lineRule="exact"/>
      <w:ind w:left="567" w:right="567"/>
    </w:pPr>
    <w:rPr>
      <w:sz w:val="18"/>
    </w:rPr>
  </w:style>
  <w:style w:type="paragraph" w:customStyle="1" w:styleId="SideNote">
    <w:name w:val="Side Note"/>
    <w:basedOn w:val="BodyText"/>
    <w:next w:val="BodyText"/>
    <w:uiPriority w:val="2"/>
    <w:rsid w:val="009949E9"/>
    <w:pPr>
      <w:keepNext/>
      <w:framePr w:w="2268" w:hSpace="284" w:vSpace="181" w:wrap="around" w:vAnchor="text" w:hAnchor="margin" w:x="-2551" w:y="1"/>
      <w:spacing w:before="60" w:after="40" w:line="220" w:lineRule="exact"/>
    </w:pPr>
    <w:rPr>
      <w:rFonts w:asciiTheme="majorHAnsi" w:hAnsiTheme="majorHAnsi"/>
      <w:b/>
      <w:color w:val="9757A6"/>
      <w:sz w:val="16"/>
    </w:rPr>
  </w:style>
  <w:style w:type="paragraph" w:customStyle="1" w:styleId="SideDash">
    <w:name w:val="Side Dash"/>
    <w:basedOn w:val="SideNote"/>
    <w:next w:val="BodyText"/>
    <w:uiPriority w:val="2"/>
    <w:qFormat/>
    <w:rsid w:val="00C249C7"/>
    <w:pPr>
      <w:framePr w:wrap="around"/>
      <w:numPr>
        <w:numId w:val="8"/>
      </w:numPr>
    </w:pPr>
  </w:style>
  <w:style w:type="paragraph" w:customStyle="1" w:styleId="Source">
    <w:name w:val="Source"/>
    <w:basedOn w:val="BodyText"/>
    <w:next w:val="BodyText"/>
    <w:rsid w:val="009949E9"/>
    <w:pPr>
      <w:pBdr>
        <w:bottom w:val="single" w:sz="2" w:space="1" w:color="C0C0C0"/>
      </w:pBdr>
      <w:spacing w:before="40" w:after="60" w:line="180" w:lineRule="exact"/>
    </w:pPr>
    <w:rPr>
      <w:rFonts w:ascii="Arial" w:hAnsi="Arial"/>
      <w:sz w:val="16"/>
      <w:szCs w:val="14"/>
    </w:rPr>
  </w:style>
  <w:style w:type="paragraph" w:customStyle="1" w:styleId="PageNumberLandscape">
    <w:name w:val="Page Number Landscape"/>
    <w:basedOn w:val="Normal"/>
    <w:link w:val="PageNumberLandscapeChar"/>
    <w:semiHidden/>
    <w:rsid w:val="00C249C7"/>
    <w:pPr>
      <w:jc w:val="right"/>
    </w:pPr>
  </w:style>
  <w:style w:type="paragraph" w:customStyle="1" w:styleId="Tablebody">
    <w:name w:val="Table body"/>
    <w:basedOn w:val="Tabletext"/>
    <w:uiPriority w:val="3"/>
    <w:rsid w:val="00E10C5B"/>
  </w:style>
  <w:style w:type="paragraph" w:customStyle="1" w:styleId="Tablecolumnheadings">
    <w:name w:val="Table column headings"/>
    <w:uiPriority w:val="3"/>
    <w:qFormat/>
    <w:rsid w:val="00C249C7"/>
    <w:pPr>
      <w:keepNext/>
      <w:spacing w:before="60" w:after="60" w:line="220" w:lineRule="exact"/>
    </w:pPr>
    <w:rPr>
      <w:rFonts w:asciiTheme="majorHAnsi" w:hAnsiTheme="majorHAnsi"/>
      <w:color w:val="FFFFFF" w:themeColor="background1"/>
      <w:sz w:val="16"/>
      <w:szCs w:val="16"/>
      <w:lang w:eastAsia="en-US"/>
    </w:rPr>
  </w:style>
  <w:style w:type="paragraph" w:customStyle="1" w:styleId="Tablecontinued">
    <w:name w:val="Table continued"/>
    <w:basedOn w:val="Note"/>
    <w:next w:val="BodyText"/>
    <w:uiPriority w:val="4"/>
    <w:semiHidden/>
    <w:rsid w:val="00C249C7"/>
    <w:pPr>
      <w:spacing w:after="120" w:line="220" w:lineRule="exact"/>
      <w:jc w:val="right"/>
    </w:pPr>
  </w:style>
  <w:style w:type="paragraph" w:customStyle="1" w:styleId="Tablesideheading1">
    <w:name w:val="Table side heading 1"/>
    <w:basedOn w:val="Tablebody"/>
    <w:next w:val="Tabletext"/>
    <w:uiPriority w:val="3"/>
    <w:rsid w:val="009949E9"/>
    <w:rPr>
      <w:b/>
      <w:color w:val="auto"/>
      <w:szCs w:val="16"/>
    </w:rPr>
  </w:style>
  <w:style w:type="paragraph" w:customStyle="1" w:styleId="Tablesideheading2">
    <w:name w:val="Table side heading 2"/>
    <w:basedOn w:val="Tablesideheading1"/>
    <w:next w:val="Tabletext"/>
    <w:uiPriority w:val="3"/>
    <w:rsid w:val="009949E9"/>
    <w:rPr>
      <w:b w:val="0"/>
      <w:i/>
    </w:rPr>
  </w:style>
  <w:style w:type="paragraph" w:customStyle="1" w:styleId="Tablelistbullet">
    <w:name w:val="Table list bullet"/>
    <w:uiPriority w:val="3"/>
    <w:rsid w:val="009A67B0"/>
    <w:pPr>
      <w:numPr>
        <w:numId w:val="28"/>
      </w:numPr>
      <w:spacing w:before="40" w:after="40" w:line="240" w:lineRule="auto"/>
    </w:pPr>
    <w:rPr>
      <w:rFonts w:ascii="Arial" w:hAnsi="Arial"/>
      <w:color w:val="000000"/>
      <w:sz w:val="16"/>
      <w:lang w:eastAsia="en-US"/>
    </w:rPr>
  </w:style>
  <w:style w:type="paragraph" w:customStyle="1" w:styleId="Tablelistbullet2">
    <w:name w:val="Table list bullet 2"/>
    <w:basedOn w:val="Tablebody"/>
    <w:uiPriority w:val="3"/>
    <w:rsid w:val="009A67B0"/>
    <w:pPr>
      <w:numPr>
        <w:ilvl w:val="1"/>
        <w:numId w:val="28"/>
      </w:numPr>
      <w:tabs>
        <w:tab w:val="num" w:pos="360"/>
      </w:tabs>
      <w:ind w:left="0" w:firstLine="0"/>
    </w:pPr>
  </w:style>
  <w:style w:type="paragraph" w:customStyle="1" w:styleId="Tablelistnumber">
    <w:name w:val="Table list number"/>
    <w:uiPriority w:val="3"/>
    <w:rsid w:val="00520ED6"/>
    <w:pPr>
      <w:numPr>
        <w:numId w:val="21"/>
      </w:numPr>
      <w:spacing w:before="40" w:after="40" w:line="240" w:lineRule="auto"/>
    </w:pPr>
    <w:rPr>
      <w:rFonts w:ascii="Arial" w:hAnsi="Arial"/>
      <w:color w:val="000000"/>
      <w:sz w:val="16"/>
      <w:lang w:eastAsia="en-US"/>
    </w:rPr>
  </w:style>
  <w:style w:type="paragraph" w:styleId="TableofFigures">
    <w:name w:val="table of figures"/>
    <w:basedOn w:val="BodyText"/>
    <w:next w:val="BodyText"/>
    <w:autoRedefine/>
    <w:uiPriority w:val="99"/>
    <w:rsid w:val="009949E9"/>
    <w:pPr>
      <w:tabs>
        <w:tab w:val="left" w:pos="1021"/>
        <w:tab w:val="right" w:pos="7371"/>
      </w:tabs>
      <w:spacing w:before="40" w:line="240" w:lineRule="auto"/>
      <w:ind w:left="1021" w:right="680" w:hanging="1021"/>
    </w:pPr>
    <w:rPr>
      <w:rFonts w:asciiTheme="majorHAnsi" w:hAnsiTheme="majorHAnsi"/>
      <w:sz w:val="18"/>
    </w:rPr>
  </w:style>
  <w:style w:type="paragraph" w:customStyle="1" w:styleId="Tableunitsrow">
    <w:name w:val="Table units row"/>
    <w:basedOn w:val="Tablecolumnheadings"/>
    <w:uiPriority w:val="3"/>
    <w:rsid w:val="009949E9"/>
    <w:pPr>
      <w:spacing w:before="40"/>
    </w:pPr>
    <w:rPr>
      <w:color w:val="auto"/>
    </w:rPr>
  </w:style>
  <w:style w:type="paragraph" w:styleId="TOC3">
    <w:name w:val="toc 3"/>
    <w:basedOn w:val="TOC2"/>
    <w:next w:val="BodyText"/>
    <w:autoRedefine/>
    <w:uiPriority w:val="39"/>
    <w:rsid w:val="009949E9"/>
    <w:pPr>
      <w:tabs>
        <w:tab w:val="clear" w:pos="794"/>
        <w:tab w:val="left" w:pos="1361"/>
      </w:tabs>
      <w:ind w:left="1361" w:hanging="567"/>
    </w:pPr>
  </w:style>
  <w:style w:type="paragraph" w:customStyle="1" w:styleId="Footerlandscape">
    <w:name w:val="Footer landscape"/>
    <w:basedOn w:val="PageNumberLandscape"/>
    <w:semiHidden/>
    <w:rsid w:val="00C249C7"/>
    <w:pPr>
      <w:framePr w:wrap="around" w:hAnchor="text"/>
      <w:jc w:val="left"/>
    </w:pPr>
  </w:style>
  <w:style w:type="character" w:customStyle="1" w:styleId="PlaceholderTitle">
    <w:name w:val="Placeholder Title"/>
    <w:rsid w:val="00C249C7"/>
    <w:rPr>
      <w:b/>
      <w:color w:val="000000"/>
    </w:rPr>
  </w:style>
  <w:style w:type="paragraph" w:customStyle="1" w:styleId="Reference">
    <w:name w:val="Reference"/>
    <w:basedOn w:val="BodyText"/>
    <w:uiPriority w:val="99"/>
    <w:rsid w:val="00C249C7"/>
    <w:pPr>
      <w:spacing w:before="100" w:line="240" w:lineRule="auto"/>
      <w:ind w:left="340" w:hanging="340"/>
    </w:pPr>
    <w:rPr>
      <w:sz w:val="21"/>
    </w:rPr>
  </w:style>
  <w:style w:type="paragraph" w:styleId="ListNumber2">
    <w:name w:val="List Number 2"/>
    <w:basedOn w:val="ListNumber"/>
    <w:uiPriority w:val="2"/>
    <w:rsid w:val="00013650"/>
    <w:pPr>
      <w:numPr>
        <w:ilvl w:val="1"/>
      </w:numPr>
      <w:spacing w:before="40" w:after="40" w:line="260" w:lineRule="exact"/>
    </w:pPr>
  </w:style>
  <w:style w:type="paragraph" w:customStyle="1" w:styleId="LastBoxRow">
    <w:name w:val="LastBoxRow"/>
    <w:basedOn w:val="BoxText"/>
    <w:uiPriority w:val="99"/>
    <w:semiHidden/>
    <w:rsid w:val="00C249C7"/>
    <w:rPr>
      <w:sz w:val="8"/>
      <w:szCs w:val="8"/>
    </w:rPr>
  </w:style>
  <w:style w:type="paragraph" w:styleId="BodyText3">
    <w:name w:val="Body Text 3"/>
    <w:basedOn w:val="Normal"/>
    <w:semiHidden/>
    <w:rsid w:val="00C249C7"/>
    <w:rPr>
      <w:sz w:val="16"/>
    </w:rPr>
  </w:style>
  <w:style w:type="paragraph" w:styleId="ListBullet4">
    <w:name w:val="List Bullet 4"/>
    <w:basedOn w:val="Normal"/>
    <w:semiHidden/>
    <w:rsid w:val="00C249C7"/>
    <w:pPr>
      <w:numPr>
        <w:numId w:val="1"/>
      </w:numPr>
    </w:pPr>
  </w:style>
  <w:style w:type="paragraph" w:styleId="ListBullet5">
    <w:name w:val="List Bullet 5"/>
    <w:basedOn w:val="Normal"/>
    <w:semiHidden/>
    <w:rsid w:val="00C249C7"/>
    <w:pPr>
      <w:numPr>
        <w:numId w:val="2"/>
      </w:numPr>
    </w:pPr>
  </w:style>
  <w:style w:type="paragraph" w:customStyle="1" w:styleId="BoxListNumber2">
    <w:name w:val="Box List Number 2"/>
    <w:basedOn w:val="BoxListNumber"/>
    <w:uiPriority w:val="4"/>
    <w:rsid w:val="00C249C7"/>
    <w:pPr>
      <w:numPr>
        <w:ilvl w:val="1"/>
      </w:numPr>
    </w:pPr>
  </w:style>
  <w:style w:type="paragraph" w:customStyle="1" w:styleId="SideNoteopListBullet">
    <w:name w:val="Side Note op List Bullet"/>
    <w:basedOn w:val="SideNote"/>
    <w:uiPriority w:val="2"/>
    <w:rsid w:val="00C249C7"/>
    <w:pPr>
      <w:framePr w:wrap="around"/>
    </w:pPr>
  </w:style>
  <w:style w:type="paragraph" w:customStyle="1" w:styleId="OfficeAddress">
    <w:name w:val="OfficeAddress"/>
    <w:autoRedefine/>
    <w:semiHidden/>
    <w:rsid w:val="00C249C7"/>
    <w:pPr>
      <w:spacing w:before="0" w:line="240" w:lineRule="auto"/>
      <w:ind w:right="-291"/>
    </w:pPr>
    <w:rPr>
      <w:sz w:val="16"/>
      <w:szCs w:val="20"/>
      <w:lang w:eastAsia="en-AU"/>
    </w:rPr>
  </w:style>
  <w:style w:type="paragraph" w:customStyle="1" w:styleId="OfficeContact">
    <w:name w:val="OfficeContact"/>
    <w:autoRedefine/>
    <w:semiHidden/>
    <w:rsid w:val="00C249C7"/>
    <w:pPr>
      <w:spacing w:before="60" w:line="240" w:lineRule="auto"/>
    </w:pPr>
    <w:rPr>
      <w:sz w:val="16"/>
      <w:szCs w:val="20"/>
      <w:lang w:eastAsia="en-AU"/>
    </w:rPr>
  </w:style>
  <w:style w:type="paragraph" w:customStyle="1" w:styleId="OfficeEmail">
    <w:name w:val="OfficeEmail"/>
    <w:basedOn w:val="OfficeAddress"/>
    <w:autoRedefine/>
    <w:semiHidden/>
    <w:rsid w:val="00C249C7"/>
  </w:style>
  <w:style w:type="paragraph" w:styleId="BalloonText">
    <w:name w:val="Balloon Text"/>
    <w:basedOn w:val="Normal"/>
    <w:semiHidden/>
    <w:rsid w:val="00C249C7"/>
    <w:rPr>
      <w:rFonts w:ascii="Tahoma" w:hAnsi="Tahoma" w:cs="Tahoma"/>
      <w:sz w:val="16"/>
      <w:szCs w:val="16"/>
    </w:rPr>
  </w:style>
  <w:style w:type="paragraph" w:styleId="CommentSubject">
    <w:name w:val="annotation subject"/>
    <w:basedOn w:val="CommentText"/>
    <w:next w:val="CommentText"/>
    <w:semiHidden/>
    <w:rsid w:val="00C249C7"/>
    <w:pPr>
      <w:spacing w:before="0" w:line="240" w:lineRule="auto"/>
      <w:ind w:left="0" w:firstLine="0"/>
    </w:pPr>
    <w:rPr>
      <w:rFonts w:ascii="Garamond" w:hAnsi="Garamond"/>
      <w:b/>
      <w:bCs/>
      <w:sz w:val="20"/>
    </w:rPr>
  </w:style>
  <w:style w:type="paragraph" w:styleId="DocumentMap">
    <w:name w:val="Document Map"/>
    <w:basedOn w:val="Normal"/>
    <w:semiHidden/>
    <w:rsid w:val="00C249C7"/>
    <w:pPr>
      <w:shd w:val="clear" w:color="auto" w:fill="000080"/>
    </w:pPr>
    <w:rPr>
      <w:rFonts w:ascii="Tahoma" w:hAnsi="Tahoma" w:cs="Tahoma"/>
    </w:rPr>
  </w:style>
  <w:style w:type="character" w:styleId="EndnoteReference">
    <w:name w:val="endnote reference"/>
    <w:basedOn w:val="DefaultParagraphFont"/>
    <w:semiHidden/>
    <w:rsid w:val="00C249C7"/>
    <w:rPr>
      <w:vertAlign w:val="superscript"/>
    </w:rPr>
  </w:style>
  <w:style w:type="paragraph" w:styleId="EndnoteText">
    <w:name w:val="endnote text"/>
    <w:semiHidden/>
    <w:rsid w:val="00C249C7"/>
    <w:rPr>
      <w:lang w:eastAsia="en-US"/>
    </w:rPr>
  </w:style>
  <w:style w:type="paragraph" w:styleId="Index1">
    <w:name w:val="index 1"/>
    <w:basedOn w:val="Normal"/>
    <w:next w:val="Normal"/>
    <w:autoRedefine/>
    <w:uiPriority w:val="99"/>
    <w:semiHidden/>
    <w:rsid w:val="00C249C7"/>
    <w:pPr>
      <w:ind w:left="240" w:hanging="240"/>
    </w:pPr>
  </w:style>
  <w:style w:type="paragraph" w:styleId="Index2">
    <w:name w:val="index 2"/>
    <w:basedOn w:val="Normal"/>
    <w:next w:val="Normal"/>
    <w:autoRedefine/>
    <w:uiPriority w:val="99"/>
    <w:semiHidden/>
    <w:rsid w:val="00C249C7"/>
    <w:pPr>
      <w:ind w:left="480" w:hanging="240"/>
    </w:pPr>
  </w:style>
  <w:style w:type="paragraph" w:styleId="Index3">
    <w:name w:val="index 3"/>
    <w:basedOn w:val="Normal"/>
    <w:next w:val="Normal"/>
    <w:autoRedefine/>
    <w:uiPriority w:val="99"/>
    <w:semiHidden/>
    <w:rsid w:val="00C249C7"/>
    <w:pPr>
      <w:ind w:left="720" w:hanging="240"/>
    </w:pPr>
  </w:style>
  <w:style w:type="paragraph" w:styleId="Index4">
    <w:name w:val="index 4"/>
    <w:basedOn w:val="Normal"/>
    <w:next w:val="Normal"/>
    <w:autoRedefine/>
    <w:uiPriority w:val="99"/>
    <w:semiHidden/>
    <w:rsid w:val="00C249C7"/>
    <w:pPr>
      <w:ind w:left="960" w:hanging="240"/>
    </w:pPr>
  </w:style>
  <w:style w:type="paragraph" w:styleId="Index5">
    <w:name w:val="index 5"/>
    <w:basedOn w:val="Normal"/>
    <w:next w:val="Normal"/>
    <w:autoRedefine/>
    <w:semiHidden/>
    <w:rsid w:val="00C249C7"/>
    <w:pPr>
      <w:ind w:left="1200" w:hanging="240"/>
    </w:pPr>
  </w:style>
  <w:style w:type="paragraph" w:styleId="Index6">
    <w:name w:val="index 6"/>
    <w:basedOn w:val="Normal"/>
    <w:next w:val="Normal"/>
    <w:autoRedefine/>
    <w:semiHidden/>
    <w:rsid w:val="00C249C7"/>
    <w:pPr>
      <w:ind w:left="1440" w:hanging="240"/>
    </w:pPr>
  </w:style>
  <w:style w:type="paragraph" w:styleId="Index7">
    <w:name w:val="index 7"/>
    <w:basedOn w:val="Normal"/>
    <w:next w:val="Normal"/>
    <w:autoRedefine/>
    <w:semiHidden/>
    <w:rsid w:val="00C249C7"/>
    <w:pPr>
      <w:ind w:left="1680" w:hanging="240"/>
    </w:pPr>
  </w:style>
  <w:style w:type="paragraph" w:styleId="Index8">
    <w:name w:val="index 8"/>
    <w:basedOn w:val="Normal"/>
    <w:next w:val="Normal"/>
    <w:autoRedefine/>
    <w:semiHidden/>
    <w:rsid w:val="00C249C7"/>
    <w:pPr>
      <w:ind w:left="1920" w:hanging="240"/>
    </w:pPr>
  </w:style>
  <w:style w:type="paragraph" w:styleId="Index9">
    <w:name w:val="index 9"/>
    <w:basedOn w:val="Normal"/>
    <w:next w:val="Normal"/>
    <w:autoRedefine/>
    <w:semiHidden/>
    <w:rsid w:val="00C249C7"/>
    <w:pPr>
      <w:ind w:left="2160" w:hanging="240"/>
    </w:pPr>
  </w:style>
  <w:style w:type="paragraph" w:styleId="IndexHeading">
    <w:name w:val="index heading"/>
    <w:basedOn w:val="Normal"/>
    <w:next w:val="Index1"/>
    <w:uiPriority w:val="99"/>
    <w:semiHidden/>
    <w:rsid w:val="00C249C7"/>
    <w:rPr>
      <w:rFonts w:ascii="Arial" w:hAnsi="Arial" w:cs="Arial"/>
      <w:b/>
      <w:bCs/>
    </w:rPr>
  </w:style>
  <w:style w:type="paragraph" w:styleId="MacroText">
    <w:name w:val="macro"/>
    <w:semiHidden/>
    <w:rsid w:val="00C249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AU"/>
    </w:rPr>
  </w:style>
  <w:style w:type="paragraph" w:styleId="TableofAuthorities">
    <w:name w:val="table of authorities"/>
    <w:next w:val="Normal"/>
    <w:uiPriority w:val="99"/>
    <w:rsid w:val="00C249C7"/>
    <w:pPr>
      <w:ind w:left="240" w:hanging="240"/>
    </w:pPr>
    <w:rPr>
      <w:rFonts w:asciiTheme="minorHAnsi" w:hAnsiTheme="minorHAnsi"/>
      <w:lang w:eastAsia="en-US"/>
    </w:rPr>
  </w:style>
  <w:style w:type="paragraph" w:styleId="TOAHeading">
    <w:name w:val="toa heading"/>
    <w:basedOn w:val="Normal"/>
    <w:next w:val="Normal"/>
    <w:autoRedefine/>
    <w:rsid w:val="00C249C7"/>
    <w:rPr>
      <w:rFonts w:asciiTheme="majorHAnsi" w:hAnsiTheme="majorHAnsi" w:cs="Arial"/>
      <w:b/>
      <w:bCs/>
      <w:sz w:val="20"/>
    </w:rPr>
  </w:style>
  <w:style w:type="paragraph" w:styleId="TOC4">
    <w:name w:val="toc 4"/>
    <w:basedOn w:val="Normal"/>
    <w:next w:val="Normal"/>
    <w:autoRedefine/>
    <w:uiPriority w:val="39"/>
    <w:rsid w:val="009949E9"/>
    <w:pPr>
      <w:ind w:left="720"/>
    </w:pPr>
    <w:rPr>
      <w:rFonts w:asciiTheme="majorHAnsi" w:hAnsiTheme="majorHAnsi"/>
    </w:rPr>
  </w:style>
  <w:style w:type="paragraph" w:styleId="TOC5">
    <w:name w:val="toc 5"/>
    <w:basedOn w:val="Normal"/>
    <w:next w:val="Normal"/>
    <w:autoRedefine/>
    <w:uiPriority w:val="39"/>
    <w:rsid w:val="00F77AB7"/>
    <w:pPr>
      <w:tabs>
        <w:tab w:val="right" w:pos="7362"/>
      </w:tabs>
      <w:spacing w:before="600" w:after="0" w:line="260" w:lineRule="exact"/>
    </w:pPr>
    <w:rPr>
      <w:rFonts w:asciiTheme="majorHAnsi" w:hAnsiTheme="majorHAnsi"/>
      <w:b/>
      <w:smallCaps/>
      <w:noProof/>
      <w:color w:val="9757A6" w:themeColor="text2"/>
    </w:rPr>
  </w:style>
  <w:style w:type="paragraph" w:styleId="TOC6">
    <w:name w:val="toc 6"/>
    <w:basedOn w:val="Normal"/>
    <w:next w:val="Normal"/>
    <w:autoRedefine/>
    <w:uiPriority w:val="39"/>
    <w:rsid w:val="009949E9"/>
    <w:pPr>
      <w:tabs>
        <w:tab w:val="right" w:pos="7371"/>
      </w:tabs>
      <w:ind w:right="568"/>
    </w:pPr>
    <w:rPr>
      <w:rFonts w:asciiTheme="majorHAnsi" w:hAnsiTheme="majorHAnsi"/>
      <w:sz w:val="22"/>
    </w:rPr>
  </w:style>
  <w:style w:type="paragraph" w:styleId="TOC7">
    <w:name w:val="toc 7"/>
    <w:basedOn w:val="Normal"/>
    <w:next w:val="Normal"/>
    <w:autoRedefine/>
    <w:uiPriority w:val="39"/>
    <w:rsid w:val="009949E9"/>
    <w:pPr>
      <w:tabs>
        <w:tab w:val="right" w:pos="7371"/>
      </w:tabs>
      <w:ind w:left="1701" w:right="567" w:hanging="1701"/>
    </w:pPr>
    <w:rPr>
      <w:rFonts w:asciiTheme="majorHAnsi" w:hAnsiTheme="majorHAnsi"/>
      <w:noProof/>
      <w:sz w:val="22"/>
    </w:rPr>
  </w:style>
  <w:style w:type="paragraph" w:styleId="TOC8">
    <w:name w:val="toc 8"/>
    <w:basedOn w:val="Normal"/>
    <w:next w:val="Normal"/>
    <w:autoRedefine/>
    <w:uiPriority w:val="39"/>
    <w:rsid w:val="009949E9"/>
    <w:pPr>
      <w:tabs>
        <w:tab w:val="right" w:pos="7371"/>
      </w:tabs>
      <w:spacing w:before="500" w:after="0" w:line="260" w:lineRule="exact"/>
    </w:pPr>
    <w:rPr>
      <w:rFonts w:asciiTheme="majorHAnsi" w:hAnsiTheme="majorHAnsi"/>
      <w:b/>
      <w:noProof/>
      <w:color w:val="9757A6" w:themeColor="text2"/>
      <w:sz w:val="32"/>
    </w:rPr>
  </w:style>
  <w:style w:type="paragraph" w:styleId="TOC9">
    <w:name w:val="toc 9"/>
    <w:basedOn w:val="Normal"/>
    <w:next w:val="Normal"/>
    <w:autoRedefine/>
    <w:uiPriority w:val="39"/>
    <w:rsid w:val="009949E9"/>
    <w:pPr>
      <w:ind w:left="1920"/>
    </w:pPr>
    <w:rPr>
      <w:rFonts w:asciiTheme="majorHAnsi" w:hAnsiTheme="majorHAnsi"/>
      <w:sz w:val="52"/>
    </w:rPr>
  </w:style>
  <w:style w:type="numbering" w:styleId="ArticleSection">
    <w:name w:val="Outline List 3"/>
    <w:basedOn w:val="NoList"/>
    <w:semiHidden/>
    <w:rsid w:val="00C249C7"/>
    <w:pPr>
      <w:numPr>
        <w:numId w:val="7"/>
      </w:numPr>
    </w:pPr>
  </w:style>
  <w:style w:type="paragraph" w:styleId="BlockText">
    <w:name w:val="Block Text"/>
    <w:basedOn w:val="Normal"/>
    <w:semiHidden/>
    <w:rsid w:val="00C249C7"/>
    <w:pPr>
      <w:ind w:left="1440" w:right="1440"/>
    </w:pPr>
  </w:style>
  <w:style w:type="paragraph" w:styleId="BodyTextFirstIndent">
    <w:name w:val="Body Text First Indent"/>
    <w:basedOn w:val="BodyText"/>
    <w:semiHidden/>
    <w:rsid w:val="00C249C7"/>
    <w:pPr>
      <w:spacing w:before="0" w:line="240" w:lineRule="auto"/>
      <w:ind w:firstLine="210"/>
    </w:pPr>
  </w:style>
  <w:style w:type="paragraph" w:styleId="BodyTextIndent">
    <w:name w:val="Body Text Indent"/>
    <w:basedOn w:val="Normal"/>
    <w:semiHidden/>
    <w:rsid w:val="00C249C7"/>
    <w:pPr>
      <w:ind w:left="283"/>
    </w:pPr>
  </w:style>
  <w:style w:type="paragraph" w:styleId="BodyTextFirstIndent2">
    <w:name w:val="Body Text First Indent 2"/>
    <w:basedOn w:val="BodyTextIndent"/>
    <w:semiHidden/>
    <w:rsid w:val="00C249C7"/>
    <w:pPr>
      <w:ind w:firstLine="210"/>
    </w:pPr>
  </w:style>
  <w:style w:type="paragraph" w:styleId="BodyTextIndent2">
    <w:name w:val="Body Text Indent 2"/>
    <w:basedOn w:val="Normal"/>
    <w:semiHidden/>
    <w:rsid w:val="00C249C7"/>
    <w:pPr>
      <w:spacing w:line="480" w:lineRule="auto"/>
      <w:ind w:left="283"/>
    </w:pPr>
  </w:style>
  <w:style w:type="paragraph" w:styleId="BodyTextIndent3">
    <w:name w:val="Body Text Indent 3"/>
    <w:basedOn w:val="Normal"/>
    <w:semiHidden/>
    <w:rsid w:val="00C249C7"/>
    <w:pPr>
      <w:ind w:left="283"/>
    </w:pPr>
    <w:rPr>
      <w:sz w:val="16"/>
      <w:szCs w:val="16"/>
    </w:rPr>
  </w:style>
  <w:style w:type="paragraph" w:styleId="Closing">
    <w:name w:val="Closing"/>
    <w:basedOn w:val="Normal"/>
    <w:semiHidden/>
    <w:rsid w:val="00C249C7"/>
    <w:pPr>
      <w:ind w:left="4252"/>
    </w:pPr>
  </w:style>
  <w:style w:type="paragraph" w:styleId="E-mailSignature">
    <w:name w:val="E-mail Signature"/>
    <w:basedOn w:val="Normal"/>
    <w:semiHidden/>
    <w:rsid w:val="00C249C7"/>
  </w:style>
  <w:style w:type="character" w:styleId="Emphasis">
    <w:name w:val="Emphasis"/>
    <w:basedOn w:val="DefaultParagraphFont"/>
    <w:semiHidden/>
    <w:rsid w:val="00C249C7"/>
    <w:rPr>
      <w:i/>
      <w:iCs/>
    </w:rPr>
  </w:style>
  <w:style w:type="paragraph" w:styleId="EnvelopeAddress">
    <w:name w:val="envelope address"/>
    <w:basedOn w:val="Normal"/>
    <w:semiHidden/>
    <w:rsid w:val="00C249C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C249C7"/>
    <w:rPr>
      <w:rFonts w:ascii="Arial" w:hAnsi="Arial" w:cs="Arial"/>
    </w:rPr>
  </w:style>
  <w:style w:type="character" w:styleId="FollowedHyperlink">
    <w:name w:val="FollowedHyperlink"/>
    <w:basedOn w:val="DefaultParagraphFont"/>
    <w:semiHidden/>
    <w:rsid w:val="00C249C7"/>
    <w:rPr>
      <w:color w:val="800080"/>
      <w:u w:val="single"/>
    </w:rPr>
  </w:style>
  <w:style w:type="character" w:styleId="HTMLAcronym">
    <w:name w:val="HTML Acronym"/>
    <w:basedOn w:val="DefaultParagraphFont"/>
    <w:semiHidden/>
    <w:rsid w:val="00C249C7"/>
  </w:style>
  <w:style w:type="paragraph" w:styleId="HTMLAddress">
    <w:name w:val="HTML Address"/>
    <w:basedOn w:val="Normal"/>
    <w:semiHidden/>
    <w:rsid w:val="00C249C7"/>
    <w:rPr>
      <w:i/>
      <w:iCs/>
    </w:rPr>
  </w:style>
  <w:style w:type="character" w:styleId="HTMLCite">
    <w:name w:val="HTML Cite"/>
    <w:basedOn w:val="DefaultParagraphFont"/>
    <w:semiHidden/>
    <w:rsid w:val="00C249C7"/>
    <w:rPr>
      <w:i/>
      <w:iCs/>
    </w:rPr>
  </w:style>
  <w:style w:type="character" w:styleId="HTMLCode">
    <w:name w:val="HTML Code"/>
    <w:basedOn w:val="DefaultParagraphFont"/>
    <w:semiHidden/>
    <w:rsid w:val="00C249C7"/>
    <w:rPr>
      <w:rFonts w:ascii="Courier New" w:hAnsi="Courier New" w:cs="Courier New"/>
      <w:sz w:val="20"/>
      <w:szCs w:val="20"/>
    </w:rPr>
  </w:style>
  <w:style w:type="character" w:styleId="HTMLDefinition">
    <w:name w:val="HTML Definition"/>
    <w:basedOn w:val="DefaultParagraphFont"/>
    <w:semiHidden/>
    <w:rsid w:val="00C249C7"/>
    <w:rPr>
      <w:i/>
      <w:iCs/>
    </w:rPr>
  </w:style>
  <w:style w:type="character" w:styleId="HTMLKeyboard">
    <w:name w:val="HTML Keyboard"/>
    <w:basedOn w:val="DefaultParagraphFont"/>
    <w:semiHidden/>
    <w:rsid w:val="00C249C7"/>
    <w:rPr>
      <w:rFonts w:ascii="Courier New" w:hAnsi="Courier New" w:cs="Courier New"/>
      <w:sz w:val="20"/>
      <w:szCs w:val="20"/>
    </w:rPr>
  </w:style>
  <w:style w:type="paragraph" w:styleId="HTMLPreformatted">
    <w:name w:val="HTML Preformatted"/>
    <w:basedOn w:val="Normal"/>
    <w:semiHidden/>
    <w:rsid w:val="00C249C7"/>
    <w:rPr>
      <w:rFonts w:ascii="Courier New" w:hAnsi="Courier New" w:cs="Courier New"/>
    </w:rPr>
  </w:style>
  <w:style w:type="character" w:styleId="HTMLSample">
    <w:name w:val="HTML Sample"/>
    <w:basedOn w:val="DefaultParagraphFont"/>
    <w:semiHidden/>
    <w:rsid w:val="00C249C7"/>
    <w:rPr>
      <w:rFonts w:ascii="Courier New" w:hAnsi="Courier New" w:cs="Courier New"/>
    </w:rPr>
  </w:style>
  <w:style w:type="character" w:styleId="HTMLTypewriter">
    <w:name w:val="HTML Typewriter"/>
    <w:basedOn w:val="DefaultParagraphFont"/>
    <w:semiHidden/>
    <w:rsid w:val="00C249C7"/>
    <w:rPr>
      <w:rFonts w:ascii="Courier New" w:hAnsi="Courier New" w:cs="Courier New"/>
      <w:sz w:val="20"/>
      <w:szCs w:val="20"/>
    </w:rPr>
  </w:style>
  <w:style w:type="character" w:styleId="HTMLVariable">
    <w:name w:val="HTML Variable"/>
    <w:basedOn w:val="DefaultParagraphFont"/>
    <w:semiHidden/>
    <w:rsid w:val="00C249C7"/>
    <w:rPr>
      <w:i/>
      <w:iCs/>
    </w:rPr>
  </w:style>
  <w:style w:type="character" w:styleId="LineNumber">
    <w:name w:val="line number"/>
    <w:basedOn w:val="DefaultParagraphFont"/>
    <w:semiHidden/>
    <w:rsid w:val="00C249C7"/>
  </w:style>
  <w:style w:type="paragraph" w:styleId="List">
    <w:name w:val="List"/>
    <w:basedOn w:val="Normal"/>
    <w:semiHidden/>
    <w:rsid w:val="00C249C7"/>
    <w:pPr>
      <w:ind w:left="283" w:hanging="283"/>
    </w:pPr>
  </w:style>
  <w:style w:type="paragraph" w:styleId="List2">
    <w:name w:val="List 2"/>
    <w:basedOn w:val="Normal"/>
    <w:semiHidden/>
    <w:rsid w:val="00C249C7"/>
    <w:pPr>
      <w:ind w:left="566" w:hanging="283"/>
    </w:pPr>
  </w:style>
  <w:style w:type="paragraph" w:styleId="List3">
    <w:name w:val="List 3"/>
    <w:basedOn w:val="Normal"/>
    <w:semiHidden/>
    <w:rsid w:val="00C249C7"/>
    <w:pPr>
      <w:ind w:left="849" w:hanging="283"/>
    </w:pPr>
  </w:style>
  <w:style w:type="paragraph" w:styleId="List4">
    <w:name w:val="List 4"/>
    <w:basedOn w:val="Normal"/>
    <w:semiHidden/>
    <w:rsid w:val="00C249C7"/>
    <w:pPr>
      <w:ind w:left="1132" w:hanging="283"/>
    </w:pPr>
  </w:style>
  <w:style w:type="paragraph" w:styleId="List5">
    <w:name w:val="List 5"/>
    <w:basedOn w:val="Normal"/>
    <w:semiHidden/>
    <w:rsid w:val="00C249C7"/>
    <w:pPr>
      <w:ind w:left="1415" w:hanging="283"/>
    </w:pPr>
  </w:style>
  <w:style w:type="paragraph" w:styleId="ListContinue">
    <w:name w:val="List Continue"/>
    <w:basedOn w:val="Normal"/>
    <w:semiHidden/>
    <w:rsid w:val="00C249C7"/>
    <w:pPr>
      <w:ind w:left="283"/>
    </w:pPr>
  </w:style>
  <w:style w:type="paragraph" w:styleId="ListContinue2">
    <w:name w:val="List Continue 2"/>
    <w:basedOn w:val="Normal"/>
    <w:semiHidden/>
    <w:rsid w:val="00C249C7"/>
    <w:pPr>
      <w:ind w:left="566"/>
    </w:pPr>
  </w:style>
  <w:style w:type="paragraph" w:styleId="ListContinue3">
    <w:name w:val="List Continue 3"/>
    <w:basedOn w:val="Normal"/>
    <w:semiHidden/>
    <w:rsid w:val="00C249C7"/>
    <w:pPr>
      <w:ind w:left="849"/>
    </w:pPr>
  </w:style>
  <w:style w:type="paragraph" w:styleId="ListContinue4">
    <w:name w:val="List Continue 4"/>
    <w:basedOn w:val="Normal"/>
    <w:semiHidden/>
    <w:rsid w:val="00C249C7"/>
    <w:pPr>
      <w:ind w:left="1132"/>
    </w:pPr>
  </w:style>
  <w:style w:type="paragraph" w:styleId="ListContinue5">
    <w:name w:val="List Continue 5"/>
    <w:basedOn w:val="Normal"/>
    <w:semiHidden/>
    <w:rsid w:val="00C249C7"/>
    <w:pPr>
      <w:ind w:left="1415"/>
    </w:pPr>
  </w:style>
  <w:style w:type="paragraph" w:styleId="ListNumber3">
    <w:name w:val="List Number 3"/>
    <w:basedOn w:val="ListNumber2"/>
    <w:uiPriority w:val="2"/>
    <w:rsid w:val="00013650"/>
    <w:pPr>
      <w:numPr>
        <w:ilvl w:val="2"/>
      </w:numPr>
    </w:pPr>
  </w:style>
  <w:style w:type="paragraph" w:styleId="ListNumber4">
    <w:name w:val="List Number 4"/>
    <w:basedOn w:val="Normal"/>
    <w:semiHidden/>
    <w:rsid w:val="00C249C7"/>
    <w:pPr>
      <w:numPr>
        <w:numId w:val="3"/>
      </w:numPr>
    </w:pPr>
  </w:style>
  <w:style w:type="paragraph" w:styleId="ListNumber5">
    <w:name w:val="List Number 5"/>
    <w:basedOn w:val="Normal"/>
    <w:semiHidden/>
    <w:rsid w:val="00C249C7"/>
    <w:pPr>
      <w:numPr>
        <w:numId w:val="4"/>
      </w:numPr>
    </w:pPr>
  </w:style>
  <w:style w:type="paragraph" w:styleId="MessageHeader">
    <w:name w:val="Message Header"/>
    <w:basedOn w:val="Normal"/>
    <w:semiHidden/>
    <w:rsid w:val="00C249C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C249C7"/>
    <w:rPr>
      <w:rFonts w:ascii="Times New Roman" w:hAnsi="Times New Roman"/>
    </w:rPr>
  </w:style>
  <w:style w:type="paragraph" w:styleId="NormalIndent">
    <w:name w:val="Normal Indent"/>
    <w:basedOn w:val="Normal"/>
    <w:semiHidden/>
    <w:rsid w:val="00C249C7"/>
    <w:pPr>
      <w:ind w:left="720"/>
    </w:pPr>
  </w:style>
  <w:style w:type="paragraph" w:styleId="PlainText">
    <w:name w:val="Plain Text"/>
    <w:basedOn w:val="Normal"/>
    <w:semiHidden/>
    <w:rsid w:val="00C249C7"/>
    <w:rPr>
      <w:rFonts w:ascii="Courier New" w:hAnsi="Courier New" w:cs="Courier New"/>
    </w:rPr>
  </w:style>
  <w:style w:type="paragraph" w:styleId="Salutation">
    <w:name w:val="Salutation"/>
    <w:basedOn w:val="Normal"/>
    <w:next w:val="Normal"/>
    <w:semiHidden/>
    <w:rsid w:val="00C249C7"/>
  </w:style>
  <w:style w:type="paragraph" w:styleId="Signature">
    <w:name w:val="Signature"/>
    <w:basedOn w:val="Normal"/>
    <w:semiHidden/>
    <w:rsid w:val="00C249C7"/>
    <w:pPr>
      <w:ind w:left="4252"/>
    </w:pPr>
  </w:style>
  <w:style w:type="character" w:styleId="Strong">
    <w:name w:val="Strong"/>
    <w:basedOn w:val="DefaultParagraphFont"/>
    <w:semiHidden/>
    <w:rsid w:val="00C249C7"/>
    <w:rPr>
      <w:b/>
      <w:bCs/>
    </w:rPr>
  </w:style>
  <w:style w:type="table" w:styleId="Table3Deffects1">
    <w:name w:val="Table 3D effects 1"/>
    <w:basedOn w:val="TableNormal"/>
    <w:semiHidden/>
    <w:rsid w:val="00C249C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249C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249C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249C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249C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249C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249C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249C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249C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249C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249C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249C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249C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249C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249C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249C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24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C249C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249C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249C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249C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249C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249C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249C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249C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semiHidden/>
    <w:rsid w:val="00C249C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249C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249C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249C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249C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249C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249C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249C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249C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249C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249C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24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249C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249C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249C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
    <w:name w:val="Table"/>
    <w:uiPriority w:val="4"/>
    <w:rsid w:val="00C249C7"/>
    <w:pPr>
      <w:spacing w:before="40" w:after="40" w:line="240" w:lineRule="auto"/>
    </w:pPr>
    <w:rPr>
      <w:rFonts w:ascii="Arial" w:hAnsi="Arial"/>
      <w:color w:val="000000"/>
      <w:sz w:val="16"/>
      <w:lang w:eastAsia="en-AU"/>
    </w:rPr>
  </w:style>
  <w:style w:type="paragraph" w:customStyle="1" w:styleId="QuoteListBullet">
    <w:name w:val="Quote List Bullet"/>
    <w:basedOn w:val="Quote"/>
    <w:uiPriority w:val="4"/>
    <w:qFormat/>
    <w:rsid w:val="00C249C7"/>
    <w:pPr>
      <w:numPr>
        <w:numId w:val="9"/>
      </w:numPr>
    </w:pPr>
    <w:rPr>
      <w:szCs w:val="18"/>
    </w:rPr>
  </w:style>
  <w:style w:type="paragraph" w:customStyle="1" w:styleId="AppendixFooterlandscape">
    <w:name w:val="AppendixFooter landscape"/>
    <w:uiPriority w:val="99"/>
    <w:semiHidden/>
    <w:rsid w:val="00C249C7"/>
    <w:pPr>
      <w:framePr w:wrap="around" w:vAnchor="text" w:hAnchor="margin" w:xAlign="right" w:y="1"/>
      <w:spacing w:line="200" w:lineRule="exact"/>
      <w:ind w:right="40"/>
      <w:jc w:val="both"/>
    </w:pPr>
    <w:rPr>
      <w:rFonts w:ascii="Century Gothic" w:hAnsi="Century Gothic"/>
      <w:b/>
      <w:sz w:val="16"/>
      <w:lang w:eastAsia="en-AU"/>
    </w:rPr>
  </w:style>
  <w:style w:type="paragraph" w:customStyle="1" w:styleId="AppendixLandscapePageNumber">
    <w:name w:val="AppendixLandscapePage Number"/>
    <w:basedOn w:val="Normal"/>
    <w:semiHidden/>
    <w:rsid w:val="00C249C7"/>
    <w:pPr>
      <w:framePr w:wrap="around" w:vAnchor="text" w:hAnchor="margin" w:xAlign="right" w:y="1"/>
      <w:spacing w:before="40"/>
      <w:ind w:left="-142" w:right="40"/>
      <w:jc w:val="right"/>
    </w:pPr>
    <w:rPr>
      <w:rFonts w:ascii="Century Gothic" w:hAnsi="Century Gothic"/>
      <w:sz w:val="16"/>
    </w:rPr>
  </w:style>
  <w:style w:type="character" w:customStyle="1" w:styleId="Heading1Char">
    <w:name w:val="Heading 1 Char"/>
    <w:basedOn w:val="DefaultParagraphFont"/>
    <w:link w:val="Heading1"/>
    <w:rsid w:val="0071248D"/>
    <w:rPr>
      <w:rFonts w:asciiTheme="majorHAnsi" w:hAnsiTheme="majorHAnsi"/>
      <w:b/>
      <w:color w:val="FFFFFF" w:themeColor="background1"/>
      <w:kern w:val="28"/>
      <w:sz w:val="38"/>
      <w:szCs w:val="38"/>
      <w:shd w:val="clear" w:color="auto" w:fill="9757A6"/>
      <w:lang w:eastAsia="en-AU"/>
    </w:rPr>
  </w:style>
  <w:style w:type="paragraph" w:customStyle="1" w:styleId="LastTableRow">
    <w:name w:val="LastTableRow"/>
    <w:basedOn w:val="Tablebody"/>
    <w:uiPriority w:val="99"/>
    <w:semiHidden/>
    <w:rsid w:val="00C249C7"/>
  </w:style>
  <w:style w:type="paragraph" w:customStyle="1" w:styleId="HeaderLandscape">
    <w:name w:val="HeaderLandscape"/>
    <w:semiHidden/>
    <w:rsid w:val="00C249C7"/>
    <w:pPr>
      <w:spacing w:before="0" w:line="240" w:lineRule="auto"/>
    </w:pPr>
    <w:rPr>
      <w:rFonts w:asciiTheme="minorHAnsi" w:hAnsiTheme="minorHAnsi"/>
      <w:sz w:val="14"/>
      <w:szCs w:val="16"/>
      <w:lang w:eastAsia="en-US"/>
    </w:rPr>
  </w:style>
  <w:style w:type="character" w:customStyle="1" w:styleId="HeaderChar">
    <w:name w:val="Header Char"/>
    <w:basedOn w:val="DefaultParagraphFont"/>
    <w:link w:val="Header"/>
    <w:rsid w:val="00C249C7"/>
    <w:rPr>
      <w:rFonts w:asciiTheme="minorHAnsi" w:hAnsiTheme="minorHAnsi"/>
      <w:noProof/>
      <w:sz w:val="16"/>
      <w:lang w:eastAsia="en-AU"/>
    </w:rPr>
  </w:style>
  <w:style w:type="character" w:customStyle="1" w:styleId="FooterChar">
    <w:name w:val="Footer Char"/>
    <w:basedOn w:val="DefaultParagraphFont"/>
    <w:link w:val="Footer"/>
    <w:uiPriority w:val="99"/>
    <w:rsid w:val="00C249C7"/>
    <w:rPr>
      <w:rFonts w:asciiTheme="minorHAnsi" w:hAnsiTheme="minorHAnsi"/>
      <w:sz w:val="14"/>
      <w:lang w:eastAsia="en-US"/>
    </w:rPr>
  </w:style>
  <w:style w:type="paragraph" w:customStyle="1" w:styleId="Contact">
    <w:name w:val="Contact"/>
    <w:basedOn w:val="OfficeAddress"/>
    <w:rsid w:val="00180AC7"/>
    <w:pPr>
      <w:spacing w:after="120" w:line="200" w:lineRule="exact"/>
      <w:ind w:left="113" w:right="-289"/>
    </w:pPr>
    <w:rPr>
      <w:rFonts w:asciiTheme="majorHAnsi" w:hAnsiTheme="majorHAnsi"/>
      <w:caps/>
      <w:sz w:val="14"/>
    </w:rPr>
  </w:style>
  <w:style w:type="paragraph" w:customStyle="1" w:styleId="BoxQuoteListBullet">
    <w:name w:val="Box Quote List Bullet"/>
    <w:basedOn w:val="BoxQuote"/>
    <w:uiPriority w:val="4"/>
    <w:rsid w:val="00EE1A65"/>
    <w:pPr>
      <w:numPr>
        <w:numId w:val="23"/>
      </w:numPr>
      <w:spacing w:before="40"/>
    </w:pPr>
  </w:style>
  <w:style w:type="paragraph" w:styleId="Bibliography">
    <w:name w:val="Bibliography"/>
    <w:basedOn w:val="Reference"/>
    <w:next w:val="BodyText"/>
    <w:uiPriority w:val="37"/>
    <w:semiHidden/>
    <w:rsid w:val="00C249C7"/>
  </w:style>
  <w:style w:type="table" w:customStyle="1" w:styleId="LightShading1">
    <w:name w:val="Light Shading1"/>
    <w:basedOn w:val="TableNormal"/>
    <w:uiPriority w:val="60"/>
    <w:rsid w:val="00C249C7"/>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quation">
    <w:name w:val="Equation"/>
    <w:basedOn w:val="BodyText"/>
    <w:next w:val="BodyText"/>
    <w:uiPriority w:val="8"/>
    <w:rsid w:val="00C249C7"/>
    <w:pPr>
      <w:spacing w:before="0" w:after="60" w:line="240" w:lineRule="auto"/>
      <w:jc w:val="center"/>
    </w:pPr>
  </w:style>
  <w:style w:type="character" w:styleId="PlaceholderText">
    <w:name w:val="Placeholder Text"/>
    <w:basedOn w:val="DefaultParagraphFont"/>
    <w:uiPriority w:val="99"/>
    <w:semiHidden/>
    <w:rsid w:val="00C249C7"/>
    <w:rPr>
      <w:color w:val="808080"/>
    </w:rPr>
  </w:style>
  <w:style w:type="paragraph" w:customStyle="1" w:styleId="Subject">
    <w:name w:val="Subject"/>
    <w:semiHidden/>
    <w:rsid w:val="00C249C7"/>
    <w:pPr>
      <w:spacing w:before="0"/>
    </w:pPr>
    <w:rPr>
      <w:rFonts w:ascii="Century Gothic" w:hAnsi="Century Gothic"/>
      <w:b/>
      <w:color w:val="000080"/>
      <w:szCs w:val="20"/>
      <w:lang w:eastAsia="en-US"/>
    </w:rPr>
  </w:style>
  <w:style w:type="paragraph" w:customStyle="1" w:styleId="Email">
    <w:name w:val="Email"/>
    <w:basedOn w:val="Normal"/>
    <w:semiHidden/>
    <w:rsid w:val="00C249C7"/>
    <w:pPr>
      <w:spacing w:before="0" w:line="240" w:lineRule="auto"/>
      <w:outlineLvl w:val="0"/>
    </w:pPr>
    <w:rPr>
      <w:sz w:val="23"/>
      <w:szCs w:val="20"/>
    </w:rPr>
  </w:style>
  <w:style w:type="paragraph" w:customStyle="1" w:styleId="SignatureBlock">
    <w:name w:val="Signature Block"/>
    <w:basedOn w:val="LetterName"/>
    <w:uiPriority w:val="6"/>
    <w:rsid w:val="00610859"/>
    <w:pPr>
      <w:spacing w:line="240" w:lineRule="auto"/>
    </w:pPr>
  </w:style>
  <w:style w:type="paragraph" w:customStyle="1" w:styleId="Address">
    <w:name w:val="Address"/>
    <w:basedOn w:val="BodyText"/>
    <w:uiPriority w:val="99"/>
    <w:semiHidden/>
    <w:rsid w:val="00C249C7"/>
  </w:style>
  <w:style w:type="paragraph" w:customStyle="1" w:styleId="OfficeDarwin">
    <w:name w:val="OfficeDarwin"/>
    <w:basedOn w:val="Office"/>
    <w:uiPriority w:val="99"/>
    <w:semiHidden/>
    <w:rsid w:val="00C249C7"/>
    <w:pPr>
      <w:spacing w:before="540"/>
      <w:ind w:right="-289"/>
    </w:pPr>
  </w:style>
  <w:style w:type="paragraph" w:customStyle="1" w:styleId="OfficeSydney">
    <w:name w:val="OfficeSydney"/>
    <w:basedOn w:val="Office"/>
    <w:uiPriority w:val="99"/>
    <w:semiHidden/>
    <w:rsid w:val="00C249C7"/>
    <w:pPr>
      <w:spacing w:before="640"/>
      <w:ind w:right="-289"/>
    </w:pPr>
  </w:style>
  <w:style w:type="paragraph" w:customStyle="1" w:styleId="Tablelistnumber2">
    <w:name w:val="Table list number 2"/>
    <w:basedOn w:val="Tablelistnumber"/>
    <w:uiPriority w:val="3"/>
    <w:rsid w:val="00520ED6"/>
    <w:pPr>
      <w:numPr>
        <w:ilvl w:val="1"/>
      </w:numPr>
    </w:pPr>
  </w:style>
  <w:style w:type="paragraph" w:customStyle="1" w:styleId="BoxListNumber3">
    <w:name w:val="Box List Number 3"/>
    <w:basedOn w:val="BoxListNumber2"/>
    <w:uiPriority w:val="4"/>
    <w:rsid w:val="00C249C7"/>
    <w:pPr>
      <w:numPr>
        <w:ilvl w:val="2"/>
      </w:numPr>
    </w:pPr>
  </w:style>
  <w:style w:type="paragraph" w:customStyle="1" w:styleId="Tablelistnumber3">
    <w:name w:val="Table list number 3"/>
    <w:basedOn w:val="Tablelistnumber2"/>
    <w:uiPriority w:val="3"/>
    <w:rsid w:val="00520ED6"/>
    <w:pPr>
      <w:numPr>
        <w:ilvl w:val="2"/>
      </w:numPr>
    </w:pPr>
    <w:rPr>
      <w:rFonts w:cs="Arial"/>
      <w:szCs w:val="16"/>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
    <w:basedOn w:val="DefaultParagraphFont"/>
    <w:link w:val="BodyText"/>
    <w:rsid w:val="00F259AE"/>
    <w:rPr>
      <w:rFonts w:asciiTheme="minorHAnsi" w:hAnsiTheme="minorHAnsi"/>
      <w:szCs w:val="22"/>
      <w:lang w:eastAsia="en-AU"/>
    </w:rPr>
  </w:style>
  <w:style w:type="numbering" w:styleId="111111">
    <w:name w:val="Outline List 2"/>
    <w:basedOn w:val="NoList"/>
    <w:uiPriority w:val="99"/>
    <w:semiHidden/>
    <w:unhideWhenUsed/>
    <w:rsid w:val="00C249C7"/>
    <w:pPr>
      <w:numPr>
        <w:numId w:val="6"/>
      </w:numPr>
    </w:pPr>
  </w:style>
  <w:style w:type="numbering" w:styleId="1ai">
    <w:name w:val="Outline List 1"/>
    <w:basedOn w:val="NoList"/>
    <w:uiPriority w:val="99"/>
    <w:semiHidden/>
    <w:unhideWhenUsed/>
    <w:rsid w:val="00C249C7"/>
    <w:pPr>
      <w:numPr>
        <w:numId w:val="5"/>
      </w:numPr>
    </w:pPr>
  </w:style>
  <w:style w:type="character" w:styleId="BookTitle">
    <w:name w:val="Book Title"/>
    <w:basedOn w:val="DefaultParagraphFont"/>
    <w:uiPriority w:val="33"/>
    <w:semiHidden/>
    <w:rsid w:val="00C249C7"/>
    <w:rPr>
      <w:b/>
      <w:bCs/>
      <w:smallCaps/>
      <w:spacing w:val="5"/>
    </w:rPr>
  </w:style>
  <w:style w:type="table" w:styleId="ColorfulGrid">
    <w:name w:val="Colorful Grid"/>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ColorfulGrid-Accent2">
    <w:name w:val="Colorful Grid Accent 2"/>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ColorfulGrid-Accent3">
    <w:name w:val="Colorful Grid Accent 3"/>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ColorfulGrid-Accent5">
    <w:name w:val="Colorful Grid Accent 5"/>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ColorfulGrid-Accent6">
    <w:name w:val="Colorful Grid Accent 6"/>
    <w:basedOn w:val="TableNormal"/>
    <w:uiPriority w:val="73"/>
    <w:rsid w:val="00C249C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ColorfulList">
    <w:name w:val="Colorful List"/>
    <w:basedOn w:val="TableNormal"/>
    <w:uiPriority w:val="72"/>
    <w:rsid w:val="00C249C7"/>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249C7"/>
    <w:pPr>
      <w:spacing w:before="0" w:line="240" w:lineRule="auto"/>
    </w:pPr>
    <w:rPr>
      <w:color w:val="000000" w:themeColor="text1"/>
    </w:rPr>
    <w:tblPr>
      <w:tblStyleRowBandSize w:val="1"/>
      <w:tblStyleColBandSize w:val="1"/>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styleId="ColorfulList-Accent2">
    <w:name w:val="Colorful List Accent 2"/>
    <w:basedOn w:val="TableNormal"/>
    <w:uiPriority w:val="72"/>
    <w:rsid w:val="00C249C7"/>
    <w:pPr>
      <w:spacing w:before="0" w:line="240" w:lineRule="auto"/>
    </w:pPr>
    <w:rPr>
      <w:color w:val="000000" w:themeColor="text1"/>
    </w:rPr>
    <w:tblPr>
      <w:tblStyleRowBandSize w:val="1"/>
      <w:tblStyleColBandSize w:val="1"/>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styleId="ColorfulList-Accent3">
    <w:name w:val="Colorful List Accent 3"/>
    <w:basedOn w:val="TableNormal"/>
    <w:uiPriority w:val="72"/>
    <w:rsid w:val="00C249C7"/>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C249C7"/>
    <w:pPr>
      <w:spacing w:before="0" w:line="240" w:lineRule="auto"/>
    </w:pPr>
    <w:rPr>
      <w:color w:val="000000" w:themeColor="text1"/>
    </w:rPr>
    <w:tblPr>
      <w:tblStyleRowBandSize w:val="1"/>
      <w:tblStyleColBandSize w:val="1"/>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styleId="ColorfulList-Accent5">
    <w:name w:val="Colorful List Accent 5"/>
    <w:basedOn w:val="TableNormal"/>
    <w:uiPriority w:val="72"/>
    <w:rsid w:val="00C249C7"/>
    <w:pPr>
      <w:spacing w:before="0" w:line="240" w:lineRule="auto"/>
    </w:pPr>
    <w:rPr>
      <w:color w:val="000000" w:themeColor="text1"/>
    </w:rPr>
    <w:tblPr>
      <w:tblStyleRowBandSize w:val="1"/>
      <w:tblStyleColBandSize w:val="1"/>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styleId="ColorfulList-Accent6">
    <w:name w:val="Colorful List Accent 6"/>
    <w:basedOn w:val="TableNormal"/>
    <w:uiPriority w:val="72"/>
    <w:rsid w:val="00C249C7"/>
    <w:pPr>
      <w:spacing w:before="0" w:line="240" w:lineRule="auto"/>
    </w:pPr>
    <w:rPr>
      <w:color w:val="000000" w:themeColor="text1"/>
    </w:rPr>
    <w:tblPr>
      <w:tblStyleRowBandSize w:val="1"/>
      <w:tblStyleColBandSize w:val="1"/>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styleId="ColorfulShading">
    <w:name w:val="Colorful Shading"/>
    <w:basedOn w:val="TableNormal"/>
    <w:uiPriority w:val="71"/>
    <w:rsid w:val="00C249C7"/>
    <w:pPr>
      <w:spacing w:before="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249C7"/>
    <w:pPr>
      <w:spacing w:before="0" w:line="240" w:lineRule="auto"/>
    </w:pPr>
    <w:rPr>
      <w:color w:val="000000" w:themeColor="text1"/>
    </w:rPr>
    <w:tblPr>
      <w:tblStyleRowBandSize w:val="1"/>
      <w:tblStyleColBandSize w:val="1"/>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249C7"/>
    <w:pPr>
      <w:spacing w:before="0" w:line="240" w:lineRule="auto"/>
    </w:pPr>
    <w:rPr>
      <w:color w:val="000000" w:themeColor="text1"/>
    </w:rPr>
    <w:tblPr>
      <w:tblStyleRowBandSize w:val="1"/>
      <w:tblStyleColBandSize w:val="1"/>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249C7"/>
    <w:pPr>
      <w:spacing w:before="0" w:line="240" w:lineRule="auto"/>
    </w:pPr>
    <w:rPr>
      <w:color w:val="000000" w:themeColor="text1"/>
    </w:rPr>
    <w:tblPr>
      <w:tblStyleRowBandSize w:val="1"/>
      <w:tblStyleColBandSize w:val="1"/>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C249C7"/>
    <w:pPr>
      <w:spacing w:before="0" w:line="240" w:lineRule="auto"/>
    </w:pPr>
    <w:rPr>
      <w:color w:val="000000" w:themeColor="text1"/>
    </w:rPr>
    <w:tblPr>
      <w:tblStyleRowBandSize w:val="1"/>
      <w:tblStyleColBandSize w:val="1"/>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249C7"/>
    <w:pPr>
      <w:spacing w:before="0" w:line="240" w:lineRule="auto"/>
    </w:pPr>
    <w:rPr>
      <w:color w:val="000000" w:themeColor="text1"/>
    </w:rPr>
    <w:tblPr>
      <w:tblStyleRowBandSize w:val="1"/>
      <w:tblStyleColBandSize w:val="1"/>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249C7"/>
    <w:pPr>
      <w:spacing w:before="0" w:line="240" w:lineRule="auto"/>
    </w:pPr>
    <w:rPr>
      <w:color w:val="000000" w:themeColor="text1"/>
    </w:rPr>
    <w:tblPr>
      <w:tblStyleRowBandSize w:val="1"/>
      <w:tblStyleColBandSize w:val="1"/>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C249C7"/>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249C7"/>
    <w:pPr>
      <w:spacing w:before="0" w:line="240" w:lineRule="auto"/>
    </w:pPr>
    <w:rPr>
      <w:color w:val="FFFFFF" w:themeColor="background1"/>
    </w:rPr>
    <w:tblPr>
      <w:tblStyleRowBandSize w:val="1"/>
      <w:tblStyleColBandSize w:val="1"/>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rsid w:val="00C249C7"/>
    <w:pPr>
      <w:spacing w:before="0" w:line="240" w:lineRule="auto"/>
    </w:pPr>
    <w:rPr>
      <w:color w:val="FFFFFF" w:themeColor="background1"/>
    </w:rPr>
    <w:tblPr>
      <w:tblStyleRowBandSize w:val="1"/>
      <w:tblStyleColBandSize w:val="1"/>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rsid w:val="00C249C7"/>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C249C7"/>
    <w:pPr>
      <w:spacing w:before="0" w:line="240" w:lineRule="auto"/>
    </w:pPr>
    <w:rPr>
      <w:color w:val="FFFFFF" w:themeColor="background1"/>
    </w:rPr>
    <w:tblPr>
      <w:tblStyleRowBandSize w:val="1"/>
      <w:tblStyleColBandSize w:val="1"/>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rsid w:val="00C249C7"/>
    <w:pPr>
      <w:spacing w:before="0" w:line="240" w:lineRule="auto"/>
    </w:pPr>
    <w:rPr>
      <w:color w:val="FFFFFF" w:themeColor="background1"/>
    </w:rPr>
    <w:tblPr>
      <w:tblStyleRowBandSize w:val="1"/>
      <w:tblStyleColBandSize w:val="1"/>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rsid w:val="00C249C7"/>
    <w:pPr>
      <w:spacing w:before="0" w:line="240" w:lineRule="auto"/>
    </w:pPr>
    <w:rPr>
      <w:color w:val="FFFFFF" w:themeColor="background1"/>
    </w:rPr>
    <w:tblPr>
      <w:tblStyleRowBandSize w:val="1"/>
      <w:tblStyleColBandSize w:val="1"/>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paragraph" w:styleId="Date">
    <w:name w:val="Date"/>
    <w:next w:val="Normal"/>
    <w:link w:val="DateChar"/>
    <w:rsid w:val="00C249C7"/>
    <w:pPr>
      <w:spacing w:before="0" w:line="240" w:lineRule="auto"/>
    </w:pPr>
    <w:rPr>
      <w:rFonts w:asciiTheme="majorHAnsi" w:hAnsiTheme="majorHAnsi"/>
      <w:caps/>
      <w:sz w:val="20"/>
      <w:lang w:eastAsia="en-US"/>
    </w:rPr>
  </w:style>
  <w:style w:type="character" w:customStyle="1" w:styleId="DateChar">
    <w:name w:val="Date Char"/>
    <w:basedOn w:val="DefaultParagraphFont"/>
    <w:link w:val="Date"/>
    <w:rsid w:val="00C249C7"/>
    <w:rPr>
      <w:rFonts w:asciiTheme="majorHAnsi" w:hAnsiTheme="majorHAnsi"/>
      <w:caps/>
      <w:sz w:val="20"/>
      <w:lang w:eastAsia="en-US"/>
    </w:rPr>
  </w:style>
  <w:style w:type="character" w:styleId="IntenseEmphasis">
    <w:name w:val="Intense Emphasis"/>
    <w:basedOn w:val="DefaultParagraphFont"/>
    <w:uiPriority w:val="99"/>
    <w:semiHidden/>
    <w:rsid w:val="00C249C7"/>
    <w:rPr>
      <w:b/>
      <w:bCs/>
      <w:i/>
      <w:iCs/>
      <w:color w:val="9757A6" w:themeColor="accent1"/>
    </w:rPr>
  </w:style>
  <w:style w:type="paragraph" w:styleId="IntenseQuote">
    <w:name w:val="Intense Quote"/>
    <w:basedOn w:val="Normal"/>
    <w:next w:val="Normal"/>
    <w:link w:val="IntenseQuoteChar"/>
    <w:uiPriority w:val="99"/>
    <w:semiHidden/>
    <w:rsid w:val="00C249C7"/>
    <w:pPr>
      <w:pBdr>
        <w:bottom w:val="single" w:sz="4" w:space="4" w:color="9757A6" w:themeColor="accent1"/>
      </w:pBdr>
      <w:spacing w:before="200" w:after="280"/>
      <w:ind w:left="936" w:right="936"/>
    </w:pPr>
    <w:rPr>
      <w:rFonts w:ascii="Garamond" w:hAnsi="Garamond"/>
      <w:b/>
      <w:bCs/>
      <w:i/>
      <w:iCs/>
      <w:color w:val="9757A6" w:themeColor="accent1"/>
    </w:rPr>
  </w:style>
  <w:style w:type="character" w:customStyle="1" w:styleId="IntenseQuoteChar">
    <w:name w:val="Intense Quote Char"/>
    <w:basedOn w:val="DefaultParagraphFont"/>
    <w:link w:val="IntenseQuote"/>
    <w:uiPriority w:val="99"/>
    <w:semiHidden/>
    <w:rsid w:val="00C249C7"/>
    <w:rPr>
      <w:b/>
      <w:bCs/>
      <w:i/>
      <w:iCs/>
      <w:color w:val="9757A6" w:themeColor="accent1"/>
      <w:lang w:eastAsia="en-US"/>
    </w:rPr>
  </w:style>
  <w:style w:type="character" w:styleId="IntenseReference">
    <w:name w:val="Intense Reference"/>
    <w:basedOn w:val="DefaultParagraphFont"/>
    <w:uiPriority w:val="99"/>
    <w:semiHidden/>
    <w:rsid w:val="00C249C7"/>
    <w:rPr>
      <w:b/>
      <w:bCs/>
      <w:smallCaps/>
      <w:color w:val="FFAE3B" w:themeColor="accent2"/>
      <w:spacing w:val="5"/>
      <w:u w:val="single"/>
    </w:rPr>
  </w:style>
  <w:style w:type="table" w:styleId="LightGrid">
    <w:name w:val="Light Grid"/>
    <w:basedOn w:val="TableNormal"/>
    <w:uiPriority w:val="62"/>
    <w:rsid w:val="00C249C7"/>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249C7"/>
    <w:pPr>
      <w:spacing w:before="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rsid w:val="00C249C7"/>
    <w:pPr>
      <w:spacing w:before="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rsid w:val="00C249C7"/>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C249C7"/>
    <w:pPr>
      <w:spacing w:before="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rsid w:val="00C249C7"/>
    <w:pPr>
      <w:spacing w:before="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rsid w:val="00C249C7"/>
    <w:pPr>
      <w:spacing w:before="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rsid w:val="00C249C7"/>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C249C7"/>
    <w:pPr>
      <w:spacing w:before="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rsid w:val="00C249C7"/>
    <w:pPr>
      <w:spacing w:before="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rsid w:val="00C249C7"/>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C249C7"/>
    <w:pPr>
      <w:spacing w:before="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rsid w:val="00C249C7"/>
    <w:pPr>
      <w:spacing w:before="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rsid w:val="00C249C7"/>
    <w:pPr>
      <w:spacing w:before="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rsid w:val="00C249C7"/>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249C7"/>
    <w:pPr>
      <w:spacing w:before="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rsid w:val="00C249C7"/>
    <w:pPr>
      <w:spacing w:before="0" w:line="240" w:lineRule="auto"/>
    </w:pPr>
    <w:rPr>
      <w:color w:val="EB8900" w:themeColor="accent2" w:themeShade="BF"/>
    </w:rPr>
    <w:tblPr>
      <w:tblStyleRowBandSize w:val="1"/>
      <w:tblStyleColBandSize w:val="1"/>
      <w:tblBorders>
        <w:top w:val="single" w:sz="8" w:space="0" w:color="FFAE3B" w:themeColor="accent2"/>
        <w:bottom w:val="single" w:sz="8" w:space="0" w:color="FFAE3B" w:themeColor="accent2"/>
      </w:tblBorders>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rsid w:val="00C249C7"/>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C249C7"/>
    <w:pPr>
      <w:spacing w:before="0" w:line="240" w:lineRule="auto"/>
    </w:pPr>
    <w:rPr>
      <w:color w:val="9255A1" w:themeColor="accent4" w:themeShade="BF"/>
    </w:rPr>
    <w:tblPr>
      <w:tblStyleRowBandSize w:val="1"/>
      <w:tblStyleColBandSize w:val="1"/>
      <w:tblBorders>
        <w:top w:val="single" w:sz="8" w:space="0" w:color="B689C1" w:themeColor="accent4"/>
        <w:bottom w:val="single" w:sz="8" w:space="0" w:color="B689C1" w:themeColor="accent4"/>
      </w:tblBorders>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rsid w:val="00C249C7"/>
    <w:pPr>
      <w:spacing w:before="0" w:line="240" w:lineRule="auto"/>
    </w:pPr>
    <w:rPr>
      <w:color w:val="AF6700" w:themeColor="accent5" w:themeShade="BF"/>
    </w:rPr>
    <w:tblPr>
      <w:tblStyleRowBandSize w:val="1"/>
      <w:tblStyleColBandSize w:val="1"/>
      <w:tblBorders>
        <w:top w:val="single" w:sz="8" w:space="0" w:color="EA8B00" w:themeColor="accent5"/>
        <w:bottom w:val="single" w:sz="8" w:space="0" w:color="EA8B00" w:themeColor="accent5"/>
      </w:tblBorders>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rsid w:val="00C249C7"/>
    <w:pPr>
      <w:spacing w:before="0" w:line="240" w:lineRule="auto"/>
    </w:pPr>
    <w:rPr>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paragraph" w:styleId="ListParagraph">
    <w:name w:val="List Paragraph"/>
    <w:basedOn w:val="Normal"/>
    <w:uiPriority w:val="34"/>
    <w:qFormat/>
    <w:rsid w:val="00C249C7"/>
    <w:pPr>
      <w:ind w:left="720"/>
      <w:contextualSpacing/>
    </w:pPr>
  </w:style>
  <w:style w:type="table" w:styleId="MediumGrid1">
    <w:name w:val="Medium Grid 1"/>
    <w:basedOn w:val="TableNormal"/>
    <w:uiPriority w:val="67"/>
    <w:rsid w:val="00C249C7"/>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249C7"/>
    <w:pPr>
      <w:spacing w:before="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MediumGrid1-Accent2">
    <w:name w:val="Medium Grid 1 Accent 2"/>
    <w:basedOn w:val="TableNormal"/>
    <w:uiPriority w:val="67"/>
    <w:rsid w:val="00C249C7"/>
    <w:pPr>
      <w:spacing w:before="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MediumGrid1-Accent3">
    <w:name w:val="Medium Grid 1 Accent 3"/>
    <w:basedOn w:val="TableNormal"/>
    <w:uiPriority w:val="67"/>
    <w:rsid w:val="00C249C7"/>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C249C7"/>
    <w:pPr>
      <w:spacing w:before="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MediumGrid1-Accent5">
    <w:name w:val="Medium Grid 1 Accent 5"/>
    <w:basedOn w:val="TableNormal"/>
    <w:uiPriority w:val="67"/>
    <w:rsid w:val="00C249C7"/>
    <w:pPr>
      <w:spacing w:before="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MediumGrid1-Accent6">
    <w:name w:val="Medium Grid 1 Accent 6"/>
    <w:basedOn w:val="TableNormal"/>
    <w:uiPriority w:val="67"/>
    <w:rsid w:val="00C249C7"/>
    <w:pPr>
      <w:spacing w:before="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MediumGrid2">
    <w:name w:val="Medium Grid 2"/>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rsid w:val="00C249C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rsid w:val="00C249C7"/>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249C7"/>
    <w:pPr>
      <w:spacing w:before="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styleId="MediumList1-Accent2">
    <w:name w:val="Medium List 1 Accent 2"/>
    <w:basedOn w:val="TableNormal"/>
    <w:uiPriority w:val="65"/>
    <w:rsid w:val="00C249C7"/>
    <w:pPr>
      <w:spacing w:before="0" w:line="240" w:lineRule="auto"/>
    </w:pPr>
    <w:rPr>
      <w:color w:val="000000" w:themeColor="text1"/>
    </w:rPr>
    <w:tblPr>
      <w:tblStyleRowBandSize w:val="1"/>
      <w:tblStyleColBandSize w:val="1"/>
      <w:tblBorders>
        <w:top w:val="single" w:sz="8" w:space="0" w:color="FFAE3B" w:themeColor="accent2"/>
        <w:bottom w:val="single" w:sz="8" w:space="0" w:color="FFAE3B" w:themeColor="accent2"/>
      </w:tblBorders>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styleId="MediumList1-Accent3">
    <w:name w:val="Medium List 1 Accent 3"/>
    <w:basedOn w:val="TableNormal"/>
    <w:uiPriority w:val="65"/>
    <w:rsid w:val="00C249C7"/>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C249C7"/>
    <w:pPr>
      <w:spacing w:before="0" w:line="240" w:lineRule="auto"/>
    </w:pPr>
    <w:rPr>
      <w:color w:val="000000" w:themeColor="text1"/>
    </w:rPr>
    <w:tblPr>
      <w:tblStyleRowBandSize w:val="1"/>
      <w:tblStyleColBandSize w:val="1"/>
      <w:tblBorders>
        <w:top w:val="single" w:sz="8" w:space="0" w:color="B689C1" w:themeColor="accent4"/>
        <w:bottom w:val="single" w:sz="8" w:space="0" w:color="B689C1" w:themeColor="accent4"/>
      </w:tblBorders>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styleId="MediumList1-Accent5">
    <w:name w:val="Medium List 1 Accent 5"/>
    <w:basedOn w:val="TableNormal"/>
    <w:uiPriority w:val="65"/>
    <w:rsid w:val="00C249C7"/>
    <w:pPr>
      <w:spacing w:before="0" w:line="240" w:lineRule="auto"/>
    </w:pPr>
    <w:rPr>
      <w:color w:val="000000" w:themeColor="text1"/>
    </w:rPr>
    <w:tblPr>
      <w:tblStyleRowBandSize w:val="1"/>
      <w:tblStyleColBandSize w:val="1"/>
      <w:tblBorders>
        <w:top w:val="single" w:sz="8" w:space="0" w:color="EA8B00" w:themeColor="accent5"/>
        <w:bottom w:val="single" w:sz="8" w:space="0" w:color="EA8B00" w:themeColor="accent5"/>
      </w:tblBorders>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styleId="MediumList1-Accent6">
    <w:name w:val="Medium List 1 Accent 6"/>
    <w:basedOn w:val="TableNormal"/>
    <w:uiPriority w:val="65"/>
    <w:rsid w:val="00C249C7"/>
    <w:pPr>
      <w:spacing w:before="0" w:line="240" w:lineRule="auto"/>
    </w:pPr>
    <w:rPr>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styleId="MediumList2">
    <w:name w:val="Medium List 2"/>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249C7"/>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249C7"/>
    <w:pPr>
      <w:spacing w:before="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249C7"/>
    <w:pPr>
      <w:spacing w:before="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249C7"/>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249C7"/>
    <w:pPr>
      <w:spacing w:before="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249C7"/>
    <w:pPr>
      <w:spacing w:before="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249C7"/>
    <w:pPr>
      <w:spacing w:before="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249C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semiHidden/>
    <w:rsid w:val="00C249C7"/>
    <w:pPr>
      <w:spacing w:before="0" w:line="240" w:lineRule="auto"/>
    </w:pPr>
    <w:rPr>
      <w:lang w:eastAsia="en-US"/>
    </w:rPr>
  </w:style>
  <w:style w:type="paragraph" w:styleId="NoteHeading">
    <w:name w:val="Note Heading"/>
    <w:basedOn w:val="Normal"/>
    <w:next w:val="Normal"/>
    <w:link w:val="NoteHeadingChar"/>
    <w:uiPriority w:val="99"/>
    <w:semiHidden/>
    <w:unhideWhenUsed/>
    <w:rsid w:val="00C249C7"/>
    <w:pPr>
      <w:spacing w:before="0" w:line="240" w:lineRule="auto"/>
    </w:pPr>
    <w:rPr>
      <w:rFonts w:ascii="Garamond" w:hAnsi="Garamond"/>
    </w:rPr>
  </w:style>
  <w:style w:type="character" w:customStyle="1" w:styleId="NoteHeadingChar">
    <w:name w:val="Note Heading Char"/>
    <w:basedOn w:val="DefaultParagraphFont"/>
    <w:link w:val="NoteHeading"/>
    <w:uiPriority w:val="99"/>
    <w:semiHidden/>
    <w:rsid w:val="00C249C7"/>
    <w:rPr>
      <w:lang w:eastAsia="en-US"/>
    </w:rPr>
  </w:style>
  <w:style w:type="paragraph" w:styleId="Subtitle0">
    <w:name w:val="Subtitle"/>
    <w:basedOn w:val="Normal"/>
    <w:next w:val="Normal"/>
    <w:link w:val="SubtitleChar"/>
    <w:rsid w:val="00180AC7"/>
    <w:pPr>
      <w:numPr>
        <w:ilvl w:val="1"/>
      </w:numPr>
      <w:spacing w:before="0" w:after="0" w:line="220" w:lineRule="exact"/>
    </w:pPr>
    <w:rPr>
      <w:rFonts w:asciiTheme="majorHAnsi" w:eastAsiaTheme="majorEastAsia" w:hAnsiTheme="majorHAnsi" w:cstheme="majorBidi"/>
      <w:b/>
      <w:iCs/>
      <w:caps/>
      <w:spacing w:val="15"/>
      <w:sz w:val="22"/>
    </w:rPr>
  </w:style>
  <w:style w:type="character" w:customStyle="1" w:styleId="SubtitleChar">
    <w:name w:val="Subtitle Char"/>
    <w:basedOn w:val="DefaultParagraphFont"/>
    <w:link w:val="Subtitle0"/>
    <w:rsid w:val="00180AC7"/>
    <w:rPr>
      <w:rFonts w:asciiTheme="majorHAnsi" w:eastAsiaTheme="majorEastAsia" w:hAnsiTheme="majorHAnsi" w:cstheme="majorBidi"/>
      <w:b/>
      <w:iCs/>
      <w:caps/>
      <w:spacing w:val="15"/>
      <w:sz w:val="22"/>
      <w:lang w:eastAsia="en-US"/>
    </w:rPr>
  </w:style>
  <w:style w:type="character" w:styleId="SubtleEmphasis">
    <w:name w:val="Subtle Emphasis"/>
    <w:basedOn w:val="DefaultParagraphFont"/>
    <w:uiPriority w:val="19"/>
    <w:semiHidden/>
    <w:rsid w:val="00C249C7"/>
    <w:rPr>
      <w:i/>
      <w:iCs/>
      <w:color w:val="808080" w:themeColor="text1" w:themeTint="7F"/>
    </w:rPr>
  </w:style>
  <w:style w:type="character" w:styleId="SubtleReference">
    <w:name w:val="Subtle Reference"/>
    <w:basedOn w:val="DefaultParagraphFont"/>
    <w:uiPriority w:val="31"/>
    <w:semiHidden/>
    <w:rsid w:val="00C249C7"/>
    <w:rPr>
      <w:smallCaps/>
      <w:color w:val="FFAE3B" w:themeColor="accent2"/>
      <w:u w:val="single"/>
    </w:rPr>
  </w:style>
  <w:style w:type="table" w:styleId="Table3Deffects3">
    <w:name w:val="Table 3D effects 3"/>
    <w:basedOn w:val="TableNormal"/>
    <w:uiPriority w:val="99"/>
    <w:semiHidden/>
    <w:unhideWhenUsed/>
    <w:rsid w:val="00C249C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249C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249C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249C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C249C7"/>
    <w:pPr>
      <w:keepLines/>
      <w:pageBreakBefore w:val="0"/>
      <w:numPr>
        <w:numId w:val="0"/>
      </w:numPr>
      <w:spacing w:before="480" w:after="0" w:line="300" w:lineRule="exact"/>
      <w:outlineLvl w:val="9"/>
    </w:pPr>
    <w:rPr>
      <w:rFonts w:eastAsiaTheme="majorEastAsia" w:cstheme="majorBidi"/>
      <w:bCs/>
      <w:color w:val="70417C" w:themeColor="accent1" w:themeShade="BF"/>
      <w:kern w:val="0"/>
      <w:sz w:val="28"/>
      <w:szCs w:val="28"/>
      <w:lang w:eastAsia="en-US"/>
    </w:rPr>
  </w:style>
  <w:style w:type="paragraph" w:customStyle="1" w:styleId="BoxListBullet3">
    <w:name w:val="Box List Bullet 3"/>
    <w:basedOn w:val="BoxListBullet2"/>
    <w:uiPriority w:val="4"/>
    <w:rsid w:val="00C249C7"/>
    <w:pPr>
      <w:numPr>
        <w:ilvl w:val="2"/>
      </w:numPr>
    </w:pPr>
  </w:style>
  <w:style w:type="paragraph" w:customStyle="1" w:styleId="Tablelistbullet3">
    <w:name w:val="Table list bullet 3"/>
    <w:basedOn w:val="Tablebody"/>
    <w:uiPriority w:val="3"/>
    <w:rsid w:val="009A67B0"/>
    <w:pPr>
      <w:numPr>
        <w:ilvl w:val="2"/>
        <w:numId w:val="28"/>
      </w:numPr>
    </w:pPr>
  </w:style>
  <w:style w:type="paragraph" w:customStyle="1" w:styleId="SmallDeltasRightAligned">
    <w:name w:val="SmallDeltasRightAligned"/>
    <w:basedOn w:val="Normal"/>
    <w:rsid w:val="00C249C7"/>
    <w:pPr>
      <w:spacing w:before="0" w:after="0" w:line="240" w:lineRule="auto"/>
      <w:jc w:val="right"/>
    </w:pPr>
  </w:style>
  <w:style w:type="paragraph" w:customStyle="1" w:styleId="SmallDeltasLeftAligned">
    <w:name w:val="SmallDeltasLeftAligned"/>
    <w:basedOn w:val="BodyText"/>
    <w:semiHidden/>
    <w:rsid w:val="00C249C7"/>
  </w:style>
  <w:style w:type="paragraph" w:customStyle="1" w:styleId="LandscapeHeader">
    <w:name w:val="LandscapeHeader"/>
    <w:basedOn w:val="Header"/>
    <w:semiHidden/>
    <w:rsid w:val="00C249C7"/>
    <w:pPr>
      <w:pBdr>
        <w:top w:val="single" w:sz="6" w:space="2" w:color="A6A6A6" w:themeColor="background1" w:themeShade="A6"/>
      </w:pBdr>
      <w:tabs>
        <w:tab w:val="left" w:pos="567"/>
      </w:tabs>
      <w:jc w:val="right"/>
    </w:pPr>
    <w:rPr>
      <w:rFonts w:ascii="Novecento Book" w:hAnsi="Novecento Book"/>
      <w:b/>
      <w:spacing w:val="22"/>
      <w:sz w:val="14"/>
      <w:szCs w:val="14"/>
    </w:rPr>
  </w:style>
  <w:style w:type="paragraph" w:customStyle="1" w:styleId="PortraitHeader">
    <w:name w:val="PortraitHeader"/>
    <w:basedOn w:val="Normal"/>
    <w:semiHidden/>
    <w:rsid w:val="00C249C7"/>
    <w:pPr>
      <w:pBdr>
        <w:top w:val="single" w:sz="6" w:space="2" w:color="A6A6A6" w:themeColor="background1" w:themeShade="A6"/>
      </w:pBdr>
      <w:tabs>
        <w:tab w:val="left" w:pos="567"/>
      </w:tabs>
      <w:spacing w:before="0" w:after="0" w:line="240" w:lineRule="auto"/>
      <w:ind w:left="-2268"/>
      <w:jc w:val="right"/>
    </w:pPr>
    <w:rPr>
      <w:rFonts w:ascii="Novecento Book" w:hAnsi="Novecento Book"/>
      <w:b/>
      <w:spacing w:val="22"/>
      <w:sz w:val="14"/>
      <w:szCs w:val="14"/>
    </w:rPr>
  </w:style>
  <w:style w:type="paragraph" w:customStyle="1" w:styleId="PortraitFooter">
    <w:name w:val="PortraitFooter"/>
    <w:basedOn w:val="Normal"/>
    <w:rsid w:val="00C249C7"/>
    <w:pPr>
      <w:spacing w:before="0" w:after="0" w:line="240" w:lineRule="auto"/>
      <w:jc w:val="right"/>
    </w:pPr>
    <w:rPr>
      <w:rFonts w:asciiTheme="majorHAnsi" w:eastAsia="Calibri" w:hAnsiTheme="majorHAnsi"/>
      <w:caps/>
      <w:sz w:val="14"/>
      <w:szCs w:val="14"/>
    </w:rPr>
  </w:style>
  <w:style w:type="paragraph" w:customStyle="1" w:styleId="LandscapeFooter">
    <w:name w:val="LandscapeFooter"/>
    <w:basedOn w:val="PortraitFooter"/>
    <w:semiHidden/>
    <w:rsid w:val="00C249C7"/>
    <w:rPr>
      <w:b/>
    </w:rPr>
  </w:style>
  <w:style w:type="paragraph" w:customStyle="1" w:styleId="AACHeader">
    <w:name w:val="AACHeader"/>
    <w:basedOn w:val="Header"/>
    <w:rsid w:val="00EA4292"/>
    <w:pPr>
      <w:pBdr>
        <w:top w:val="single" w:sz="6" w:space="2" w:color="A6A6A6" w:themeColor="background1" w:themeShade="A6"/>
      </w:pBdr>
      <w:ind w:left="-2552"/>
      <w:jc w:val="right"/>
    </w:pPr>
    <w:rPr>
      <w:rFonts w:asciiTheme="majorHAnsi" w:hAnsiTheme="majorHAnsi" w:cstheme="majorHAnsi"/>
      <w:b/>
      <w:caps/>
      <w:spacing w:val="22"/>
      <w:sz w:val="14"/>
      <w:szCs w:val="14"/>
    </w:rPr>
  </w:style>
  <w:style w:type="paragraph" w:customStyle="1" w:styleId="AACFooter">
    <w:name w:val="AACFooter"/>
    <w:basedOn w:val="Footer"/>
    <w:semiHidden/>
    <w:rsid w:val="00C249C7"/>
    <w:pPr>
      <w:jc w:val="right"/>
    </w:pPr>
    <w:rPr>
      <w:rFonts w:ascii="Novecento Book" w:eastAsia="Calibri" w:hAnsi="Novecento Book"/>
      <w:szCs w:val="14"/>
    </w:rPr>
  </w:style>
  <w:style w:type="paragraph" w:customStyle="1" w:styleId="Tabletext">
    <w:name w:val="Table text"/>
    <w:uiPriority w:val="3"/>
    <w:rsid w:val="009949E9"/>
    <w:pPr>
      <w:keepNext/>
      <w:keepLines/>
      <w:spacing w:before="40" w:after="40" w:line="240" w:lineRule="auto"/>
    </w:pPr>
    <w:rPr>
      <w:rFonts w:ascii="Arial" w:hAnsi="Arial"/>
      <w:color w:val="000000"/>
      <w:sz w:val="16"/>
      <w:lang w:eastAsia="en-US"/>
    </w:rPr>
  </w:style>
  <w:style w:type="paragraph" w:customStyle="1" w:styleId="SpaceAboveAppendixTOC">
    <w:name w:val="SpaceAboveAppendixTOC"/>
    <w:basedOn w:val="BodyText"/>
    <w:uiPriority w:val="8"/>
    <w:semiHidden/>
    <w:rsid w:val="00C249C7"/>
    <w:pPr>
      <w:pBdr>
        <w:top w:val="single" w:sz="4" w:space="1" w:color="A6A6A6" w:themeColor="background1" w:themeShade="A6"/>
      </w:pBdr>
    </w:pPr>
  </w:style>
  <w:style w:type="paragraph" w:customStyle="1" w:styleId="SpaceAboveInTOC">
    <w:name w:val="SpaceAboveInTOC"/>
    <w:basedOn w:val="BodyText"/>
    <w:rsid w:val="00C249C7"/>
    <w:pPr>
      <w:pBdr>
        <w:top w:val="single" w:sz="4" w:space="1" w:color="A6A6A6" w:themeColor="background1" w:themeShade="A6"/>
      </w:pBdr>
      <w:spacing w:before="0" w:after="0" w:line="240" w:lineRule="auto"/>
    </w:pPr>
  </w:style>
  <w:style w:type="paragraph" w:customStyle="1" w:styleId="ContactPageDeltas">
    <w:name w:val="ContactPageDeltas"/>
    <w:basedOn w:val="Normal"/>
    <w:rsid w:val="00C249C7"/>
    <w:pPr>
      <w:spacing w:before="0" w:after="0" w:line="240" w:lineRule="auto"/>
    </w:pPr>
  </w:style>
  <w:style w:type="paragraph" w:customStyle="1" w:styleId="ReportTo">
    <w:name w:val="ReportTo"/>
    <w:basedOn w:val="Normal"/>
    <w:rsid w:val="00C249C7"/>
    <w:pPr>
      <w:spacing w:before="0" w:after="0" w:line="240" w:lineRule="auto"/>
    </w:pPr>
    <w:rPr>
      <w:rFonts w:asciiTheme="majorHAnsi" w:hAnsiTheme="majorHAnsi"/>
      <w:caps/>
      <w:sz w:val="22"/>
    </w:rPr>
  </w:style>
  <w:style w:type="paragraph" w:customStyle="1" w:styleId="CoverPageDeltas">
    <w:name w:val="CoverPageDeltas"/>
    <w:basedOn w:val="Normal"/>
    <w:rsid w:val="00C249C7"/>
    <w:pPr>
      <w:spacing w:before="0" w:after="0" w:line="240" w:lineRule="auto"/>
      <w:jc w:val="right"/>
    </w:pPr>
  </w:style>
  <w:style w:type="paragraph" w:customStyle="1" w:styleId="PreparedFor0">
    <w:name w:val="Prepared For"/>
    <w:basedOn w:val="Normal"/>
    <w:rsid w:val="00C249C7"/>
    <w:pPr>
      <w:spacing w:before="0" w:after="0" w:line="240" w:lineRule="auto"/>
    </w:pPr>
    <w:rPr>
      <w:rFonts w:asciiTheme="majorHAnsi" w:eastAsiaTheme="minorHAnsi" w:hAnsiTheme="majorHAnsi"/>
      <w:b/>
      <w:caps/>
      <w:sz w:val="22"/>
      <w:szCs w:val="20"/>
    </w:rPr>
  </w:style>
  <w:style w:type="character" w:customStyle="1" w:styleId="StyleTextBrandingNotBoldCustomColorRGB25517459Expan">
    <w:name w:val="Style TextBranding + Not Bold Custom Color(RGB(25517459)) Expan..."/>
    <w:basedOn w:val="DefaultParagraphFont"/>
    <w:uiPriority w:val="7"/>
    <w:rsid w:val="00C249C7"/>
    <w:rPr>
      <w:color w:val="FFAE3B"/>
      <w:spacing w:val="120"/>
    </w:rPr>
  </w:style>
  <w:style w:type="paragraph" w:customStyle="1" w:styleId="TextBranding">
    <w:name w:val="TextBranding"/>
    <w:basedOn w:val="Normal"/>
    <w:rsid w:val="00C249C7"/>
    <w:pPr>
      <w:spacing w:before="0" w:after="0" w:line="240" w:lineRule="auto"/>
    </w:pPr>
    <w:rPr>
      <w:rFonts w:ascii="Novecento Book" w:eastAsiaTheme="minorHAnsi" w:hAnsi="Novecento Book"/>
      <w:b/>
      <w:caps/>
      <w:color w:val="9757A6"/>
      <w:spacing w:val="60"/>
      <w:sz w:val="27"/>
    </w:rPr>
  </w:style>
  <w:style w:type="paragraph" w:customStyle="1" w:styleId="TextBrandingPurple">
    <w:name w:val="TextBrandingPurple"/>
    <w:basedOn w:val="Normal"/>
    <w:rsid w:val="00C249C7"/>
    <w:pPr>
      <w:spacing w:before="0" w:after="0" w:line="240" w:lineRule="auto"/>
    </w:pPr>
    <w:rPr>
      <w:rFonts w:asciiTheme="majorHAnsi" w:eastAsiaTheme="minorHAnsi" w:hAnsiTheme="majorHAnsi"/>
      <w:b/>
      <w:caps/>
      <w:color w:val="9757A6"/>
      <w:spacing w:val="120"/>
      <w:sz w:val="25"/>
    </w:rPr>
  </w:style>
  <w:style w:type="paragraph" w:customStyle="1" w:styleId="TextBrandingYellow">
    <w:name w:val="TextBrandingYellow"/>
    <w:basedOn w:val="TextBrandingPurple"/>
    <w:uiPriority w:val="7"/>
    <w:rsid w:val="00C249C7"/>
    <w:rPr>
      <w:b w:val="0"/>
      <w:caps w:val="0"/>
      <w:color w:val="FFAE3B"/>
    </w:rPr>
  </w:style>
  <w:style w:type="paragraph" w:customStyle="1" w:styleId="TitleShort">
    <w:name w:val="Title Short"/>
    <w:basedOn w:val="Normal"/>
    <w:qFormat/>
    <w:rsid w:val="00C249C7"/>
    <w:pPr>
      <w:spacing w:after="0" w:line="780" w:lineRule="exact"/>
    </w:pPr>
    <w:rPr>
      <w:rFonts w:ascii="Georgia" w:eastAsiaTheme="minorHAnsi" w:hAnsi="Georgia"/>
      <w:b/>
      <w:caps/>
      <w:color w:val="9D57A6"/>
      <w:sz w:val="72"/>
      <w:szCs w:val="20"/>
    </w:rPr>
  </w:style>
  <w:style w:type="paragraph" w:customStyle="1" w:styleId="Image">
    <w:name w:val="Image"/>
    <w:basedOn w:val="Normal"/>
    <w:rsid w:val="00C249C7"/>
    <w:pPr>
      <w:spacing w:before="0" w:after="0" w:line="240" w:lineRule="auto"/>
      <w:jc w:val="right"/>
    </w:pPr>
    <w:rPr>
      <w:rFonts w:eastAsiaTheme="minorHAnsi"/>
      <w:noProof/>
      <w:szCs w:val="20"/>
      <w:lang w:eastAsia="en-AU"/>
    </w:rPr>
  </w:style>
  <w:style w:type="paragraph" w:customStyle="1" w:styleId="SpaceAbove">
    <w:name w:val="SpaceAbove"/>
    <w:basedOn w:val="Normal"/>
    <w:rsid w:val="009949E9"/>
    <w:pPr>
      <w:spacing w:before="0" w:after="0" w:line="240" w:lineRule="auto"/>
    </w:pPr>
    <w:rPr>
      <w:rFonts w:asciiTheme="majorHAnsi" w:eastAsiaTheme="minorHAnsi" w:hAnsiTheme="majorHAnsi"/>
      <w:sz w:val="12"/>
      <w:szCs w:val="20"/>
    </w:rPr>
  </w:style>
  <w:style w:type="paragraph" w:customStyle="1" w:styleId="Disclaimer">
    <w:name w:val="Disclaimer"/>
    <w:basedOn w:val="Normal"/>
    <w:rsid w:val="00FD14ED"/>
    <w:pPr>
      <w:spacing w:before="0" w:after="40" w:line="240" w:lineRule="auto"/>
    </w:pPr>
    <w:rPr>
      <w:rFonts w:asciiTheme="majorHAnsi" w:eastAsiaTheme="minorHAnsi" w:hAnsiTheme="majorHAnsi"/>
      <w:caps/>
      <w:sz w:val="14"/>
      <w:szCs w:val="16"/>
    </w:rPr>
  </w:style>
  <w:style w:type="table" w:customStyle="1" w:styleId="TableGrid10">
    <w:name w:val="Table Grid1"/>
    <w:basedOn w:val="TableNormal"/>
    <w:next w:val="TableGrid"/>
    <w:uiPriority w:val="59"/>
    <w:rsid w:val="00C249C7"/>
    <w:pPr>
      <w:spacing w:before="0" w:line="240" w:lineRule="auto"/>
    </w:pPr>
    <w:rPr>
      <w:rFonts w:ascii="HelveticaNeueLT Std Lt Cn" w:eastAsiaTheme="minorHAnsi" w:hAnsi="HelveticaNeueLT Std Lt C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ILAllenTable">
    <w:name w:val="ACIL Allen Table"/>
    <w:basedOn w:val="TableNormal"/>
    <w:uiPriority w:val="99"/>
    <w:rsid w:val="00C249C7"/>
    <w:pPr>
      <w:spacing w:before="40" w:after="40" w:line="240" w:lineRule="auto"/>
    </w:pPr>
    <w:rPr>
      <w:rFonts w:asciiTheme="minorHAnsi" w:hAnsiTheme="minorHAnsi"/>
      <w:sz w:val="16"/>
    </w:rPr>
    <w:tblPr>
      <w:tblBorders>
        <w:bottom w:val="single" w:sz="6" w:space="0" w:color="BFBFBF" w:themeColor="background1" w:themeShade="BF"/>
        <w:insideH w:val="single" w:sz="6" w:space="0" w:color="BFBFBF" w:themeColor="background1" w:themeShade="BF"/>
      </w:tblBorders>
    </w:tblPr>
    <w:tblStylePr w:type="firstRow">
      <w:rPr>
        <w:rFonts w:asciiTheme="minorHAnsi" w:hAnsiTheme="minorHAnsi"/>
        <w:color w:val="FFFFFF" w:themeColor="background1"/>
        <w:sz w:val="16"/>
      </w:rPr>
      <w:tblPr/>
      <w:tcPr>
        <w:shd w:val="clear" w:color="auto" w:fill="9757A6"/>
      </w:tcPr>
    </w:tblStylePr>
    <w:tblStylePr w:type="lastRow">
      <w:tblPr/>
      <w:tcPr>
        <w:tcBorders>
          <w:bottom w:val="single" w:sz="6" w:space="0" w:color="C0C0C0"/>
        </w:tcBorders>
      </w:tcPr>
    </w:tblStylePr>
  </w:style>
  <w:style w:type="numbering" w:customStyle="1" w:styleId="ACILAllenBoxBulletedList">
    <w:name w:val="ACIL Allen Box Bulleted List"/>
    <w:uiPriority w:val="99"/>
    <w:rsid w:val="009A67B0"/>
    <w:pPr>
      <w:numPr>
        <w:numId w:val="10"/>
      </w:numPr>
    </w:pPr>
  </w:style>
  <w:style w:type="numbering" w:customStyle="1" w:styleId="ACILAllenBoxListNumbering">
    <w:name w:val="ACIL Allen Box List Numbering"/>
    <w:uiPriority w:val="99"/>
    <w:rsid w:val="007F1F56"/>
    <w:pPr>
      <w:numPr>
        <w:numId w:val="11"/>
      </w:numPr>
    </w:pPr>
  </w:style>
  <w:style w:type="numbering" w:customStyle="1" w:styleId="ACILAllenNumberedList">
    <w:name w:val="ACIL Allen Numbered List"/>
    <w:uiPriority w:val="99"/>
    <w:rsid w:val="00C249C7"/>
    <w:pPr>
      <w:numPr>
        <w:numId w:val="12"/>
      </w:numPr>
    </w:pPr>
  </w:style>
  <w:style w:type="numbering" w:customStyle="1" w:styleId="ACILAllenTableBulletedList">
    <w:name w:val="ACIL Allen Table Bulleted List"/>
    <w:uiPriority w:val="99"/>
    <w:rsid w:val="009A67B0"/>
    <w:pPr>
      <w:numPr>
        <w:numId w:val="13"/>
      </w:numPr>
    </w:pPr>
  </w:style>
  <w:style w:type="numbering" w:customStyle="1" w:styleId="ACILAllenTableListNumbering">
    <w:name w:val="ACIL Allen Table List Numbering"/>
    <w:uiPriority w:val="99"/>
    <w:rsid w:val="00520ED6"/>
    <w:pPr>
      <w:numPr>
        <w:numId w:val="21"/>
      </w:numPr>
    </w:pPr>
  </w:style>
  <w:style w:type="paragraph" w:customStyle="1" w:styleId="TableQuote">
    <w:name w:val="Table Quote"/>
    <w:basedOn w:val="Tabletext"/>
    <w:uiPriority w:val="3"/>
    <w:rsid w:val="009949E9"/>
    <w:pPr>
      <w:ind w:left="113" w:right="113"/>
    </w:pPr>
  </w:style>
  <w:style w:type="paragraph" w:customStyle="1" w:styleId="TableQuoteBullet">
    <w:name w:val="Table Quote Bullet"/>
    <w:basedOn w:val="TableQuote"/>
    <w:uiPriority w:val="3"/>
    <w:rsid w:val="00E57AAC"/>
    <w:pPr>
      <w:numPr>
        <w:numId w:val="22"/>
      </w:numPr>
    </w:pPr>
  </w:style>
  <w:style w:type="paragraph" w:customStyle="1" w:styleId="LetterHeading1">
    <w:name w:val="Letter Heading 1"/>
    <w:next w:val="BodyText"/>
    <w:uiPriority w:val="7"/>
    <w:qFormat/>
    <w:rsid w:val="00C249C7"/>
    <w:pPr>
      <w:spacing w:before="200" w:line="240" w:lineRule="auto"/>
    </w:pPr>
    <w:rPr>
      <w:rFonts w:asciiTheme="majorHAnsi" w:hAnsiTheme="majorHAnsi"/>
      <w:b/>
      <w:sz w:val="20"/>
      <w:szCs w:val="36"/>
      <w:lang w:eastAsia="en-AU"/>
    </w:rPr>
  </w:style>
  <w:style w:type="paragraph" w:customStyle="1" w:styleId="LetterHeading2">
    <w:name w:val="Letter Heading 2"/>
    <w:basedOn w:val="LetterHeading1"/>
    <w:next w:val="BodyText"/>
    <w:uiPriority w:val="7"/>
    <w:qFormat/>
    <w:rsid w:val="00C249C7"/>
    <w:rPr>
      <w:i/>
      <w:sz w:val="18"/>
      <w:szCs w:val="28"/>
    </w:rPr>
  </w:style>
  <w:style w:type="paragraph" w:customStyle="1" w:styleId="LetterHeading3">
    <w:name w:val="Letter Heading 3"/>
    <w:basedOn w:val="LetterHeading2"/>
    <w:next w:val="BodyText"/>
    <w:uiPriority w:val="7"/>
    <w:qFormat/>
    <w:rsid w:val="00C249C7"/>
    <w:rPr>
      <w:b w:val="0"/>
      <w:szCs w:val="27"/>
    </w:rPr>
  </w:style>
  <w:style w:type="paragraph" w:customStyle="1" w:styleId="LetterAddress">
    <w:name w:val="LetterAddress"/>
    <w:basedOn w:val="LetterName"/>
    <w:uiPriority w:val="99"/>
    <w:rsid w:val="00610859"/>
    <w:pPr>
      <w:jc w:val="both"/>
    </w:pPr>
  </w:style>
  <w:style w:type="paragraph" w:customStyle="1" w:styleId="LetterCityStatePostcode">
    <w:name w:val="LetterCityStatePostcode"/>
    <w:basedOn w:val="LetterName"/>
    <w:uiPriority w:val="99"/>
    <w:rsid w:val="00610859"/>
    <w:pPr>
      <w:spacing w:line="260" w:lineRule="exact"/>
    </w:pPr>
  </w:style>
  <w:style w:type="paragraph" w:customStyle="1" w:styleId="LetterCompany">
    <w:name w:val="LetterCompany"/>
    <w:basedOn w:val="LetterName"/>
    <w:uiPriority w:val="99"/>
    <w:rsid w:val="00610859"/>
  </w:style>
  <w:style w:type="paragraph" w:customStyle="1" w:styleId="LetterDate">
    <w:name w:val="LetterDate"/>
    <w:basedOn w:val="LetterName"/>
    <w:uiPriority w:val="99"/>
    <w:rsid w:val="00EF6248"/>
    <w:pPr>
      <w:spacing w:before="600"/>
    </w:pPr>
  </w:style>
  <w:style w:type="paragraph" w:customStyle="1" w:styleId="LetterName">
    <w:name w:val="LetterName"/>
    <w:basedOn w:val="Normal"/>
    <w:uiPriority w:val="99"/>
    <w:rsid w:val="00610859"/>
    <w:pPr>
      <w:spacing w:before="0" w:after="0" w:line="280" w:lineRule="exact"/>
    </w:pPr>
    <w:rPr>
      <w:sz w:val="22"/>
      <w:szCs w:val="20"/>
    </w:rPr>
  </w:style>
  <w:style w:type="paragraph" w:customStyle="1" w:styleId="LetterSubject">
    <w:name w:val="LetterSubject"/>
    <w:basedOn w:val="Normal"/>
    <w:next w:val="Normal"/>
    <w:uiPriority w:val="99"/>
    <w:semiHidden/>
    <w:rsid w:val="00C249C7"/>
    <w:pPr>
      <w:tabs>
        <w:tab w:val="left" w:pos="4395"/>
        <w:tab w:val="left" w:pos="6946"/>
      </w:tabs>
      <w:spacing w:before="400" w:after="200" w:line="260" w:lineRule="exact"/>
    </w:pPr>
    <w:rPr>
      <w:b/>
      <w:caps/>
      <w:szCs w:val="20"/>
    </w:rPr>
  </w:style>
  <w:style w:type="paragraph" w:customStyle="1" w:styleId="LetterTitle">
    <w:name w:val="LetterTitle"/>
    <w:basedOn w:val="LetterName"/>
    <w:uiPriority w:val="99"/>
    <w:rsid w:val="00610859"/>
  </w:style>
  <w:style w:type="character" w:customStyle="1" w:styleId="ACILAllenYellow">
    <w:name w:val="ACIL Allen Yellow"/>
    <w:basedOn w:val="DefaultParagraphFont"/>
    <w:uiPriority w:val="1"/>
    <w:rsid w:val="00C249C7"/>
    <w:rPr>
      <w:color w:val="FFAE3B"/>
    </w:rPr>
  </w:style>
  <w:style w:type="character" w:customStyle="1" w:styleId="PageNumberLandscapeChar">
    <w:name w:val="Page Number Landscape Char"/>
    <w:basedOn w:val="DefaultParagraphFont"/>
    <w:link w:val="PageNumberLandscape"/>
    <w:semiHidden/>
    <w:rsid w:val="00C249C7"/>
    <w:rPr>
      <w:rFonts w:asciiTheme="minorHAnsi" w:hAnsiTheme="minorHAnsi"/>
      <w:lang w:eastAsia="en-US"/>
    </w:rPr>
  </w:style>
  <w:style w:type="character" w:customStyle="1" w:styleId="CaptionLabel">
    <w:name w:val="Caption Label"/>
    <w:qFormat/>
    <w:rsid w:val="00C249C7"/>
    <w:rPr>
      <w:b/>
    </w:rPr>
  </w:style>
  <w:style w:type="paragraph" w:customStyle="1" w:styleId="SideQuote">
    <w:name w:val="Side Quote"/>
    <w:basedOn w:val="SideNote"/>
    <w:next w:val="SideQuoteSource"/>
    <w:link w:val="SideQuoteChar"/>
    <w:rsid w:val="00C249C7"/>
    <w:pPr>
      <w:framePr w:wrap="around"/>
      <w:pBdr>
        <w:top w:val="single" w:sz="12" w:space="3" w:color="9757A6" w:themeColor="accent1"/>
        <w:bottom w:val="single" w:sz="12" w:space="3" w:color="9757A6" w:themeColor="accent1"/>
      </w:pBdr>
    </w:pPr>
    <w:rPr>
      <w:color w:val="808080" w:themeColor="background1" w:themeShade="80"/>
    </w:rPr>
  </w:style>
  <w:style w:type="paragraph" w:customStyle="1" w:styleId="SideQuoteSource">
    <w:name w:val="Side Quote Source"/>
    <w:basedOn w:val="SideQuote"/>
    <w:next w:val="BodyText"/>
    <w:rsid w:val="00C249C7"/>
    <w:pPr>
      <w:framePr w:wrap="around"/>
      <w:jc w:val="right"/>
    </w:pPr>
    <w:rPr>
      <w:i/>
    </w:rPr>
  </w:style>
  <w:style w:type="paragraph" w:customStyle="1" w:styleId="Style1">
    <w:name w:val="Style1"/>
    <w:basedOn w:val="SideQuote"/>
    <w:next w:val="BodyText"/>
    <w:link w:val="Style1Char"/>
    <w:rsid w:val="00C249C7"/>
    <w:pPr>
      <w:keepNext w:val="0"/>
      <w:framePr w:w="0" w:hSpace="0" w:vSpace="0" w:wrap="auto" w:vAnchor="margin" w:hAnchor="text" w:xAlign="left" w:yAlign="inline"/>
      <w:spacing w:before="120" w:after="120" w:line="240" w:lineRule="exact"/>
    </w:pPr>
    <w:rPr>
      <w:b w:val="0"/>
      <w:color w:val="9757A6" w:themeColor="accent1"/>
      <w:sz w:val="18"/>
      <w:lang w:eastAsia="en-US"/>
    </w:rPr>
  </w:style>
  <w:style w:type="character" w:customStyle="1" w:styleId="Style1Char">
    <w:name w:val="Style1 Char"/>
    <w:basedOn w:val="DefaultParagraphFont"/>
    <w:link w:val="Style1"/>
    <w:rsid w:val="00C249C7"/>
    <w:rPr>
      <w:rFonts w:asciiTheme="minorHAnsi" w:hAnsiTheme="minorHAnsi"/>
      <w:color w:val="9757A6" w:themeColor="accent1"/>
      <w:sz w:val="18"/>
      <w:lang w:eastAsia="en-US"/>
    </w:rPr>
  </w:style>
  <w:style w:type="character" w:customStyle="1" w:styleId="SideQuoteChar">
    <w:name w:val="Side Quote Char"/>
    <w:basedOn w:val="DefaultParagraphFont"/>
    <w:link w:val="SideQuote"/>
    <w:rsid w:val="00C249C7"/>
    <w:rPr>
      <w:rFonts w:asciiTheme="minorHAnsi" w:hAnsiTheme="minorHAnsi"/>
      <w:b/>
      <w:color w:val="808080" w:themeColor="background1" w:themeShade="80"/>
      <w:sz w:val="16"/>
      <w:lang w:eastAsia="en-AU"/>
    </w:rPr>
  </w:style>
  <w:style w:type="paragraph" w:customStyle="1" w:styleId="ExecSummaryHeading">
    <w:name w:val="Exec Summary Heading"/>
    <w:basedOn w:val="Heading1nonumber"/>
    <w:next w:val="BodyText"/>
    <w:autoRedefine/>
    <w:rsid w:val="00E41AE2"/>
    <w:pPr>
      <w:pBdr>
        <w:top w:val="single" w:sz="48" w:space="30" w:color="9757A6"/>
        <w:left w:val="single" w:sz="48" w:space="4" w:color="9757A6"/>
        <w:bottom w:val="single" w:sz="48" w:space="5" w:color="9757A6"/>
        <w:right w:val="single" w:sz="48" w:space="4" w:color="9757A6"/>
      </w:pBdr>
      <w:shd w:val="clear" w:color="auto" w:fill="9757A6"/>
      <w:spacing w:before="0"/>
    </w:pPr>
    <w:rPr>
      <w:color w:val="FFFFFF" w:themeColor="background1"/>
    </w:rPr>
  </w:style>
  <w:style w:type="paragraph" w:customStyle="1" w:styleId="QuoteSource">
    <w:name w:val="Quote Source"/>
    <w:basedOn w:val="Quote"/>
    <w:next w:val="BodyText"/>
    <w:rsid w:val="00C249C7"/>
    <w:pPr>
      <w:jc w:val="right"/>
    </w:pPr>
    <w:rPr>
      <w:i/>
    </w:rPr>
  </w:style>
  <w:style w:type="paragraph" w:customStyle="1" w:styleId="BoxQuoteSource">
    <w:name w:val="Box Quote Source"/>
    <w:basedOn w:val="BoxQuote"/>
    <w:rsid w:val="00C249C7"/>
    <w:pPr>
      <w:ind w:right="199"/>
      <w:jc w:val="right"/>
    </w:pPr>
    <w:rPr>
      <w:i/>
    </w:rPr>
  </w:style>
  <w:style w:type="paragraph" w:customStyle="1" w:styleId="TableQuoteSource">
    <w:name w:val="Table Quote Source"/>
    <w:basedOn w:val="TableQuote"/>
    <w:rsid w:val="00C249C7"/>
    <w:pPr>
      <w:jc w:val="right"/>
    </w:pPr>
    <w:rPr>
      <w:i/>
    </w:rPr>
  </w:style>
  <w:style w:type="paragraph" w:customStyle="1" w:styleId="ConsultantContact">
    <w:name w:val="Consultant Contact"/>
    <w:basedOn w:val="BodyText"/>
    <w:rsid w:val="007377C2"/>
    <w:rPr>
      <w:color w:val="808080" w:themeColor="background1" w:themeShade="80"/>
      <w:sz w:val="20"/>
    </w:rPr>
  </w:style>
  <w:style w:type="paragraph" w:customStyle="1" w:styleId="CoverInfoHeading">
    <w:name w:val="Cover Info Heading"/>
    <w:basedOn w:val="CoverInfo"/>
    <w:rsid w:val="007377C2"/>
    <w:rPr>
      <w:b/>
      <w:color w:val="9757A6"/>
      <w:sz w:val="20"/>
      <w:lang w:val="en-AU"/>
    </w:rPr>
  </w:style>
  <w:style w:type="numbering" w:customStyle="1" w:styleId="ACILAllenBulletedlist">
    <w:name w:val="ACIL Allen Bulleted list"/>
    <w:uiPriority w:val="99"/>
    <w:rsid w:val="00CE3F7C"/>
    <w:pPr>
      <w:numPr>
        <w:numId w:val="14"/>
      </w:numPr>
    </w:pPr>
  </w:style>
  <w:style w:type="paragraph" w:customStyle="1" w:styleId="ListDash">
    <w:name w:val="List Dash"/>
    <w:basedOn w:val="BodyText"/>
    <w:rsid w:val="00A62441"/>
    <w:pPr>
      <w:numPr>
        <w:numId w:val="19"/>
      </w:numPr>
      <w:spacing w:before="60" w:after="60"/>
    </w:pPr>
  </w:style>
  <w:style w:type="paragraph" w:customStyle="1" w:styleId="ListDash2">
    <w:name w:val="List Dash 2"/>
    <w:basedOn w:val="ListDash"/>
    <w:rsid w:val="00160E03"/>
    <w:pPr>
      <w:numPr>
        <w:ilvl w:val="1"/>
      </w:numPr>
      <w:ind w:left="567"/>
    </w:pPr>
  </w:style>
  <w:style w:type="paragraph" w:customStyle="1" w:styleId="ListDash3">
    <w:name w:val="List Dash 3"/>
    <w:basedOn w:val="ListDash2"/>
    <w:rsid w:val="00160E03"/>
    <w:pPr>
      <w:numPr>
        <w:ilvl w:val="2"/>
      </w:numPr>
      <w:ind w:left="851"/>
    </w:pPr>
  </w:style>
  <w:style w:type="numbering" w:customStyle="1" w:styleId="ACILAllenDashedList">
    <w:name w:val="ACIL Allen Dashed List"/>
    <w:uiPriority w:val="99"/>
    <w:rsid w:val="00A62441"/>
    <w:pPr>
      <w:numPr>
        <w:numId w:val="15"/>
      </w:numPr>
    </w:pPr>
  </w:style>
  <w:style w:type="paragraph" w:customStyle="1" w:styleId="NewPartDeltas">
    <w:name w:val="NewPartDeltas"/>
    <w:basedOn w:val="BodyText"/>
    <w:rsid w:val="00C249C7"/>
    <w:pPr>
      <w:spacing w:before="0" w:after="0" w:line="240" w:lineRule="auto"/>
    </w:pPr>
    <w:rPr>
      <w:noProof/>
    </w:rPr>
  </w:style>
  <w:style w:type="paragraph" w:customStyle="1" w:styleId="Part">
    <w:name w:val="Part"/>
    <w:basedOn w:val="Normal"/>
    <w:rsid w:val="007B3211"/>
    <w:pPr>
      <w:spacing w:before="0" w:after="0" w:line="240" w:lineRule="auto"/>
    </w:pPr>
    <w:rPr>
      <w:rFonts w:asciiTheme="majorHAnsi" w:hAnsiTheme="majorHAnsi"/>
      <w:color w:val="FFFFFF" w:themeColor="background1"/>
      <w:spacing w:val="80"/>
      <w:sz w:val="80"/>
      <w:szCs w:val="80"/>
    </w:rPr>
  </w:style>
  <w:style w:type="paragraph" w:customStyle="1" w:styleId="PartTitle">
    <w:name w:val="Part Title"/>
    <w:basedOn w:val="BodyText"/>
    <w:rsid w:val="007B3211"/>
    <w:pPr>
      <w:spacing w:line="240" w:lineRule="auto"/>
    </w:pPr>
    <w:rPr>
      <w:rFonts w:ascii="Arial Narrow" w:hAnsi="Arial Narrow" w:cstheme="majorHAnsi"/>
      <w:b/>
      <w:caps/>
      <w:color w:val="FFAE3B"/>
      <w:spacing w:val="100"/>
      <w:sz w:val="40"/>
      <w:szCs w:val="40"/>
      <w:lang w:eastAsia="zh-CN"/>
    </w:rPr>
  </w:style>
  <w:style w:type="paragraph" w:customStyle="1" w:styleId="PartNumberOnly">
    <w:name w:val="PartNumberOnly"/>
    <w:basedOn w:val="Normal"/>
    <w:rsid w:val="00CF7515"/>
    <w:pPr>
      <w:spacing w:before="0" w:after="0" w:line="240" w:lineRule="auto"/>
      <w:jc w:val="center"/>
    </w:pPr>
    <w:rPr>
      <w:rFonts w:ascii="Georgia" w:hAnsi="Georgia"/>
      <w:color w:val="FFFFFF" w:themeColor="background1"/>
      <w:sz w:val="144"/>
    </w:rPr>
  </w:style>
  <w:style w:type="numbering" w:customStyle="1" w:styleId="ATbulletedlist">
    <w:name w:val="AT bulleted list"/>
    <w:uiPriority w:val="99"/>
    <w:rsid w:val="00C249C7"/>
    <w:pPr>
      <w:numPr>
        <w:numId w:val="16"/>
      </w:numPr>
    </w:pPr>
  </w:style>
  <w:style w:type="numbering" w:customStyle="1" w:styleId="ATBoxBulletedList">
    <w:name w:val="AT Box Bulleted List"/>
    <w:uiPriority w:val="99"/>
    <w:rsid w:val="00C249C7"/>
    <w:pPr>
      <w:numPr>
        <w:numId w:val="17"/>
      </w:numPr>
    </w:pPr>
  </w:style>
  <w:style w:type="numbering" w:customStyle="1" w:styleId="ACILAllenPartNumbers">
    <w:name w:val="ACIL Allen Part Numbers"/>
    <w:uiPriority w:val="99"/>
    <w:rsid w:val="00C249C7"/>
    <w:pPr>
      <w:numPr>
        <w:numId w:val="18"/>
      </w:numPr>
    </w:pPr>
  </w:style>
  <w:style w:type="paragraph" w:customStyle="1" w:styleId="LetterRef">
    <w:name w:val="LetterRef"/>
    <w:basedOn w:val="LetterDate"/>
    <w:rsid w:val="002F733E"/>
    <w:pPr>
      <w:spacing w:before="40" w:after="600"/>
    </w:pPr>
  </w:style>
  <w:style w:type="character" w:customStyle="1" w:styleId="FootnoteTextChar">
    <w:name w:val="Footnote Text Char"/>
    <w:aliases w:val="(NECG) Footnote Text Char"/>
    <w:basedOn w:val="DefaultParagraphFont"/>
    <w:link w:val="FootnoteText"/>
    <w:uiPriority w:val="8"/>
    <w:locked/>
    <w:rsid w:val="003C215F"/>
    <w:rPr>
      <w:rFonts w:asciiTheme="minorHAnsi" w:hAnsiTheme="minorHAnsi"/>
      <w:sz w:val="16"/>
      <w:szCs w:val="22"/>
      <w:lang w:eastAsia="en-AU"/>
    </w:rPr>
  </w:style>
  <w:style w:type="paragraph" w:styleId="Revision">
    <w:name w:val="Revision"/>
    <w:hidden/>
    <w:uiPriority w:val="99"/>
    <w:semiHidden/>
    <w:rsid w:val="008731E7"/>
    <w:pPr>
      <w:spacing w:before="0" w:line="240" w:lineRule="auto"/>
    </w:pPr>
    <w:rPr>
      <w:rFonts w:asciiTheme="minorHAnsi" w:hAnsi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194610">
      <w:bodyDiv w:val="1"/>
      <w:marLeft w:val="0"/>
      <w:marRight w:val="0"/>
      <w:marTop w:val="0"/>
      <w:marBottom w:val="0"/>
      <w:divBdr>
        <w:top w:val="none" w:sz="0" w:space="0" w:color="auto"/>
        <w:left w:val="none" w:sz="0" w:space="0" w:color="auto"/>
        <w:bottom w:val="none" w:sz="0" w:space="0" w:color="auto"/>
        <w:right w:val="none" w:sz="0" w:space="0" w:color="auto"/>
      </w:divBdr>
    </w:div>
    <w:div w:id="1013190963">
      <w:bodyDiv w:val="1"/>
      <w:marLeft w:val="0"/>
      <w:marRight w:val="0"/>
      <w:marTop w:val="0"/>
      <w:marBottom w:val="0"/>
      <w:divBdr>
        <w:top w:val="none" w:sz="0" w:space="0" w:color="auto"/>
        <w:left w:val="none" w:sz="0" w:space="0" w:color="auto"/>
        <w:bottom w:val="none" w:sz="0" w:space="0" w:color="auto"/>
        <w:right w:val="none" w:sz="0" w:space="0" w:color="auto"/>
      </w:divBdr>
    </w:div>
    <w:div w:id="1017928851">
      <w:bodyDiv w:val="1"/>
      <w:marLeft w:val="0"/>
      <w:marRight w:val="0"/>
      <w:marTop w:val="0"/>
      <w:marBottom w:val="0"/>
      <w:divBdr>
        <w:top w:val="none" w:sz="0" w:space="0" w:color="auto"/>
        <w:left w:val="none" w:sz="0" w:space="0" w:color="auto"/>
        <w:bottom w:val="none" w:sz="0" w:space="0" w:color="auto"/>
        <w:right w:val="none" w:sz="0" w:space="0" w:color="auto"/>
      </w:divBdr>
    </w:div>
    <w:div w:id="1026836089">
      <w:bodyDiv w:val="1"/>
      <w:marLeft w:val="0"/>
      <w:marRight w:val="0"/>
      <w:marTop w:val="0"/>
      <w:marBottom w:val="0"/>
      <w:divBdr>
        <w:top w:val="none" w:sz="0" w:space="0" w:color="auto"/>
        <w:left w:val="none" w:sz="0" w:space="0" w:color="auto"/>
        <w:bottom w:val="none" w:sz="0" w:space="0" w:color="auto"/>
        <w:right w:val="none" w:sz="0" w:space="0" w:color="auto"/>
      </w:divBdr>
    </w:div>
    <w:div w:id="1649357552">
      <w:bodyDiv w:val="1"/>
      <w:marLeft w:val="0"/>
      <w:marRight w:val="0"/>
      <w:marTop w:val="0"/>
      <w:marBottom w:val="0"/>
      <w:divBdr>
        <w:top w:val="none" w:sz="0" w:space="0" w:color="auto"/>
        <w:left w:val="none" w:sz="0" w:space="0" w:color="auto"/>
        <w:bottom w:val="none" w:sz="0" w:space="0" w:color="auto"/>
        <w:right w:val="none" w:sz="0" w:space="0" w:color="auto"/>
      </w:divBdr>
    </w:div>
    <w:div w:id="1768690105">
      <w:bodyDiv w:val="1"/>
      <w:marLeft w:val="0"/>
      <w:marRight w:val="0"/>
      <w:marTop w:val="0"/>
      <w:marBottom w:val="0"/>
      <w:divBdr>
        <w:top w:val="none" w:sz="0" w:space="0" w:color="auto"/>
        <w:left w:val="none" w:sz="0" w:space="0" w:color="auto"/>
        <w:bottom w:val="none" w:sz="0" w:space="0" w:color="auto"/>
        <w:right w:val="none" w:sz="0" w:space="0" w:color="auto"/>
      </w:divBdr>
    </w:div>
    <w:div w:id="1851136055">
      <w:bodyDiv w:val="1"/>
      <w:marLeft w:val="0"/>
      <w:marRight w:val="0"/>
      <w:marTop w:val="0"/>
      <w:marBottom w:val="0"/>
      <w:divBdr>
        <w:top w:val="none" w:sz="0" w:space="0" w:color="auto"/>
        <w:left w:val="none" w:sz="0" w:space="0" w:color="auto"/>
        <w:bottom w:val="none" w:sz="0" w:space="0" w:color="auto"/>
        <w:right w:val="none" w:sz="0" w:space="0" w:color="auto"/>
      </w:divBdr>
    </w:div>
    <w:div w:id="212029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microsoft.com/office/2007/relationships/hdphoto" Target="media/hdphoto1.wdp"/><Relationship Id="rId39" Type="http://schemas.openxmlformats.org/officeDocument/2006/relationships/image" Target="media/image12.png"/><Relationship Id="rId21" Type="http://schemas.openxmlformats.org/officeDocument/2006/relationships/footer" Target="footer4.xml"/><Relationship Id="rId34" Type="http://schemas.openxmlformats.org/officeDocument/2006/relationships/image" Target="media/image7.png"/><Relationship Id="rId42" Type="http://schemas.openxmlformats.org/officeDocument/2006/relationships/chart" Target="charts/chart3.xml"/><Relationship Id="rId47" Type="http://schemas.openxmlformats.org/officeDocument/2006/relationships/chart" Target="charts/chart8.xml"/><Relationship Id="rId50" Type="http://schemas.openxmlformats.org/officeDocument/2006/relationships/image" Target="media/image13.emf"/><Relationship Id="rId55" Type="http://schemas.openxmlformats.org/officeDocument/2006/relationships/image" Target="media/image16.emf"/><Relationship Id="rId63" Type="http://schemas.openxmlformats.org/officeDocument/2006/relationships/footer" Target="footer7.xml"/><Relationship Id="rId68" Type="http://schemas.openxmlformats.org/officeDocument/2006/relationships/header" Target="header9.xml"/><Relationship Id="rId7" Type="http://schemas.openxmlformats.org/officeDocument/2006/relationships/footnotes" Target="foot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diagramQuickStyle" Target="diagrams/quickStyle1.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image" Target="media/image5.png"/><Relationship Id="rId37" Type="http://schemas.openxmlformats.org/officeDocument/2006/relationships/image" Target="media/image10.emf"/><Relationship Id="rId40" Type="http://schemas.openxmlformats.org/officeDocument/2006/relationships/chart" Target="charts/chart1.xml"/><Relationship Id="rId45" Type="http://schemas.openxmlformats.org/officeDocument/2006/relationships/chart" Target="charts/chart6.xml"/><Relationship Id="rId53" Type="http://schemas.openxmlformats.org/officeDocument/2006/relationships/chart" Target="charts/chart12.xml"/><Relationship Id="rId58" Type="http://schemas.openxmlformats.org/officeDocument/2006/relationships/chart" Target="charts/chart14.xml"/><Relationship Id="rId66" Type="http://schemas.openxmlformats.org/officeDocument/2006/relationships/footer" Target="footer8.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diagramLayout" Target="diagrams/layout1.xml"/><Relationship Id="rId36" Type="http://schemas.openxmlformats.org/officeDocument/2006/relationships/image" Target="media/image9.emf"/><Relationship Id="rId49" Type="http://schemas.openxmlformats.org/officeDocument/2006/relationships/chart" Target="charts/chart10.xml"/><Relationship Id="rId57" Type="http://schemas.openxmlformats.org/officeDocument/2006/relationships/chart" Target="charts/chart13.xml"/><Relationship Id="rId61"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header" Target="header5.xml"/><Relationship Id="rId31" Type="http://schemas.microsoft.com/office/2007/relationships/diagramDrawing" Target="diagrams/drawing1.xml"/><Relationship Id="rId44" Type="http://schemas.openxmlformats.org/officeDocument/2006/relationships/chart" Target="charts/chart5.xml"/><Relationship Id="rId52" Type="http://schemas.openxmlformats.org/officeDocument/2006/relationships/chart" Target="charts/chart11.xml"/><Relationship Id="rId60" Type="http://schemas.openxmlformats.org/officeDocument/2006/relationships/image" Target="media/image19.jpeg"/><Relationship Id="rId65" Type="http://schemas.openxmlformats.org/officeDocument/2006/relationships/chart" Target="charts/chart15.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8.png"/><Relationship Id="rId43" Type="http://schemas.openxmlformats.org/officeDocument/2006/relationships/chart" Target="charts/chart4.xml"/><Relationship Id="rId48" Type="http://schemas.openxmlformats.org/officeDocument/2006/relationships/chart" Target="charts/chart9.xml"/><Relationship Id="rId56" Type="http://schemas.openxmlformats.org/officeDocument/2006/relationships/image" Target="media/image17.emf"/><Relationship Id="rId64" Type="http://schemas.openxmlformats.org/officeDocument/2006/relationships/image" Target="media/image22.emf"/><Relationship Id="rId69"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image" Target="media/image14.jpg"/><Relationship Id="rId72" Type="http://schemas.openxmlformats.org/officeDocument/2006/relationships/footer" Target="footer1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chart" Target="charts/chart7.xml"/><Relationship Id="rId59" Type="http://schemas.openxmlformats.org/officeDocument/2006/relationships/image" Target="media/image18.jpeg"/><Relationship Id="rId67" Type="http://schemas.openxmlformats.org/officeDocument/2006/relationships/header" Target="header8.xml"/><Relationship Id="rId20" Type="http://schemas.openxmlformats.org/officeDocument/2006/relationships/header" Target="header6.xml"/><Relationship Id="rId41" Type="http://schemas.openxmlformats.org/officeDocument/2006/relationships/chart" Target="charts/chart2.xml"/><Relationship Id="rId54" Type="http://schemas.openxmlformats.org/officeDocument/2006/relationships/image" Target="media/image15.emf"/><Relationship Id="rId62" Type="http://schemas.openxmlformats.org/officeDocument/2006/relationships/image" Target="media/image21.emf"/><Relationship Id="rId7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nabers.gov.au/public/WebPages/ContentStandard.aspx?module=30&amp;template=3&amp;include=Processingfees.htm&amp;side=RatingTertiary.htm" TargetMode="External"/><Relationship Id="rId2" Type="http://schemas.openxmlformats.org/officeDocument/2006/relationships/hyperlink" Target="http://www.cbd.gov.au/leasa-app-for-tenants-released-based-on-cbd-data" TargetMode="External"/><Relationship Id="rId1" Type="http://schemas.openxmlformats.org/officeDocument/2006/relationships/hyperlink" Target="http://www.cbd.gov.au/registers/cbd-downloadable-data-set" TargetMode="External"/><Relationship Id="rId4" Type="http://schemas.openxmlformats.org/officeDocument/2006/relationships/hyperlink" Target="http://www.nabers.gov.au/public/WebPages/ContentStandard.aspx?module=30&amp;template=3&amp;include=Processingfees.htm&amp;side=RatingTertiary.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CIL%20Allen%20Repor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aac-syd-fs-01\users$\kkulkarni\Documents\projects\CBD%20Program%20Review\drafting\Dollar%20benefits%20stacked.xlsx" TargetMode="External"/></Relationships>
</file>

<file path=word/charts/_rels/chart1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aac-syd-fs-01\users$\kkulkarni\Documents\projects\CBD%20Program%20Review\drafting\Dollar%20benefits%20stacked.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'Trend DB'!$O$9</c:f>
              <c:strCache>
                <c:ptCount val="1"/>
                <c:pt idx="0">
                  <c:v>Voluntary group</c:v>
                </c:pt>
              </c:strCache>
            </c:strRef>
          </c:tx>
          <c:spPr>
            <a:ln w="28575" cap="rnd">
              <a:solidFill>
                <a:schemeClr val="accent1"/>
              </a:solidFill>
              <a:round/>
            </a:ln>
            <a:effectLst/>
          </c:spPr>
          <c:marker>
            <c:symbol val="none"/>
          </c:marker>
          <c:cat>
            <c:numRef>
              <c:f>'Trend DB'!$N$23:$N$31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'Trend DB'!$O$23:$O$31</c:f>
              <c:numCache>
                <c:formatCode>_-* #,##0_-;\-* #,##0_-;_-* "-"??_-;_-@_-</c:formatCode>
                <c:ptCount val="9"/>
                <c:pt idx="0">
                  <c:v>2293830.7999999998</c:v>
                </c:pt>
                <c:pt idx="1">
                  <c:v>3688225.5</c:v>
                </c:pt>
                <c:pt idx="2">
                  <c:v>3429961.5</c:v>
                </c:pt>
                <c:pt idx="3">
                  <c:v>5705976.0999999996</c:v>
                </c:pt>
                <c:pt idx="4">
                  <c:v>6825040</c:v>
                </c:pt>
                <c:pt idx="5">
                  <c:v>6606032.0999999996</c:v>
                </c:pt>
                <c:pt idx="6">
                  <c:v>7442799.0999999996</c:v>
                </c:pt>
                <c:pt idx="7">
                  <c:v>7688505.4000000004</c:v>
                </c:pt>
                <c:pt idx="8">
                  <c:v>5696488.9000000004</c:v>
                </c:pt>
              </c:numCache>
            </c:numRef>
          </c:val>
          <c:smooth val="0"/>
        </c:ser>
        <c:ser>
          <c:idx val="1"/>
          <c:order val="1"/>
          <c:tx>
            <c:strRef>
              <c:f>'Trend DB'!$P$9</c:f>
              <c:strCache>
                <c:ptCount val="1"/>
                <c:pt idx="0">
                  <c:v>Mandatory group</c:v>
                </c:pt>
              </c:strCache>
            </c:strRef>
          </c:tx>
          <c:spPr>
            <a:ln w="28575" cap="rnd">
              <a:solidFill>
                <a:schemeClr val="accent2"/>
              </a:solidFill>
              <a:round/>
            </a:ln>
            <a:effectLst/>
          </c:spPr>
          <c:marker>
            <c:symbol val="none"/>
          </c:marker>
          <c:cat>
            <c:numRef>
              <c:f>'Trend DB'!$N$23:$N$31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'Trend DB'!$P$23:$P$31</c:f>
              <c:numCache>
                <c:formatCode>General</c:formatCode>
                <c:ptCount val="9"/>
                <c:pt idx="4" formatCode="_-* #,##0_-;\-* #,##0_-;_-* &quot;-&quot;??_-;_-@_-">
                  <c:v>1900858.4</c:v>
                </c:pt>
                <c:pt idx="5" formatCode="_-* #,##0_-;\-* #,##0_-;_-* &quot;-&quot;??_-;_-@_-">
                  <c:v>2506977.5</c:v>
                </c:pt>
                <c:pt idx="6" formatCode="_-* #,##0_-;\-* #,##0_-;_-* &quot;-&quot;??_-;_-@_-">
                  <c:v>2639592.2000000002</c:v>
                </c:pt>
                <c:pt idx="7" formatCode="_-* #,##0_-;\-* #,##0_-;_-* &quot;-&quot;??_-;_-@_-">
                  <c:v>2519320.1</c:v>
                </c:pt>
                <c:pt idx="8" formatCode="_-* #,##0_-;\-* #,##0_-;_-* &quot;-&quot;??_-;_-@_-">
                  <c:v>2076205.5</c:v>
                </c:pt>
              </c:numCache>
            </c:numRef>
          </c:val>
          <c:smooth val="0"/>
        </c:ser>
        <c:dLbls>
          <c:showLegendKey val="0"/>
          <c:showVal val="0"/>
          <c:showCatName val="0"/>
          <c:showSerName val="0"/>
          <c:showPercent val="0"/>
          <c:showBubbleSize val="0"/>
        </c:dLbls>
        <c:marker val="1"/>
        <c:smooth val="0"/>
        <c:axId val="45082496"/>
        <c:axId val="45084032"/>
      </c:lineChart>
      <c:catAx>
        <c:axId val="4508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084032"/>
        <c:crosses val="autoZero"/>
        <c:auto val="1"/>
        <c:lblAlgn val="ctr"/>
        <c:lblOffset val="100"/>
        <c:noMultiLvlLbl val="0"/>
      </c:catAx>
      <c:valAx>
        <c:axId val="45084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NLA rated per year (m</a:t>
                </a:r>
                <a:r>
                  <a:rPr lang="en-AU" baseline="30000">
                    <a:solidFill>
                      <a:sysClr val="windowText" lastClr="000000"/>
                    </a:solidFill>
                  </a:rPr>
                  <a:t>2</a:t>
                </a:r>
                <a:r>
                  <a:rPr lang="en-AU">
                    <a:solidFill>
                      <a:sysClr val="windowText" lastClr="000000"/>
                    </a:solidFill>
                  </a:rPr>
                  <a:t>)</a:t>
                </a:r>
              </a:p>
            </c:rich>
          </c:tx>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082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'TLA Analysis'!$S$62</c:f>
              <c:strCache>
                <c:ptCount val="1"/>
                <c:pt idx="0">
                  <c:v>Voluntary </c:v>
                </c:pt>
              </c:strCache>
            </c:strRef>
          </c:tx>
          <c:spPr>
            <a:solidFill>
              <a:schemeClr val="tx2"/>
            </a:solidFill>
            <a:ln>
              <a:noFill/>
            </a:ln>
            <a:effectLst/>
          </c:spPr>
          <c:invertIfNegative val="0"/>
          <c:cat>
            <c:strRef>
              <c:f>'TLA Analysis'!$R$63:$R$74</c:f>
              <c:strCache>
                <c:ptCount val="12"/>
                <c:pt idx="0">
                  <c:v>-100 &lt;= x &lt; -15</c:v>
                </c:pt>
                <c:pt idx="1">
                  <c:v>-15 &lt;= x &lt; -12</c:v>
                </c:pt>
                <c:pt idx="2">
                  <c:v>-12 &lt;= x &lt; -9</c:v>
                </c:pt>
                <c:pt idx="3">
                  <c:v>-9 &lt;= x &lt; -6</c:v>
                </c:pt>
                <c:pt idx="4">
                  <c:v>-6 &lt;= x &lt; -3</c:v>
                </c:pt>
                <c:pt idx="5">
                  <c:v>-3 &lt; x &lt; 0</c:v>
                </c:pt>
                <c:pt idx="6">
                  <c:v>0 &lt;= x &lt; 3</c:v>
                </c:pt>
                <c:pt idx="7">
                  <c:v>3 &lt;= x &lt; 6</c:v>
                </c:pt>
                <c:pt idx="8">
                  <c:v>6 &lt;= x &lt; 9</c:v>
                </c:pt>
                <c:pt idx="9">
                  <c:v>9 &lt;= x &lt; 12</c:v>
                </c:pt>
                <c:pt idx="10">
                  <c:v>12 &lt;= x &lt; 15</c:v>
                </c:pt>
                <c:pt idx="11">
                  <c:v>15 &lt;= x &lt; 100</c:v>
                </c:pt>
              </c:strCache>
            </c:strRef>
          </c:cat>
          <c:val>
            <c:numRef>
              <c:f>'TLA Analysis'!$S$63:$S$74</c:f>
              <c:numCache>
                <c:formatCode>0.0%</c:formatCode>
                <c:ptCount val="12"/>
                <c:pt idx="0">
                  <c:v>8.9179685783357201E-4</c:v>
                </c:pt>
                <c:pt idx="1">
                  <c:v>4.84939704137666E-3</c:v>
                </c:pt>
                <c:pt idx="2">
                  <c:v>5.2908578114036703E-3</c:v>
                </c:pt>
                <c:pt idx="3">
                  <c:v>5.3313720454375699E-2</c:v>
                </c:pt>
                <c:pt idx="4">
                  <c:v>9.7911462952108702E-2</c:v>
                </c:pt>
                <c:pt idx="5">
                  <c:v>0.476188282232968</c:v>
                </c:pt>
                <c:pt idx="6">
                  <c:v>0.28039914522579201</c:v>
                </c:pt>
                <c:pt idx="7">
                  <c:v>3.2738365301161997E-2</c:v>
                </c:pt>
                <c:pt idx="8">
                  <c:v>1.30789888012492E-2</c:v>
                </c:pt>
                <c:pt idx="9">
                  <c:v>3.6441979185180798E-3</c:v>
                </c:pt>
                <c:pt idx="10">
                  <c:v>0</c:v>
                </c:pt>
                <c:pt idx="11">
                  <c:v>0</c:v>
                </c:pt>
              </c:numCache>
            </c:numRef>
          </c:val>
        </c:ser>
        <c:ser>
          <c:idx val="1"/>
          <c:order val="1"/>
          <c:tx>
            <c:strRef>
              <c:f>'TLA Analysis'!$T$62</c:f>
              <c:strCache>
                <c:ptCount val="1"/>
                <c:pt idx="0">
                  <c:v>Mandatory</c:v>
                </c:pt>
              </c:strCache>
            </c:strRef>
          </c:tx>
          <c:spPr>
            <a:solidFill>
              <a:schemeClr val="accent5"/>
            </a:solidFill>
            <a:ln>
              <a:noFill/>
            </a:ln>
            <a:effectLst/>
          </c:spPr>
          <c:invertIfNegative val="0"/>
          <c:cat>
            <c:strRef>
              <c:f>'TLA Analysis'!$R$63:$R$74</c:f>
              <c:strCache>
                <c:ptCount val="12"/>
                <c:pt idx="0">
                  <c:v>-100 &lt;= x &lt; -15</c:v>
                </c:pt>
                <c:pt idx="1">
                  <c:v>-15 &lt;= x &lt; -12</c:v>
                </c:pt>
                <c:pt idx="2">
                  <c:v>-12 &lt;= x &lt; -9</c:v>
                </c:pt>
                <c:pt idx="3">
                  <c:v>-9 &lt;= x &lt; -6</c:v>
                </c:pt>
                <c:pt idx="4">
                  <c:v>-6 &lt;= x &lt; -3</c:v>
                </c:pt>
                <c:pt idx="5">
                  <c:v>-3 &lt; x &lt; 0</c:v>
                </c:pt>
                <c:pt idx="6">
                  <c:v>0 &lt;= x &lt; 3</c:v>
                </c:pt>
                <c:pt idx="7">
                  <c:v>3 &lt;= x &lt; 6</c:v>
                </c:pt>
                <c:pt idx="8">
                  <c:v>6 &lt;= x &lt; 9</c:v>
                </c:pt>
                <c:pt idx="9">
                  <c:v>9 &lt;= x &lt; 12</c:v>
                </c:pt>
                <c:pt idx="10">
                  <c:v>12 &lt;= x &lt; 15</c:v>
                </c:pt>
                <c:pt idx="11">
                  <c:v>15 &lt;= x &lt; 100</c:v>
                </c:pt>
              </c:strCache>
            </c:strRef>
          </c:cat>
          <c:val>
            <c:numRef>
              <c:f>'TLA Analysis'!$T$63:$T$74</c:f>
              <c:numCache>
                <c:formatCode>0.0%</c:formatCode>
                <c:ptCount val="12"/>
                <c:pt idx="0">
                  <c:v>0</c:v>
                </c:pt>
                <c:pt idx="1">
                  <c:v>1.0298455842778201E-3</c:v>
                </c:pt>
                <c:pt idx="2">
                  <c:v>1.7263831497131E-2</c:v>
                </c:pt>
                <c:pt idx="3">
                  <c:v>3.5532027105607898E-2</c:v>
                </c:pt>
                <c:pt idx="4">
                  <c:v>5.7708172279069603E-2</c:v>
                </c:pt>
                <c:pt idx="5">
                  <c:v>0.43428415295509598</c:v>
                </c:pt>
                <c:pt idx="6">
                  <c:v>0.325598093251103</c:v>
                </c:pt>
                <c:pt idx="7">
                  <c:v>2.2369326798855099E-2</c:v>
                </c:pt>
                <c:pt idx="8">
                  <c:v>1.24346315058408E-2</c:v>
                </c:pt>
                <c:pt idx="9">
                  <c:v>0</c:v>
                </c:pt>
                <c:pt idx="10">
                  <c:v>1.0335525875484E-3</c:v>
                </c:pt>
                <c:pt idx="11">
                  <c:v>0</c:v>
                </c:pt>
              </c:numCache>
            </c:numRef>
          </c:val>
        </c:ser>
        <c:dLbls>
          <c:showLegendKey val="0"/>
          <c:showVal val="0"/>
          <c:showCatName val="0"/>
          <c:showSerName val="0"/>
          <c:showPercent val="0"/>
          <c:showBubbleSize val="0"/>
        </c:dLbls>
        <c:gapWidth val="50"/>
        <c:axId val="45291392"/>
        <c:axId val="45292928"/>
      </c:barChart>
      <c:catAx>
        <c:axId val="4529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292928"/>
        <c:crosses val="autoZero"/>
        <c:auto val="1"/>
        <c:lblAlgn val="ctr"/>
        <c:lblOffset val="100"/>
        <c:noMultiLvlLbl val="0"/>
      </c:catAx>
      <c:valAx>
        <c:axId val="45292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 of sample by NLA</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2913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69247594050701"/>
          <c:y val="0.12037037037037"/>
          <c:w val="0.77575196850393702"/>
          <c:h val="0.74966025080198295"/>
        </c:manualLayout>
      </c:layout>
      <c:barChart>
        <c:barDir val="col"/>
        <c:grouping val="stacked"/>
        <c:varyColors val="0"/>
        <c:ser>
          <c:idx val="0"/>
          <c:order val="0"/>
          <c:tx>
            <c:strRef>
              <c:f>Sheet1!$L$2</c:f>
              <c:strCache>
                <c:ptCount val="1"/>
                <c:pt idx="0">
                  <c:v>Estimated electricity cost</c:v>
                </c:pt>
              </c:strCache>
            </c:strRef>
          </c:tx>
          <c:spPr>
            <a:solidFill>
              <a:schemeClr val="accent1"/>
            </a:solidFill>
            <a:ln>
              <a:noFill/>
            </a:ln>
            <a:effectLst/>
          </c:spPr>
          <c:invertIfNegative val="0"/>
          <c:cat>
            <c:strRef>
              <c:f>Sheet1!$K$3:$K$9</c:f>
              <c:strCache>
                <c:ptCount val="7"/>
                <c:pt idx="0">
                  <c:v>0 star</c:v>
                </c:pt>
                <c:pt idx="1">
                  <c:v>1 star</c:v>
                </c:pt>
                <c:pt idx="2">
                  <c:v>2 star</c:v>
                </c:pt>
                <c:pt idx="3">
                  <c:v>3 star</c:v>
                </c:pt>
                <c:pt idx="4">
                  <c:v>4 star</c:v>
                </c:pt>
                <c:pt idx="5">
                  <c:v>5 star</c:v>
                </c:pt>
                <c:pt idx="6">
                  <c:v>6 star</c:v>
                </c:pt>
              </c:strCache>
            </c:strRef>
          </c:cat>
          <c:val>
            <c:numRef>
              <c:f>Sheet1!$L$3:$L$9</c:f>
              <c:numCache>
                <c:formatCode>_-* #,##0_-;\-* #,##0_-;_-* "-"??_-;_-@_-</c:formatCode>
                <c:ptCount val="7"/>
                <c:pt idx="0">
                  <c:v>516214</c:v>
                </c:pt>
                <c:pt idx="1">
                  <c:v>444893</c:v>
                </c:pt>
                <c:pt idx="2">
                  <c:v>373573</c:v>
                </c:pt>
                <c:pt idx="3">
                  <c:v>302252</c:v>
                </c:pt>
                <c:pt idx="4">
                  <c:v>230931</c:v>
                </c:pt>
                <c:pt idx="5">
                  <c:v>159611</c:v>
                </c:pt>
                <c:pt idx="6">
                  <c:v>79805</c:v>
                </c:pt>
              </c:numCache>
            </c:numRef>
          </c:val>
        </c:ser>
        <c:ser>
          <c:idx val="1"/>
          <c:order val="1"/>
          <c:tx>
            <c:strRef>
              <c:f>Sheet1!$M$2</c:f>
              <c:strCache>
                <c:ptCount val="1"/>
                <c:pt idx="0">
                  <c:v>Estimated gas cost</c:v>
                </c:pt>
              </c:strCache>
            </c:strRef>
          </c:tx>
          <c:spPr>
            <a:solidFill>
              <a:schemeClr val="accent2"/>
            </a:solidFill>
            <a:ln>
              <a:noFill/>
            </a:ln>
            <a:effectLst/>
          </c:spPr>
          <c:invertIfNegative val="0"/>
          <c:cat>
            <c:strRef>
              <c:f>Sheet1!$K$3:$K$9</c:f>
              <c:strCache>
                <c:ptCount val="7"/>
                <c:pt idx="0">
                  <c:v>0 star</c:v>
                </c:pt>
                <c:pt idx="1">
                  <c:v>1 star</c:v>
                </c:pt>
                <c:pt idx="2">
                  <c:v>2 star</c:v>
                </c:pt>
                <c:pt idx="3">
                  <c:v>3 star</c:v>
                </c:pt>
                <c:pt idx="4">
                  <c:v>4 star</c:v>
                </c:pt>
                <c:pt idx="5">
                  <c:v>5 star</c:v>
                </c:pt>
                <c:pt idx="6">
                  <c:v>6 star</c:v>
                </c:pt>
              </c:strCache>
            </c:strRef>
          </c:cat>
          <c:val>
            <c:numRef>
              <c:f>Sheet1!$M$3:$M$9</c:f>
              <c:numCache>
                <c:formatCode>_-* #,##0_-;\-* #,##0_-;_-* "-"??_-;_-@_-</c:formatCode>
                <c:ptCount val="7"/>
                <c:pt idx="0">
                  <c:v>19028</c:v>
                </c:pt>
                <c:pt idx="1">
                  <c:v>16399</c:v>
                </c:pt>
                <c:pt idx="2">
                  <c:v>13770</c:v>
                </c:pt>
                <c:pt idx="3">
                  <c:v>11141</c:v>
                </c:pt>
                <c:pt idx="4">
                  <c:v>8512</c:v>
                </c:pt>
                <c:pt idx="5">
                  <c:v>5883</c:v>
                </c:pt>
                <c:pt idx="6">
                  <c:v>2942</c:v>
                </c:pt>
              </c:numCache>
            </c:numRef>
          </c:val>
        </c:ser>
        <c:dLbls>
          <c:showLegendKey val="0"/>
          <c:showVal val="0"/>
          <c:showCatName val="0"/>
          <c:showSerName val="0"/>
          <c:showPercent val="0"/>
          <c:showBubbleSize val="0"/>
        </c:dLbls>
        <c:gapWidth val="150"/>
        <c:overlap val="100"/>
        <c:axId val="128401408"/>
        <c:axId val="128402944"/>
      </c:barChart>
      <c:catAx>
        <c:axId val="12840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8402944"/>
        <c:crosses val="autoZero"/>
        <c:auto val="1"/>
        <c:lblAlgn val="ctr"/>
        <c:lblOffset val="100"/>
        <c:noMultiLvlLbl val="0"/>
      </c:catAx>
      <c:valAx>
        <c:axId val="128402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a:t>
                </a:r>
                <a:r>
                  <a:rPr lang="en-AU" baseline="0">
                    <a:solidFill>
                      <a:sysClr val="windowText" lastClr="000000"/>
                    </a:solidFill>
                  </a:rPr>
                  <a:t> per year</a:t>
                </a:r>
                <a:endParaRPr lang="en-AU">
                  <a:solidFill>
                    <a:sysClr val="windowText" lastClr="000000"/>
                  </a:solidFill>
                </a:endParaRPr>
              </a:p>
            </c:rich>
          </c:tx>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8401408"/>
        <c:crosses val="autoZero"/>
        <c:crossBetween val="between"/>
      </c:valAx>
      <c:spPr>
        <a:noFill/>
        <a:ln>
          <a:noFill/>
        </a:ln>
        <a:effectLst/>
      </c:spPr>
    </c:plotArea>
    <c:legend>
      <c:legendPos val="b"/>
      <c:layout>
        <c:manualLayout>
          <c:xMode val="edge"/>
          <c:yMode val="edge"/>
          <c:x val="0.322890419947507"/>
          <c:y val="3.2985564304461902E-2"/>
          <c:w val="0.59866360454943102"/>
          <c:h val="7.8125546806649196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02580927384099"/>
          <c:y val="0.105903324584427"/>
          <c:w val="0.78841863517060295"/>
          <c:h val="0.78669728783902004"/>
        </c:manualLayout>
      </c:layout>
      <c:barChart>
        <c:barDir val="col"/>
        <c:grouping val="clustered"/>
        <c:varyColors val="0"/>
        <c:ser>
          <c:idx val="0"/>
          <c:order val="0"/>
          <c:tx>
            <c:strRef>
              <c:f>Sheet1!$L$13</c:f>
              <c:strCache>
                <c:ptCount val="1"/>
                <c:pt idx="0">
                  <c:v>Estimated lighting electricity cost</c:v>
                </c:pt>
              </c:strCache>
            </c:strRef>
          </c:tx>
          <c:spPr>
            <a:solidFill>
              <a:schemeClr val="accent1"/>
            </a:solidFill>
            <a:ln>
              <a:noFill/>
            </a:ln>
            <a:effectLst/>
          </c:spPr>
          <c:invertIfNegative val="0"/>
          <c:cat>
            <c:strRef>
              <c:f>Sheet1!$K$14:$K$18</c:f>
              <c:strCache>
                <c:ptCount val="5"/>
                <c:pt idx="0">
                  <c:v>Very Poor</c:v>
                </c:pt>
                <c:pt idx="1">
                  <c:v>Poor</c:v>
                </c:pt>
                <c:pt idx="2">
                  <c:v>Median</c:v>
                </c:pt>
                <c:pt idx="3">
                  <c:v>Good</c:v>
                </c:pt>
                <c:pt idx="4">
                  <c:v>Excellent</c:v>
                </c:pt>
              </c:strCache>
            </c:strRef>
          </c:cat>
          <c:val>
            <c:numRef>
              <c:f>Sheet1!$L$14:$L$18</c:f>
              <c:numCache>
                <c:formatCode>_-* #,##0_-;\-* #,##0_-;_-* "-"??_-;_-@_-</c:formatCode>
                <c:ptCount val="5"/>
                <c:pt idx="0">
                  <c:v>58012</c:v>
                </c:pt>
                <c:pt idx="1">
                  <c:v>50379</c:v>
                </c:pt>
                <c:pt idx="2">
                  <c:v>38166</c:v>
                </c:pt>
                <c:pt idx="3">
                  <c:v>25953</c:v>
                </c:pt>
                <c:pt idx="4">
                  <c:v>18320</c:v>
                </c:pt>
              </c:numCache>
            </c:numRef>
          </c:val>
        </c:ser>
        <c:dLbls>
          <c:showLegendKey val="0"/>
          <c:showVal val="0"/>
          <c:showCatName val="0"/>
          <c:showSerName val="0"/>
          <c:showPercent val="0"/>
          <c:showBubbleSize val="0"/>
        </c:dLbls>
        <c:gapWidth val="219"/>
        <c:overlap val="-27"/>
        <c:axId val="128435712"/>
        <c:axId val="128437248"/>
      </c:barChart>
      <c:catAx>
        <c:axId val="12843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8437248"/>
        <c:crosses val="autoZero"/>
        <c:auto val="1"/>
        <c:lblAlgn val="ctr"/>
        <c:lblOffset val="100"/>
        <c:noMultiLvlLbl val="0"/>
      </c:catAx>
      <c:valAx>
        <c:axId val="128437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 per year</a:t>
                </a:r>
              </a:p>
            </c:rich>
          </c:tx>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8435712"/>
        <c:crosses val="autoZero"/>
        <c:crossBetween val="between"/>
      </c:valAx>
      <c:spPr>
        <a:noFill/>
        <a:ln>
          <a:noFill/>
        </a:ln>
        <a:effectLst/>
      </c:spPr>
    </c:plotArea>
    <c:legend>
      <c:legendPos val="t"/>
      <c:layout>
        <c:manualLayout>
          <c:xMode val="edge"/>
          <c:yMode val="edge"/>
          <c:x val="0.34842082239720001"/>
          <c:y val="2.7777777777777801E-2"/>
          <c:w val="0.43649146981627301"/>
          <c:h val="7.8125546806649196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'TLA Analysis'!$BH$8</c:f>
              <c:strCache>
                <c:ptCount val="1"/>
                <c:pt idx="0">
                  <c:v>12+ NLPD</c:v>
                </c:pt>
              </c:strCache>
            </c:strRef>
          </c:tx>
          <c:spPr>
            <a:solidFill>
              <a:schemeClr val="accent1"/>
            </a:solidFill>
            <a:ln>
              <a:noFill/>
            </a:ln>
            <a:effectLst/>
          </c:spPr>
          <c:invertIfNegative val="0"/>
          <c:cat>
            <c:strRef>
              <c:f>'TLA Analysis'!$BG$9:$BG$32</c:f>
              <c:strCache>
                <c:ptCount val="24"/>
                <c:pt idx="0">
                  <c:v>0 &lt;= x &lt; 1</c:v>
                </c:pt>
                <c:pt idx="1">
                  <c:v>1 &lt;= x &lt; 2</c:v>
                </c:pt>
                <c:pt idx="2">
                  <c:v>2 &lt;= x &lt; 3</c:v>
                </c:pt>
                <c:pt idx="3">
                  <c:v>3 &lt;= x &lt; 4</c:v>
                </c:pt>
                <c:pt idx="4">
                  <c:v>4 &lt;= x &lt; 5</c:v>
                </c:pt>
                <c:pt idx="5">
                  <c:v>5 &lt;= x &lt; 6</c:v>
                </c:pt>
                <c:pt idx="6">
                  <c:v>6 &lt;= x &lt; 7</c:v>
                </c:pt>
                <c:pt idx="7">
                  <c:v>7 &lt;= x &lt; 8</c:v>
                </c:pt>
                <c:pt idx="8">
                  <c:v>8 &lt;= x &lt; 9</c:v>
                </c:pt>
                <c:pt idx="9">
                  <c:v>9 &lt;= x &lt; 10</c:v>
                </c:pt>
                <c:pt idx="10">
                  <c:v>10 &lt;= x &lt; 11</c:v>
                </c:pt>
                <c:pt idx="11">
                  <c:v>11 &lt;= x &lt; 12</c:v>
                </c:pt>
                <c:pt idx="12">
                  <c:v>12 &lt;= x &lt; 13</c:v>
                </c:pt>
                <c:pt idx="13">
                  <c:v>13 &lt;= x &lt; 14</c:v>
                </c:pt>
                <c:pt idx="14">
                  <c:v>14 &lt;= x &lt; 15</c:v>
                </c:pt>
                <c:pt idx="15">
                  <c:v>15 &lt;= x &lt; 16</c:v>
                </c:pt>
                <c:pt idx="16">
                  <c:v>16 &lt;= x &lt; 17</c:v>
                </c:pt>
                <c:pt idx="17">
                  <c:v>17 &lt;= x &lt; 18</c:v>
                </c:pt>
                <c:pt idx="18">
                  <c:v>18 &lt;= x &lt; 19</c:v>
                </c:pt>
                <c:pt idx="19">
                  <c:v>19 &lt;= x &lt; 20</c:v>
                </c:pt>
                <c:pt idx="20">
                  <c:v>20 &lt;= x &lt; 21</c:v>
                </c:pt>
                <c:pt idx="21">
                  <c:v>21 &lt;= x &lt; 22</c:v>
                </c:pt>
                <c:pt idx="22">
                  <c:v>22 &lt;= x &lt; 23</c:v>
                </c:pt>
                <c:pt idx="23">
                  <c:v>23 &lt;= x &lt; 24</c:v>
                </c:pt>
              </c:strCache>
            </c:strRef>
          </c:cat>
          <c:val>
            <c:numRef>
              <c:f>'TLA Analysis'!$BH$9:$BH$32</c:f>
              <c:numCache>
                <c:formatCode>General</c:formatCode>
                <c:ptCount val="24"/>
                <c:pt idx="12" formatCode="0%">
                  <c:v>0.25565898952353899</c:v>
                </c:pt>
                <c:pt idx="13" formatCode="0%">
                  <c:v>0.223826979310042</c:v>
                </c:pt>
                <c:pt idx="14" formatCode="0%">
                  <c:v>0.123748530339512</c:v>
                </c:pt>
                <c:pt idx="15" formatCode="0%">
                  <c:v>0.118929344911161</c:v>
                </c:pt>
                <c:pt idx="16" formatCode="0%">
                  <c:v>6.1689612016146499E-2</c:v>
                </c:pt>
                <c:pt idx="17" formatCode="0%">
                  <c:v>9.2077091099206906E-2</c:v>
                </c:pt>
                <c:pt idx="18" formatCode="0%">
                  <c:v>3.35362781777193E-2</c:v>
                </c:pt>
                <c:pt idx="19" formatCode="0%">
                  <c:v>2.52706366571393E-2</c:v>
                </c:pt>
                <c:pt idx="20" formatCode="0%">
                  <c:v>1.9599339195227401E-2</c:v>
                </c:pt>
                <c:pt idx="21" formatCode="0%">
                  <c:v>2.15994736173909E-2</c:v>
                </c:pt>
                <c:pt idx="22" formatCode="0%">
                  <c:v>1.89159537540718E-3</c:v>
                </c:pt>
                <c:pt idx="23" formatCode="0%">
                  <c:v>1.2191634160343801E-2</c:v>
                </c:pt>
              </c:numCache>
            </c:numRef>
          </c:val>
        </c:ser>
        <c:ser>
          <c:idx val="1"/>
          <c:order val="1"/>
          <c:tx>
            <c:strRef>
              <c:f>'TLA Analysis'!$BI$8</c:f>
              <c:strCache>
                <c:ptCount val="1"/>
                <c:pt idx="0">
                  <c:v>0-6 NLPD</c:v>
                </c:pt>
              </c:strCache>
            </c:strRef>
          </c:tx>
          <c:spPr>
            <a:solidFill>
              <a:schemeClr val="accent2"/>
            </a:solidFill>
            <a:ln>
              <a:noFill/>
            </a:ln>
            <a:effectLst/>
          </c:spPr>
          <c:invertIfNegative val="0"/>
          <c:cat>
            <c:strRef>
              <c:f>'TLA Analysis'!$BG$9:$BG$32</c:f>
              <c:strCache>
                <c:ptCount val="24"/>
                <c:pt idx="0">
                  <c:v>0 &lt;= x &lt; 1</c:v>
                </c:pt>
                <c:pt idx="1">
                  <c:v>1 &lt;= x &lt; 2</c:v>
                </c:pt>
                <c:pt idx="2">
                  <c:v>2 &lt;= x &lt; 3</c:v>
                </c:pt>
                <c:pt idx="3">
                  <c:v>3 &lt;= x &lt; 4</c:v>
                </c:pt>
                <c:pt idx="4">
                  <c:v>4 &lt;= x &lt; 5</c:v>
                </c:pt>
                <c:pt idx="5">
                  <c:v>5 &lt;= x &lt; 6</c:v>
                </c:pt>
                <c:pt idx="6">
                  <c:v>6 &lt;= x &lt; 7</c:v>
                </c:pt>
                <c:pt idx="7">
                  <c:v>7 &lt;= x &lt; 8</c:v>
                </c:pt>
                <c:pt idx="8">
                  <c:v>8 &lt;= x &lt; 9</c:v>
                </c:pt>
                <c:pt idx="9">
                  <c:v>9 &lt;= x &lt; 10</c:v>
                </c:pt>
                <c:pt idx="10">
                  <c:v>10 &lt;= x &lt; 11</c:v>
                </c:pt>
                <c:pt idx="11">
                  <c:v>11 &lt;= x &lt; 12</c:v>
                </c:pt>
                <c:pt idx="12">
                  <c:v>12 &lt;= x &lt; 13</c:v>
                </c:pt>
                <c:pt idx="13">
                  <c:v>13 &lt;= x &lt; 14</c:v>
                </c:pt>
                <c:pt idx="14">
                  <c:v>14 &lt;= x &lt; 15</c:v>
                </c:pt>
                <c:pt idx="15">
                  <c:v>15 &lt;= x &lt; 16</c:v>
                </c:pt>
                <c:pt idx="16">
                  <c:v>16 &lt;= x &lt; 17</c:v>
                </c:pt>
                <c:pt idx="17">
                  <c:v>17 &lt;= x &lt; 18</c:v>
                </c:pt>
                <c:pt idx="18">
                  <c:v>18 &lt;= x &lt; 19</c:v>
                </c:pt>
                <c:pt idx="19">
                  <c:v>19 &lt;= x &lt; 20</c:v>
                </c:pt>
                <c:pt idx="20">
                  <c:v>20 &lt;= x &lt; 21</c:v>
                </c:pt>
                <c:pt idx="21">
                  <c:v>21 &lt;= x &lt; 22</c:v>
                </c:pt>
                <c:pt idx="22">
                  <c:v>22 &lt;= x &lt; 23</c:v>
                </c:pt>
                <c:pt idx="23">
                  <c:v>23 &lt;= x &lt; 24</c:v>
                </c:pt>
              </c:strCache>
            </c:strRef>
          </c:cat>
          <c:val>
            <c:numRef>
              <c:f>'TLA Analysis'!$BI$9:$BI$32</c:f>
              <c:numCache>
                <c:formatCode>General</c:formatCode>
                <c:ptCount val="24"/>
                <c:pt idx="3" formatCode="0%">
                  <c:v>0.10610646598849099</c:v>
                </c:pt>
                <c:pt idx="4" formatCode="0%">
                  <c:v>0.24377220565442301</c:v>
                </c:pt>
                <c:pt idx="5" formatCode="0%">
                  <c:v>0.65012132835708603</c:v>
                </c:pt>
              </c:numCache>
            </c:numRef>
          </c:val>
        </c:ser>
        <c:dLbls>
          <c:showLegendKey val="0"/>
          <c:showVal val="0"/>
          <c:showCatName val="0"/>
          <c:showSerName val="0"/>
          <c:showPercent val="0"/>
          <c:showBubbleSize val="0"/>
        </c:dLbls>
        <c:gapWidth val="0"/>
        <c:overlap val="90"/>
        <c:axId val="128087552"/>
        <c:axId val="128089472"/>
      </c:barChart>
      <c:catAx>
        <c:axId val="12808755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Percentage</a:t>
                </a:r>
                <a:r>
                  <a:rPr lang="en-AU" baseline="0">
                    <a:solidFill>
                      <a:sysClr val="windowText" lastClr="000000"/>
                    </a:solidFill>
                  </a:rPr>
                  <a:t> of area within NLPD band</a:t>
                </a:r>
                <a:endParaRPr lang="en-AU">
                  <a:solidFill>
                    <a:sysClr val="windowText" lastClr="000000"/>
                  </a:solidFill>
                </a:endParaRPr>
              </a:p>
            </c:rich>
          </c:tx>
          <c:layout>
            <c:manualLayout>
              <c:xMode val="edge"/>
              <c:yMode val="edge"/>
              <c:x val="0.30421412948381499"/>
              <c:y val="0.8098140857392820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8089472"/>
        <c:crosses val="autoZero"/>
        <c:auto val="1"/>
        <c:lblAlgn val="ctr"/>
        <c:lblOffset val="100"/>
        <c:noMultiLvlLbl val="0"/>
      </c:catAx>
      <c:valAx>
        <c:axId val="128089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8087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'Ex-ante (NABERS)'!$B$10</c:f>
              <c:strCache>
                <c:ptCount val="1"/>
                <c:pt idx="0">
                  <c:v>0.0</c:v>
                </c:pt>
              </c:strCache>
            </c:strRef>
          </c:tx>
          <c:spPr>
            <a:solidFill>
              <a:schemeClr val="accent1"/>
            </a:solidFill>
            <a:ln>
              <a:noFill/>
            </a:ln>
            <a:effectLst/>
          </c:spPr>
          <c:cat>
            <c:numRef>
              <c:f>'Ex-ante (NABERS)'!$C$9:$M$9</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'Ex-ante (NABERS)'!$C$10:$M$10</c:f>
              <c:numCache>
                <c:formatCode>_-* #,##0_-;\-* #,##0_-;_-* "-"??_-;_-@_-</c:formatCode>
                <c:ptCount val="11"/>
                <c:pt idx="0">
                  <c:v>1491132.72273516</c:v>
                </c:pt>
                <c:pt idx="1">
                  <c:v>1327891.3954481899</c:v>
                </c:pt>
                <c:pt idx="2">
                  <c:v>1164650.0681612201</c:v>
                </c:pt>
                <c:pt idx="3">
                  <c:v>1001408.74087425</c:v>
                </c:pt>
                <c:pt idx="4">
                  <c:v>838167.41358727857</c:v>
                </c:pt>
                <c:pt idx="5">
                  <c:v>755360.86490566435</c:v>
                </c:pt>
                <c:pt idx="6">
                  <c:v>672554.31622405036</c:v>
                </c:pt>
                <c:pt idx="7">
                  <c:v>589747.76754243602</c:v>
                </c:pt>
                <c:pt idx="8">
                  <c:v>506941.21886082168</c:v>
                </c:pt>
                <c:pt idx="9">
                  <c:v>462733.32103966549</c:v>
                </c:pt>
                <c:pt idx="10">
                  <c:v>418525.42321850982</c:v>
                </c:pt>
              </c:numCache>
            </c:numRef>
          </c:val>
        </c:ser>
        <c:ser>
          <c:idx val="1"/>
          <c:order val="1"/>
          <c:tx>
            <c:strRef>
              <c:f>'Ex-ante (NABERS)'!$B$11</c:f>
              <c:strCache>
                <c:ptCount val="1"/>
                <c:pt idx="0">
                  <c:v>1.0</c:v>
                </c:pt>
              </c:strCache>
            </c:strRef>
          </c:tx>
          <c:spPr>
            <a:solidFill>
              <a:schemeClr val="accent2"/>
            </a:solidFill>
            <a:ln>
              <a:noFill/>
            </a:ln>
            <a:effectLst/>
          </c:spPr>
          <c:cat>
            <c:numRef>
              <c:f>'Ex-ante (NABERS)'!$C$9:$M$9</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'Ex-ante (NABERS)'!$C$11:$M$11</c:f>
              <c:numCache>
                <c:formatCode>_-* #,##0_-;\-* #,##0_-;_-* "-"??_-;_-@_-</c:formatCode>
                <c:ptCount val="11"/>
                <c:pt idx="0">
                  <c:v>464314.31682726211</c:v>
                </c:pt>
                <c:pt idx="1">
                  <c:v>405798.36779810907</c:v>
                </c:pt>
                <c:pt idx="2">
                  <c:v>347282.41876895662</c:v>
                </c:pt>
                <c:pt idx="3">
                  <c:v>288766.46973980381</c:v>
                </c:pt>
                <c:pt idx="4">
                  <c:v>230250.52071065101</c:v>
                </c:pt>
                <c:pt idx="5">
                  <c:v>212414.61575620621</c:v>
                </c:pt>
                <c:pt idx="6">
                  <c:v>194578.71080176131</c:v>
                </c:pt>
                <c:pt idx="7">
                  <c:v>176742.80584731649</c:v>
                </c:pt>
                <c:pt idx="8">
                  <c:v>158906.90089287149</c:v>
                </c:pt>
                <c:pt idx="9">
                  <c:v>146491.8252782191</c:v>
                </c:pt>
                <c:pt idx="10">
                  <c:v>134076.74966356659</c:v>
                </c:pt>
              </c:numCache>
            </c:numRef>
          </c:val>
        </c:ser>
        <c:ser>
          <c:idx val="2"/>
          <c:order val="2"/>
          <c:tx>
            <c:strRef>
              <c:f>'Ex-ante (NABERS)'!$B$12</c:f>
              <c:strCache>
                <c:ptCount val="1"/>
                <c:pt idx="0">
                  <c:v>1.5</c:v>
                </c:pt>
              </c:strCache>
            </c:strRef>
          </c:tx>
          <c:spPr>
            <a:solidFill>
              <a:schemeClr val="accent3"/>
            </a:solidFill>
            <a:ln>
              <a:noFill/>
            </a:ln>
            <a:effectLst/>
          </c:spPr>
          <c:cat>
            <c:numRef>
              <c:f>'Ex-ante (NABERS)'!$C$9:$M$9</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'Ex-ante (NABERS)'!$C$12:$M$12</c:f>
              <c:numCache>
                <c:formatCode>_-* #,##0_-;\-* #,##0_-;_-* "-"??_-;_-@_-</c:formatCode>
                <c:ptCount val="11"/>
                <c:pt idx="0">
                  <c:v>717376.15046964283</c:v>
                </c:pt>
                <c:pt idx="1">
                  <c:v>664341.30777829688</c:v>
                </c:pt>
                <c:pt idx="2">
                  <c:v>611306.46508695243</c:v>
                </c:pt>
                <c:pt idx="3">
                  <c:v>558271.62239560706</c:v>
                </c:pt>
                <c:pt idx="4">
                  <c:v>505236.77970426192</c:v>
                </c:pt>
                <c:pt idx="5">
                  <c:v>462746.11745790811</c:v>
                </c:pt>
                <c:pt idx="6">
                  <c:v>420255.4552115543</c:v>
                </c:pt>
                <c:pt idx="7">
                  <c:v>377764.79296520009</c:v>
                </c:pt>
                <c:pt idx="8">
                  <c:v>335274.1307188464</c:v>
                </c:pt>
                <c:pt idx="9">
                  <c:v>308362.29553250002</c:v>
                </c:pt>
                <c:pt idx="10">
                  <c:v>281450.46034615347</c:v>
                </c:pt>
              </c:numCache>
            </c:numRef>
          </c:val>
        </c:ser>
        <c:ser>
          <c:idx val="3"/>
          <c:order val="3"/>
          <c:tx>
            <c:strRef>
              <c:f>'Ex-ante (NABERS)'!$B$13</c:f>
              <c:strCache>
                <c:ptCount val="1"/>
                <c:pt idx="0">
                  <c:v>2.0</c:v>
                </c:pt>
              </c:strCache>
            </c:strRef>
          </c:tx>
          <c:spPr>
            <a:solidFill>
              <a:schemeClr val="accent4"/>
            </a:solidFill>
            <a:ln>
              <a:noFill/>
            </a:ln>
            <a:effectLst/>
          </c:spPr>
          <c:cat>
            <c:numRef>
              <c:f>'Ex-ante (NABERS)'!$C$9:$M$9</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'Ex-ante (NABERS)'!$C$13:$M$13</c:f>
              <c:numCache>
                <c:formatCode>_-* #,##0_-;\-* #,##0_-;_-* "-"??_-;_-@_-</c:formatCode>
                <c:ptCount val="11"/>
                <c:pt idx="0">
                  <c:v>918841.83389501902</c:v>
                </c:pt>
                <c:pt idx="1">
                  <c:v>814034.210604558</c:v>
                </c:pt>
                <c:pt idx="2">
                  <c:v>709226.58731409698</c:v>
                </c:pt>
                <c:pt idx="3">
                  <c:v>604418.96402363805</c:v>
                </c:pt>
                <c:pt idx="4">
                  <c:v>499611.34073317761</c:v>
                </c:pt>
                <c:pt idx="5">
                  <c:v>455466.03943362978</c:v>
                </c:pt>
                <c:pt idx="6">
                  <c:v>411320.73813408072</c:v>
                </c:pt>
                <c:pt idx="7">
                  <c:v>367175.43683453213</c:v>
                </c:pt>
                <c:pt idx="8">
                  <c:v>323030.13553498389</c:v>
                </c:pt>
                <c:pt idx="9">
                  <c:v>297936.05605814181</c:v>
                </c:pt>
                <c:pt idx="10">
                  <c:v>272841.97658130102</c:v>
                </c:pt>
              </c:numCache>
            </c:numRef>
          </c:val>
        </c:ser>
        <c:ser>
          <c:idx val="4"/>
          <c:order val="4"/>
          <c:tx>
            <c:strRef>
              <c:f>'Ex-ante (NABERS)'!$B$14</c:f>
              <c:strCache>
                <c:ptCount val="1"/>
                <c:pt idx="0">
                  <c:v>2.5</c:v>
                </c:pt>
              </c:strCache>
            </c:strRef>
          </c:tx>
          <c:spPr>
            <a:solidFill>
              <a:schemeClr val="accent5"/>
            </a:solidFill>
            <a:ln>
              <a:noFill/>
            </a:ln>
            <a:effectLst/>
          </c:spPr>
          <c:cat>
            <c:numRef>
              <c:f>'Ex-ante (NABERS)'!$C$9:$M$9</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'Ex-ante (NABERS)'!$C$14:$M$14</c:f>
              <c:numCache>
                <c:formatCode>_-* #,##0_-;\-* #,##0_-;_-* "-"??_-;_-@_-</c:formatCode>
                <c:ptCount val="11"/>
                <c:pt idx="0">
                  <c:v>1348404.8495754199</c:v>
                </c:pt>
                <c:pt idx="1">
                  <c:v>1243656.23674851</c:v>
                </c:pt>
                <c:pt idx="2">
                  <c:v>1138907.6239216099</c:v>
                </c:pt>
                <c:pt idx="3">
                  <c:v>1034159.0110947</c:v>
                </c:pt>
                <c:pt idx="4">
                  <c:v>929410.39826779335</c:v>
                </c:pt>
                <c:pt idx="5">
                  <c:v>861831.27642323845</c:v>
                </c:pt>
                <c:pt idx="6">
                  <c:v>794252.15457868227</c:v>
                </c:pt>
                <c:pt idx="7">
                  <c:v>726673.03273412818</c:v>
                </c:pt>
                <c:pt idx="8">
                  <c:v>659093.91088957305</c:v>
                </c:pt>
                <c:pt idx="9">
                  <c:v>626711.50116782414</c:v>
                </c:pt>
                <c:pt idx="10">
                  <c:v>594329.09144607524</c:v>
                </c:pt>
              </c:numCache>
            </c:numRef>
          </c:val>
        </c:ser>
        <c:ser>
          <c:idx val="5"/>
          <c:order val="5"/>
          <c:tx>
            <c:strRef>
              <c:f>'Ex-ante (NABERS)'!$B$15</c:f>
              <c:strCache>
                <c:ptCount val="1"/>
                <c:pt idx="0">
                  <c:v>3.0</c:v>
                </c:pt>
              </c:strCache>
            </c:strRef>
          </c:tx>
          <c:spPr>
            <a:solidFill>
              <a:schemeClr val="accent6"/>
            </a:solidFill>
            <a:ln>
              <a:noFill/>
            </a:ln>
            <a:effectLst/>
          </c:spPr>
          <c:cat>
            <c:numRef>
              <c:f>'Ex-ante (NABERS)'!$C$9:$M$9</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'Ex-ante (NABERS)'!$C$15:$M$15</c:f>
              <c:numCache>
                <c:formatCode>_-* #,##0_-;\-* #,##0_-;_-* "-"??_-;_-@_-</c:formatCode>
                <c:ptCount val="11"/>
                <c:pt idx="0">
                  <c:v>2163753.2395991702</c:v>
                </c:pt>
                <c:pt idx="1">
                  <c:v>2042787.14236564</c:v>
                </c:pt>
                <c:pt idx="2">
                  <c:v>1921821.0451321099</c:v>
                </c:pt>
                <c:pt idx="3">
                  <c:v>1800854.94789858</c:v>
                </c:pt>
                <c:pt idx="4">
                  <c:v>1679888.8506650501</c:v>
                </c:pt>
                <c:pt idx="5">
                  <c:v>1562468.09780206</c:v>
                </c:pt>
                <c:pt idx="6">
                  <c:v>1445047.3449390801</c:v>
                </c:pt>
                <c:pt idx="7">
                  <c:v>1327626.5920760899</c:v>
                </c:pt>
                <c:pt idx="8">
                  <c:v>1210205.8392131</c:v>
                </c:pt>
                <c:pt idx="9">
                  <c:v>1125927.7086056699</c:v>
                </c:pt>
                <c:pt idx="10">
                  <c:v>1041649.57799823</c:v>
                </c:pt>
              </c:numCache>
            </c:numRef>
          </c:val>
        </c:ser>
        <c:ser>
          <c:idx val="6"/>
          <c:order val="6"/>
          <c:tx>
            <c:strRef>
              <c:f>'Ex-ante (NABERS)'!$B$16</c:f>
              <c:strCache>
                <c:ptCount val="1"/>
                <c:pt idx="0">
                  <c:v>3.5</c:v>
                </c:pt>
              </c:strCache>
            </c:strRef>
          </c:tx>
          <c:spPr>
            <a:solidFill>
              <a:schemeClr val="accent1">
                <a:lumMod val="60000"/>
              </a:schemeClr>
            </a:solidFill>
            <a:ln>
              <a:noFill/>
            </a:ln>
            <a:effectLst/>
          </c:spPr>
          <c:cat>
            <c:numRef>
              <c:f>'Ex-ante (NABERS)'!$C$9:$M$9</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'Ex-ante (NABERS)'!$C$16:$M$16</c:f>
              <c:numCache>
                <c:formatCode>_-* #,##0_-;\-* #,##0_-;_-* "-"??_-;_-@_-</c:formatCode>
                <c:ptCount val="11"/>
                <c:pt idx="0">
                  <c:v>1628651.7555036601</c:v>
                </c:pt>
                <c:pt idx="1">
                  <c:v>1569846.63657488</c:v>
                </c:pt>
                <c:pt idx="2">
                  <c:v>1511041.5176460999</c:v>
                </c:pt>
                <c:pt idx="3">
                  <c:v>1452236.3987173201</c:v>
                </c:pt>
                <c:pt idx="4">
                  <c:v>1393431.27978854</c:v>
                </c:pt>
                <c:pt idx="5">
                  <c:v>1309676.27120965</c:v>
                </c:pt>
                <c:pt idx="6">
                  <c:v>1225921.26263076</c:v>
                </c:pt>
                <c:pt idx="7">
                  <c:v>1142166.25405187</c:v>
                </c:pt>
                <c:pt idx="8">
                  <c:v>1058411.24547298</c:v>
                </c:pt>
                <c:pt idx="9">
                  <c:v>991592.89276253222</c:v>
                </c:pt>
                <c:pt idx="10">
                  <c:v>924774.54005208565</c:v>
                </c:pt>
              </c:numCache>
            </c:numRef>
          </c:val>
        </c:ser>
        <c:ser>
          <c:idx val="7"/>
          <c:order val="7"/>
          <c:tx>
            <c:strRef>
              <c:f>'Ex-ante (NABERS)'!$B$17</c:f>
              <c:strCache>
                <c:ptCount val="1"/>
                <c:pt idx="0">
                  <c:v>4.0</c:v>
                </c:pt>
              </c:strCache>
            </c:strRef>
          </c:tx>
          <c:spPr>
            <a:solidFill>
              <a:schemeClr val="accent2">
                <a:lumMod val="60000"/>
              </a:schemeClr>
            </a:solidFill>
            <a:ln>
              <a:noFill/>
            </a:ln>
            <a:effectLst/>
          </c:spPr>
          <c:cat>
            <c:numRef>
              <c:f>'Ex-ante (NABERS)'!$C$9:$M$9</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'Ex-ante (NABERS)'!$C$17:$M$17</c:f>
              <c:numCache>
                <c:formatCode>_-* #,##0_-;\-* #,##0_-;_-* "-"??_-;_-@_-</c:formatCode>
                <c:ptCount val="11"/>
                <c:pt idx="0">
                  <c:v>2181442.5209278702</c:v>
                </c:pt>
                <c:pt idx="1">
                  <c:v>2216955.2029061099</c:v>
                </c:pt>
                <c:pt idx="2">
                  <c:v>2252467.8848843402</c:v>
                </c:pt>
                <c:pt idx="3">
                  <c:v>2287980.5668625799</c:v>
                </c:pt>
                <c:pt idx="4">
                  <c:v>2323493.24884082</c:v>
                </c:pt>
                <c:pt idx="5">
                  <c:v>2260734.3155936599</c:v>
                </c:pt>
                <c:pt idx="6">
                  <c:v>2197975.3823465002</c:v>
                </c:pt>
                <c:pt idx="7">
                  <c:v>2135216.4490993498</c:v>
                </c:pt>
                <c:pt idx="8">
                  <c:v>2072457.5158521901</c:v>
                </c:pt>
                <c:pt idx="9">
                  <c:v>1983941.63465424</c:v>
                </c:pt>
                <c:pt idx="10">
                  <c:v>1895425.7534562801</c:v>
                </c:pt>
              </c:numCache>
            </c:numRef>
          </c:val>
        </c:ser>
        <c:ser>
          <c:idx val="8"/>
          <c:order val="8"/>
          <c:tx>
            <c:strRef>
              <c:f>'Ex-ante (NABERS)'!$B$18</c:f>
              <c:strCache>
                <c:ptCount val="1"/>
                <c:pt idx="0">
                  <c:v>4.5</c:v>
                </c:pt>
              </c:strCache>
            </c:strRef>
          </c:tx>
          <c:spPr>
            <a:solidFill>
              <a:schemeClr val="accent3">
                <a:lumMod val="60000"/>
              </a:schemeClr>
            </a:solidFill>
            <a:ln>
              <a:noFill/>
            </a:ln>
            <a:effectLst/>
          </c:spPr>
          <c:cat>
            <c:numRef>
              <c:f>'Ex-ante (NABERS)'!$C$9:$M$9</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'Ex-ante (NABERS)'!$C$18:$M$18</c:f>
              <c:numCache>
                <c:formatCode>_-* #,##0_-;\-* #,##0_-;_-* "-"??_-;_-@_-</c:formatCode>
                <c:ptCount val="11"/>
                <c:pt idx="0">
                  <c:v>2388561.8828266999</c:v>
                </c:pt>
                <c:pt idx="1">
                  <c:v>2593725.3288211399</c:v>
                </c:pt>
                <c:pt idx="2">
                  <c:v>2798888.7748155999</c:v>
                </c:pt>
                <c:pt idx="3">
                  <c:v>3004052.2208100399</c:v>
                </c:pt>
                <c:pt idx="4">
                  <c:v>3209215.6668044999</c:v>
                </c:pt>
                <c:pt idx="5">
                  <c:v>3253347.11052472</c:v>
                </c:pt>
                <c:pt idx="6">
                  <c:v>3297478.5542449499</c:v>
                </c:pt>
                <c:pt idx="7">
                  <c:v>3341609.9979651798</c:v>
                </c:pt>
                <c:pt idx="8">
                  <c:v>3385741.44168542</c:v>
                </c:pt>
                <c:pt idx="9">
                  <c:v>3321011.0178652601</c:v>
                </c:pt>
                <c:pt idx="10">
                  <c:v>3256280.59404511</c:v>
                </c:pt>
              </c:numCache>
            </c:numRef>
          </c:val>
        </c:ser>
        <c:ser>
          <c:idx val="9"/>
          <c:order val="9"/>
          <c:tx>
            <c:strRef>
              <c:f>'Ex-ante (NABERS)'!$B$19</c:f>
              <c:strCache>
                <c:ptCount val="1"/>
                <c:pt idx="0">
                  <c:v>5.0 - 6.0</c:v>
                </c:pt>
              </c:strCache>
            </c:strRef>
          </c:tx>
          <c:spPr>
            <a:solidFill>
              <a:schemeClr val="accent4">
                <a:lumMod val="60000"/>
              </a:schemeClr>
            </a:solidFill>
            <a:ln>
              <a:noFill/>
            </a:ln>
            <a:effectLst/>
          </c:spPr>
          <c:cat>
            <c:numRef>
              <c:f>'Ex-ante (NABERS)'!$C$9:$M$9</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'Ex-ante (NABERS)'!$C$19:$M$19</c:f>
              <c:numCache>
                <c:formatCode>_-* #,##0_-;\-* #,##0_-;_-* "-"??_-;_-@_-</c:formatCode>
                <c:ptCount val="11"/>
                <c:pt idx="0">
                  <c:v>2811042.9604141698</c:v>
                </c:pt>
                <c:pt idx="1">
                  <c:v>3234486.4037286299</c:v>
                </c:pt>
                <c:pt idx="2">
                  <c:v>3657929.8470430998</c:v>
                </c:pt>
                <c:pt idx="3">
                  <c:v>4081373.2903575501</c:v>
                </c:pt>
                <c:pt idx="4">
                  <c:v>4504816.7336720098</c:v>
                </c:pt>
                <c:pt idx="5">
                  <c:v>4979477.5236673299</c:v>
                </c:pt>
                <c:pt idx="6">
                  <c:v>5454138.3136626398</c:v>
                </c:pt>
                <c:pt idx="7">
                  <c:v>5928799.10365796</c:v>
                </c:pt>
                <c:pt idx="8">
                  <c:v>6403459.8936532801</c:v>
                </c:pt>
                <c:pt idx="9">
                  <c:v>6848813.97981002</c:v>
                </c:pt>
                <c:pt idx="10">
                  <c:v>7294168.0659667496</c:v>
                </c:pt>
              </c:numCache>
            </c:numRef>
          </c:val>
        </c:ser>
        <c:dLbls>
          <c:showLegendKey val="0"/>
          <c:showVal val="0"/>
          <c:showCatName val="0"/>
          <c:showSerName val="0"/>
          <c:showPercent val="0"/>
          <c:showBubbleSize val="0"/>
        </c:dLbls>
        <c:axId val="129357312"/>
        <c:axId val="129358848"/>
      </c:areaChart>
      <c:catAx>
        <c:axId val="1293573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9358848"/>
        <c:crosses val="autoZero"/>
        <c:auto val="1"/>
        <c:lblAlgn val="ctr"/>
        <c:lblOffset val="100"/>
        <c:tickLblSkip val="2"/>
        <c:noMultiLvlLbl val="0"/>
      </c:catAx>
      <c:valAx>
        <c:axId val="12935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Total NLA (m</a:t>
                </a:r>
                <a:r>
                  <a:rPr lang="en-AU" baseline="30000">
                    <a:solidFill>
                      <a:sysClr val="windowText" lastClr="000000"/>
                    </a:solidFill>
                  </a:rPr>
                  <a:t>2</a:t>
                </a:r>
                <a:r>
                  <a:rPr lang="en-AU">
                    <a:solidFill>
                      <a:sysClr val="windowText" lastClr="000000"/>
                    </a:solidFill>
                  </a:rPr>
                  <a:t>) at each star rating</a:t>
                </a:r>
              </a:p>
            </c:rich>
          </c:tx>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935731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cap="rnd">
              <a:noFill/>
              <a:round/>
            </a:ln>
            <a:effectLst/>
          </c:spPr>
          <c:marker>
            <c:symbol val="none"/>
          </c:marker>
          <c:trendline>
            <c:spPr>
              <a:ln w="19050" cap="rnd">
                <a:solidFill>
                  <a:schemeClr val="accent1"/>
                </a:solidFill>
                <a:prstDash val="sysDot"/>
              </a:ln>
              <a:effectLst/>
            </c:spPr>
            <c:trendlineType val="exp"/>
            <c:dispRSqr val="0"/>
            <c:dispEq val="1"/>
            <c:trendlineLbl>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b="0" baseline="0"/>
                      <a:t>y = 0.0123e</a:t>
                    </a:r>
                    <a:r>
                      <a:rPr lang="en-US" b="0" baseline="30000"/>
                      <a:t>0.1933x</a:t>
                    </a:r>
                    <a:endParaRPr lang="en-US" b="0"/>
                  </a:p>
                </c:rich>
              </c:tx>
              <c:numFmt formatCode="General" sourceLinked="0"/>
              <c:spPr>
                <a:solidFill>
                  <a:schemeClr val="bg1">
                    <a:lumMod val="85000"/>
                  </a:schemeClr>
                </a:solidFill>
                <a:ln>
                  <a:noFill/>
                </a:ln>
                <a:effectLst/>
              </c:spPr>
            </c:trendlineLbl>
          </c:trendline>
          <c:xVal>
            <c:numRef>
              <c:f>'TLA Assumptions'!$P$51:$P$76</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xVal>
          <c:yVal>
            <c:numRef>
              <c:f>'TLA Assumptions'!$Q$51:$Q$76</c:f>
              <c:numCache>
                <c:formatCode>0.00</c:formatCode>
                <c:ptCount val="26"/>
                <c:pt idx="0">
                  <c:v>1.23E-2</c:v>
                </c:pt>
                <c:pt idx="1">
                  <c:v>1.4922934569191E-2</c:v>
                </c:pt>
                <c:pt idx="2">
                  <c:v>1.8105201313524898E-2</c:v>
                </c:pt>
                <c:pt idx="3">
                  <c:v>2.1966075980793798E-2</c:v>
                </c:pt>
                <c:pt idx="4">
                  <c:v>2.6650269479940199E-2</c:v>
                </c:pt>
                <c:pt idx="5">
                  <c:v>3.2333351845565503E-2</c:v>
                </c:pt>
                <c:pt idx="6">
                  <c:v>3.9228332845041097E-2</c:v>
                </c:pt>
                <c:pt idx="7">
                  <c:v>4.7593645878454903E-2</c:v>
                </c:pt>
                <c:pt idx="8">
                  <c:v>5.7742834418978102E-2</c:v>
                </c:pt>
                <c:pt idx="9">
                  <c:v>7.0056304054800095E-2</c:v>
                </c:pt>
                <c:pt idx="10">
                  <c:v>8.4995580615376695E-2</c:v>
                </c:pt>
                <c:pt idx="11">
                  <c:v>0.103120608796233</c:v>
                </c:pt>
                <c:pt idx="12">
                  <c:v>0.125110739658645</c:v>
                </c:pt>
                <c:pt idx="13">
                  <c:v>0.151790193644638</c:v>
                </c:pt>
                <c:pt idx="14">
                  <c:v>0.18415895349624101</c:v>
                </c:pt>
                <c:pt idx="15">
                  <c:v>0.22343024498822001</c:v>
                </c:pt>
                <c:pt idx="16">
                  <c:v>0.27107601030386302</c:v>
                </c:pt>
                <c:pt idx="17">
                  <c:v>0.328882078458691</c:v>
                </c:pt>
                <c:pt idx="18">
                  <c:v>0.39901510063565798</c:v>
                </c:pt>
                <c:pt idx="19">
                  <c:v>0.48410375926057703</c:v>
                </c:pt>
                <c:pt idx="20">
                  <c:v>0.58733729464593498</c:v>
                </c:pt>
                <c:pt idx="21">
                  <c:v>0.71258504211763796</c:v>
                </c:pt>
                <c:pt idx="22">
                  <c:v>0.86454146004111798</c:v>
                </c:pt>
                <c:pt idx="23">
                  <c:v>1.0489020845972741</c:v>
                </c:pt>
                <c:pt idx="24">
                  <c:v>1.2725770063360311</c:v>
                </c:pt>
                <c:pt idx="25">
                  <c:v>1.543949869903217</c:v>
                </c:pt>
              </c:numCache>
            </c:numRef>
          </c:yVal>
          <c:smooth val="0"/>
        </c:ser>
        <c:dLbls>
          <c:showLegendKey val="0"/>
          <c:showVal val="0"/>
          <c:showCatName val="0"/>
          <c:showSerName val="0"/>
          <c:showPercent val="0"/>
          <c:showBubbleSize val="0"/>
        </c:dLbls>
        <c:axId val="45096960"/>
        <c:axId val="45098880"/>
      </c:scatterChart>
      <c:valAx>
        <c:axId val="450969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AU" sz="900" b="1" dirty="0">
                    <a:solidFill>
                      <a:sysClr val="windowText" lastClr="000000"/>
                    </a:solidFill>
                  </a:rPr>
                  <a:t>W/m</a:t>
                </a:r>
                <a:r>
                  <a:rPr lang="en-AU" sz="900" b="1" baseline="30000" dirty="0">
                    <a:solidFill>
                      <a:sysClr val="windowText" lastClr="000000"/>
                    </a:solidFill>
                  </a:rPr>
                  <a:t>2</a:t>
                </a:r>
                <a:r>
                  <a:rPr lang="en-AU" sz="900" b="1" dirty="0">
                    <a:solidFill>
                      <a:sysClr val="windowText" lastClr="000000"/>
                    </a:solidFill>
                  </a:rPr>
                  <a:t> of improvement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098880"/>
        <c:crosses val="autoZero"/>
        <c:crossBetween val="midCat"/>
      </c:valAx>
      <c:valAx>
        <c:axId val="45098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AU" sz="900" b="1">
                    <a:solidFill>
                      <a:sysClr val="windowText" lastClr="000000"/>
                    </a:solidFill>
                  </a:rPr>
                  <a:t>$/W/year</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09696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Voluntary group</c:v>
          </c:tx>
          <c:spPr>
            <a:ln w="28575" cap="rnd">
              <a:solidFill>
                <a:schemeClr val="accent1"/>
              </a:solidFill>
              <a:round/>
            </a:ln>
            <a:effectLst/>
          </c:spPr>
          <c:marker>
            <c:symbol val="none"/>
          </c:marker>
          <c:cat>
            <c:numRef>
              <c:f>'Vol v. Other'!$D$3:$L$3</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'Vol v. Other'!$D$4:$L$4</c:f>
              <c:numCache>
                <c:formatCode>0.00</c:formatCode>
                <c:ptCount val="9"/>
                <c:pt idx="0">
                  <c:v>2.3608197256746219</c:v>
                </c:pt>
                <c:pt idx="1">
                  <c:v>2.6203236488658299</c:v>
                </c:pt>
                <c:pt idx="2">
                  <c:v>3.062830297074763</c:v>
                </c:pt>
                <c:pt idx="3">
                  <c:v>3.2373395324947132</c:v>
                </c:pt>
                <c:pt idx="4">
                  <c:v>3.37109525365419</c:v>
                </c:pt>
                <c:pt idx="5">
                  <c:v>3.5660417998877119</c:v>
                </c:pt>
                <c:pt idx="6">
                  <c:v>3.8328258652043972</c:v>
                </c:pt>
                <c:pt idx="7">
                  <c:v>3.9020362397092159</c:v>
                </c:pt>
                <c:pt idx="8">
                  <c:v>3.919734522786483</c:v>
                </c:pt>
              </c:numCache>
            </c:numRef>
          </c:val>
          <c:smooth val="0"/>
        </c:ser>
        <c:ser>
          <c:idx val="4"/>
          <c:order val="1"/>
          <c:tx>
            <c:v>Mandatory group</c:v>
          </c:tx>
          <c:spPr>
            <a:ln w="28575" cap="rnd">
              <a:solidFill>
                <a:schemeClr val="accent5"/>
              </a:solidFill>
              <a:prstDash val="solid"/>
              <a:round/>
            </a:ln>
            <a:effectLst/>
          </c:spPr>
          <c:marker>
            <c:symbol val="none"/>
          </c:marker>
          <c:cat>
            <c:numRef>
              <c:f>'Vol v. Other'!$D$3:$L$3</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'Vol v. Other'!$D$8:$L$8</c:f>
              <c:numCache>
                <c:formatCode>General</c:formatCode>
                <c:ptCount val="9"/>
                <c:pt idx="4" formatCode="0.00">
                  <c:v>2.3816268481650198</c:v>
                </c:pt>
                <c:pt idx="5" formatCode="0.00">
                  <c:v>2.7853635104423562</c:v>
                </c:pt>
                <c:pt idx="6" formatCode="0.00">
                  <c:v>3.1447433811935039</c:v>
                </c:pt>
                <c:pt idx="7" formatCode="0.00">
                  <c:v>3.4195544861488569</c:v>
                </c:pt>
                <c:pt idx="8" formatCode="0.00">
                  <c:v>3.51269936911351</c:v>
                </c:pt>
              </c:numCache>
            </c:numRef>
          </c:val>
          <c:smooth val="0"/>
        </c:ser>
        <c:dLbls>
          <c:showLegendKey val="0"/>
          <c:showVal val="0"/>
          <c:showCatName val="0"/>
          <c:showSerName val="0"/>
          <c:showPercent val="0"/>
          <c:showBubbleSize val="0"/>
        </c:dLbls>
        <c:marker val="1"/>
        <c:smooth val="0"/>
        <c:axId val="44941696"/>
        <c:axId val="44943232"/>
      </c:lineChart>
      <c:catAx>
        <c:axId val="4494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943232"/>
        <c:crosses val="autoZero"/>
        <c:auto val="1"/>
        <c:lblAlgn val="ctr"/>
        <c:lblOffset val="100"/>
        <c:noMultiLvlLbl val="0"/>
      </c:catAx>
      <c:valAx>
        <c:axId val="44943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Average star rating</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941696"/>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Voluntary</c:v>
          </c:tx>
          <c:spPr>
            <a:ln w="28575" cap="rnd">
              <a:solidFill>
                <a:schemeClr val="accent1"/>
              </a:solidFill>
              <a:round/>
            </a:ln>
            <a:effectLst/>
          </c:spPr>
          <c:marker>
            <c:symbol val="none"/>
          </c:marker>
          <c:cat>
            <c:numRef>
              <c:f>'Vol v. Other'!$D$3:$L$3</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'Vol v. Other'!$D$26:$L$26</c:f>
              <c:numCache>
                <c:formatCode>0</c:formatCode>
                <c:ptCount val="9"/>
                <c:pt idx="0">
                  <c:v>563.87877649912105</c:v>
                </c:pt>
                <c:pt idx="1">
                  <c:v>578.86002848795283</c:v>
                </c:pt>
                <c:pt idx="2">
                  <c:v>520.49115857422896</c:v>
                </c:pt>
                <c:pt idx="3">
                  <c:v>497.4799253365257</c:v>
                </c:pt>
                <c:pt idx="4">
                  <c:v>468.93422649537598</c:v>
                </c:pt>
                <c:pt idx="5">
                  <c:v>439.954580753551</c:v>
                </c:pt>
                <c:pt idx="6">
                  <c:v>404.10088170994732</c:v>
                </c:pt>
                <c:pt idx="7">
                  <c:v>381.91346764222862</c:v>
                </c:pt>
                <c:pt idx="8">
                  <c:v>362.20955123778089</c:v>
                </c:pt>
              </c:numCache>
            </c:numRef>
          </c:val>
          <c:smooth val="0"/>
        </c:ser>
        <c:ser>
          <c:idx val="4"/>
          <c:order val="1"/>
          <c:tx>
            <c:v>Mandatory</c:v>
          </c:tx>
          <c:spPr>
            <a:ln w="28575" cap="rnd">
              <a:solidFill>
                <a:schemeClr val="accent5"/>
              </a:solidFill>
              <a:prstDash val="solid"/>
              <a:round/>
            </a:ln>
            <a:effectLst/>
          </c:spPr>
          <c:marker>
            <c:symbol val="none"/>
          </c:marker>
          <c:cat>
            <c:numRef>
              <c:f>'Vol v. Other'!$D$3:$L$3</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'Vol v. Other'!$D$30:$L$30</c:f>
              <c:numCache>
                <c:formatCode>General</c:formatCode>
                <c:ptCount val="9"/>
                <c:pt idx="4" formatCode="0">
                  <c:v>592.41165349296796</c:v>
                </c:pt>
                <c:pt idx="5" formatCode="0">
                  <c:v>553.63115839691329</c:v>
                </c:pt>
                <c:pt idx="6" formatCode="0">
                  <c:v>505.942780896231</c:v>
                </c:pt>
                <c:pt idx="7" formatCode="0">
                  <c:v>464.24403933426328</c:v>
                </c:pt>
                <c:pt idx="8" formatCode="0">
                  <c:v>441.55093838254447</c:v>
                </c:pt>
              </c:numCache>
            </c:numRef>
          </c:val>
          <c:smooth val="0"/>
        </c:ser>
        <c:dLbls>
          <c:showLegendKey val="0"/>
          <c:showVal val="0"/>
          <c:showCatName val="0"/>
          <c:showSerName val="0"/>
          <c:showPercent val="0"/>
          <c:showBubbleSize val="0"/>
        </c:dLbls>
        <c:marker val="1"/>
        <c:smooth val="0"/>
        <c:axId val="45361792"/>
        <c:axId val="45363584"/>
      </c:lineChart>
      <c:catAx>
        <c:axId val="4536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363584"/>
        <c:crosses val="autoZero"/>
        <c:auto val="1"/>
        <c:lblAlgn val="ctr"/>
        <c:lblOffset val="100"/>
        <c:noMultiLvlLbl val="0"/>
      </c:catAx>
      <c:valAx>
        <c:axId val="45363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Average</a:t>
                </a:r>
                <a:r>
                  <a:rPr lang="en-AU" baseline="0">
                    <a:solidFill>
                      <a:sysClr val="windowText" lastClr="000000"/>
                    </a:solidFill>
                  </a:rPr>
                  <a:t> energy intensity (</a:t>
                </a:r>
                <a:r>
                  <a:rPr lang="en-AU">
                    <a:solidFill>
                      <a:sysClr val="windowText" lastClr="000000"/>
                    </a:solidFill>
                  </a:rPr>
                  <a:t>MJ/m</a:t>
                </a:r>
                <a:r>
                  <a:rPr lang="en-AU" baseline="30000">
                    <a:solidFill>
                      <a:sysClr val="windowText" lastClr="000000"/>
                    </a:solidFill>
                  </a:rPr>
                  <a:t>2</a:t>
                </a:r>
                <a:r>
                  <a:rPr lang="en-AU" baseline="0">
                    <a:solidFill>
                      <a:sysClr val="windowText" lastClr="000000"/>
                    </a:solidFill>
                  </a:rPr>
                  <a:t>)</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36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Voluntary Q1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Segments!$D$17:$L$17</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Segments!$D$18:$L$18</c:f>
              <c:numCache>
                <c:formatCode>0.00</c:formatCode>
                <c:ptCount val="9"/>
                <c:pt idx="0">
                  <c:v>3.2754630277609502</c:v>
                </c:pt>
                <c:pt idx="1">
                  <c:v>3.407855114919506</c:v>
                </c:pt>
                <c:pt idx="2">
                  <c:v>3.9049560673671651</c:v>
                </c:pt>
                <c:pt idx="3">
                  <c:v>4.0920174615909266</c:v>
                </c:pt>
                <c:pt idx="4">
                  <c:v>4.2726004420876302</c:v>
                </c:pt>
                <c:pt idx="5">
                  <c:v>4.5165074049005716</c:v>
                </c:pt>
                <c:pt idx="6">
                  <c:v>4.5233853702325666</c:v>
                </c:pt>
                <c:pt idx="7">
                  <c:v>4.4792627513907401</c:v>
                </c:pt>
                <c:pt idx="8">
                  <c:v>4.5580859699467844</c:v>
                </c:pt>
              </c:numCache>
            </c:numRef>
          </c:val>
          <c:smooth val="0"/>
        </c:ser>
        <c:ser>
          <c:idx val="1"/>
          <c:order val="1"/>
          <c:tx>
            <c:v>Voluntary Q2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Segments!$D$17:$L$17</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Segments!$D$19:$L$19</c:f>
              <c:numCache>
                <c:formatCode>0.00</c:formatCode>
                <c:ptCount val="9"/>
                <c:pt idx="0">
                  <c:v>2.3258541188701241</c:v>
                </c:pt>
                <c:pt idx="1">
                  <c:v>2.7002783959837231</c:v>
                </c:pt>
                <c:pt idx="2">
                  <c:v>2.95338457062301</c:v>
                </c:pt>
                <c:pt idx="3">
                  <c:v>3.3293371747760232</c:v>
                </c:pt>
                <c:pt idx="4">
                  <c:v>3.4926911872502791</c:v>
                </c:pt>
                <c:pt idx="5">
                  <c:v>3.5931077891191339</c:v>
                </c:pt>
                <c:pt idx="6">
                  <c:v>3.8185693708543549</c:v>
                </c:pt>
                <c:pt idx="7">
                  <c:v>3.9211907216365658</c:v>
                </c:pt>
                <c:pt idx="8">
                  <c:v>3.9798348280305609</c:v>
                </c:pt>
              </c:numCache>
            </c:numRef>
          </c:val>
          <c:smooth val="0"/>
        </c:ser>
        <c:ser>
          <c:idx val="2"/>
          <c:order val="2"/>
          <c:tx>
            <c:v>Voluntary Q3</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Segments!$D$17:$L$17</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Segments!$D$20:$L$20</c:f>
              <c:numCache>
                <c:formatCode>0.00</c:formatCode>
                <c:ptCount val="9"/>
                <c:pt idx="0">
                  <c:v>1.7080245260645499</c:v>
                </c:pt>
                <c:pt idx="1">
                  <c:v>2.1883437996107311</c:v>
                </c:pt>
                <c:pt idx="2">
                  <c:v>2.3941101164271918</c:v>
                </c:pt>
                <c:pt idx="3">
                  <c:v>2.474259387129198</c:v>
                </c:pt>
                <c:pt idx="4">
                  <c:v>2.8330802139588021</c:v>
                </c:pt>
                <c:pt idx="5">
                  <c:v>2.8663620403411332</c:v>
                </c:pt>
                <c:pt idx="6">
                  <c:v>3.302633834593482</c:v>
                </c:pt>
                <c:pt idx="7">
                  <c:v>3.3118600960282798</c:v>
                </c:pt>
                <c:pt idx="8">
                  <c:v>3.073876510489022</c:v>
                </c:pt>
              </c:numCache>
            </c:numRef>
          </c:val>
          <c:smooth val="0"/>
        </c:ser>
        <c:ser>
          <c:idx val="3"/>
          <c:order val="3"/>
          <c:tx>
            <c:v>Voluntary Q4</c:v>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Segments!$D$17:$L$17</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Segments!$D$21:$L$21</c:f>
              <c:numCache>
                <c:formatCode>0.00</c:formatCode>
                <c:ptCount val="9"/>
                <c:pt idx="0">
                  <c:v>1.622220080906412</c:v>
                </c:pt>
                <c:pt idx="1">
                  <c:v>1.5821503763739699</c:v>
                </c:pt>
                <c:pt idx="2">
                  <c:v>1.7915583061243781</c:v>
                </c:pt>
                <c:pt idx="3">
                  <c:v>1.923159913983058</c:v>
                </c:pt>
                <c:pt idx="4">
                  <c:v>1.852191885138212</c:v>
                </c:pt>
                <c:pt idx="5">
                  <c:v>2.1746379405680138</c:v>
                </c:pt>
                <c:pt idx="6">
                  <c:v>2.7457883882685228</c:v>
                </c:pt>
                <c:pt idx="7">
                  <c:v>3.2252459071943269</c:v>
                </c:pt>
                <c:pt idx="8">
                  <c:v>3.076679308511709</c:v>
                </c:pt>
              </c:numCache>
            </c:numRef>
          </c:val>
          <c:smooth val="0"/>
        </c:ser>
        <c:ser>
          <c:idx val="4"/>
          <c:order val="4"/>
          <c:tx>
            <c:v>Mandatory Q1</c:v>
          </c:tx>
          <c:spPr>
            <a:ln w="28575" cap="rnd">
              <a:solidFill>
                <a:schemeClr val="accent5"/>
              </a:solidFill>
              <a:prstDash val="dash"/>
              <a:round/>
            </a:ln>
            <a:effectLst/>
          </c:spPr>
          <c:marker>
            <c:symbol val="circle"/>
            <c:size val="5"/>
            <c:spPr>
              <a:solidFill>
                <a:schemeClr val="accent5"/>
              </a:solidFill>
              <a:ln w="9525">
                <a:solidFill>
                  <a:schemeClr val="accent5"/>
                </a:solidFill>
              </a:ln>
              <a:effectLst/>
            </c:spPr>
          </c:marker>
          <c:cat>
            <c:numRef>
              <c:f>Segments!$D$17:$L$17</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Segments!$D$22:$L$22</c:f>
              <c:numCache>
                <c:formatCode>General</c:formatCode>
                <c:ptCount val="9"/>
                <c:pt idx="4" formatCode="0.00">
                  <c:v>4.1658876439993646</c:v>
                </c:pt>
                <c:pt idx="5" formatCode="0.00">
                  <c:v>4.4485511976969976</c:v>
                </c:pt>
                <c:pt idx="6" formatCode="0.00">
                  <c:v>4.6477037424325873</c:v>
                </c:pt>
                <c:pt idx="7" formatCode="0.00">
                  <c:v>4.5989789045007168</c:v>
                </c:pt>
                <c:pt idx="8" formatCode="0.00">
                  <c:v>4.6943046606146277</c:v>
                </c:pt>
              </c:numCache>
            </c:numRef>
          </c:val>
          <c:smooth val="0"/>
        </c:ser>
        <c:ser>
          <c:idx val="5"/>
          <c:order val="5"/>
          <c:tx>
            <c:v>Mandatory Q2</c:v>
          </c:tx>
          <c:spPr>
            <a:ln w="28575" cap="rnd">
              <a:solidFill>
                <a:schemeClr val="accent6"/>
              </a:solidFill>
              <a:prstDash val="dash"/>
              <a:round/>
            </a:ln>
            <a:effectLst/>
          </c:spPr>
          <c:marker>
            <c:symbol val="circle"/>
            <c:size val="5"/>
            <c:spPr>
              <a:solidFill>
                <a:schemeClr val="accent6"/>
              </a:solidFill>
              <a:ln w="9525">
                <a:solidFill>
                  <a:schemeClr val="accent6"/>
                </a:solidFill>
              </a:ln>
              <a:effectLst/>
            </c:spPr>
          </c:marker>
          <c:cat>
            <c:numRef>
              <c:f>Segments!$D$17:$L$17</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Segments!$D$23:$L$23</c:f>
              <c:numCache>
                <c:formatCode>General</c:formatCode>
                <c:ptCount val="9"/>
                <c:pt idx="4" formatCode="0.00">
                  <c:v>3.1090803749028009</c:v>
                </c:pt>
                <c:pt idx="5" formatCode="0.00">
                  <c:v>3.1270939768865622</c:v>
                </c:pt>
                <c:pt idx="6" formatCode="0.00">
                  <c:v>3.3598526743297019</c:v>
                </c:pt>
                <c:pt idx="7" formatCode="0.00">
                  <c:v>3.6772534772433332</c:v>
                </c:pt>
                <c:pt idx="8" formatCode="0.00">
                  <c:v>3.4909143985155509</c:v>
                </c:pt>
              </c:numCache>
            </c:numRef>
          </c:val>
          <c:smooth val="0"/>
        </c:ser>
        <c:ser>
          <c:idx val="6"/>
          <c:order val="6"/>
          <c:tx>
            <c:v>Mandatory Q3</c:v>
          </c:tx>
          <c:spPr>
            <a:ln w="28575" cap="rnd">
              <a:solidFill>
                <a:schemeClr val="accent1">
                  <a:lumMod val="60000"/>
                </a:schemeClr>
              </a:solidFill>
              <a:prstDash val="dash"/>
              <a:round/>
            </a:ln>
            <a:effectLst/>
          </c:spPr>
          <c:marker>
            <c:symbol val="circle"/>
            <c:size val="5"/>
            <c:spPr>
              <a:solidFill>
                <a:schemeClr val="accent1">
                  <a:lumMod val="60000"/>
                </a:schemeClr>
              </a:solidFill>
              <a:ln w="9525">
                <a:solidFill>
                  <a:schemeClr val="accent1">
                    <a:lumMod val="60000"/>
                  </a:schemeClr>
                </a:solidFill>
              </a:ln>
              <a:effectLst/>
            </c:spPr>
          </c:marker>
          <c:cat>
            <c:numRef>
              <c:f>Segments!$D$17:$L$17</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Segments!$D$24:$L$24</c:f>
              <c:numCache>
                <c:formatCode>General</c:formatCode>
                <c:ptCount val="9"/>
                <c:pt idx="4" formatCode="0.00">
                  <c:v>1.9776256021235941</c:v>
                </c:pt>
                <c:pt idx="5" formatCode="0.00">
                  <c:v>1.9556542131222929</c:v>
                </c:pt>
                <c:pt idx="6" formatCode="0.00">
                  <c:v>2.1825301117428402</c:v>
                </c:pt>
                <c:pt idx="7" formatCode="0.00">
                  <c:v>2.6973416874913618</c:v>
                </c:pt>
                <c:pt idx="8" formatCode="0.00">
                  <c:v>2.7136259948506778</c:v>
                </c:pt>
              </c:numCache>
            </c:numRef>
          </c:val>
          <c:smooth val="0"/>
        </c:ser>
        <c:ser>
          <c:idx val="7"/>
          <c:order val="7"/>
          <c:tx>
            <c:v>Mandatory  Q4</c:v>
          </c:tx>
          <c:spPr>
            <a:ln w="28575" cap="rnd">
              <a:solidFill>
                <a:schemeClr val="accent2">
                  <a:lumMod val="60000"/>
                </a:schemeClr>
              </a:solidFill>
              <a:prstDash val="dash"/>
              <a:round/>
            </a:ln>
            <a:effectLst/>
          </c:spPr>
          <c:marker>
            <c:symbol val="circle"/>
            <c:size val="5"/>
            <c:spPr>
              <a:solidFill>
                <a:schemeClr val="accent2">
                  <a:lumMod val="60000"/>
                </a:schemeClr>
              </a:solidFill>
              <a:ln w="9525">
                <a:solidFill>
                  <a:schemeClr val="accent2">
                    <a:lumMod val="60000"/>
                  </a:schemeClr>
                </a:solidFill>
              </a:ln>
              <a:effectLst/>
            </c:spPr>
          </c:marker>
          <c:cat>
            <c:numRef>
              <c:f>Segments!$D$17:$L$17</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Segments!$D$25:$L$25</c:f>
              <c:numCache>
                <c:formatCode>General</c:formatCode>
                <c:ptCount val="9"/>
                <c:pt idx="4" formatCode="0.00">
                  <c:v>0.18775950521347801</c:v>
                </c:pt>
                <c:pt idx="5" formatCode="0.00">
                  <c:v>0.71611482230138501</c:v>
                </c:pt>
                <c:pt idx="6" formatCode="0.00">
                  <c:v>1.7308592714844</c:v>
                </c:pt>
                <c:pt idx="7" formatCode="0.00">
                  <c:v>2.3482856310535372</c:v>
                </c:pt>
                <c:pt idx="8" formatCode="0.00">
                  <c:v>2.7127875214572219</c:v>
                </c:pt>
              </c:numCache>
            </c:numRef>
          </c:val>
          <c:smooth val="0"/>
        </c:ser>
        <c:dLbls>
          <c:showLegendKey val="0"/>
          <c:showVal val="0"/>
          <c:showCatName val="0"/>
          <c:showSerName val="0"/>
          <c:showPercent val="0"/>
          <c:showBubbleSize val="0"/>
        </c:dLbls>
        <c:marker val="1"/>
        <c:smooth val="0"/>
        <c:axId val="128137088"/>
        <c:axId val="128143360"/>
      </c:lineChart>
      <c:catAx>
        <c:axId val="12813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8143360"/>
        <c:crosses val="autoZero"/>
        <c:auto val="1"/>
        <c:lblAlgn val="ctr"/>
        <c:lblOffset val="100"/>
        <c:noMultiLvlLbl val="0"/>
      </c:catAx>
      <c:valAx>
        <c:axId val="128143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Average star ratings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8137088"/>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Voluntary Q1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Segments!$D$17:$L$17</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Segments!$D$41:$L$41</c:f>
              <c:numCache>
                <c:formatCode>_-* #,##0_-;\-* #,##0_-;_-* "-"??_-;_-@_-</c:formatCode>
                <c:ptCount val="9"/>
                <c:pt idx="0">
                  <c:v>458.29261137467807</c:v>
                </c:pt>
                <c:pt idx="1">
                  <c:v>449.72724086771001</c:v>
                </c:pt>
                <c:pt idx="2">
                  <c:v>417.43037555234622</c:v>
                </c:pt>
                <c:pt idx="3">
                  <c:v>387.8699440856696</c:v>
                </c:pt>
                <c:pt idx="4">
                  <c:v>355.28625271809682</c:v>
                </c:pt>
                <c:pt idx="5">
                  <c:v>338.01849077753388</c:v>
                </c:pt>
                <c:pt idx="6">
                  <c:v>326.5778043824846</c:v>
                </c:pt>
                <c:pt idx="7">
                  <c:v>312.01716290793343</c:v>
                </c:pt>
                <c:pt idx="8">
                  <c:v>292.47920651392121</c:v>
                </c:pt>
              </c:numCache>
            </c:numRef>
          </c:val>
          <c:smooth val="0"/>
        </c:ser>
        <c:ser>
          <c:idx val="1"/>
          <c:order val="1"/>
          <c:tx>
            <c:v>Voluntary Q2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Segments!$D$17:$L$17</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Segments!$D$42:$L$42</c:f>
              <c:numCache>
                <c:formatCode>_-* #,##0_-;\-* #,##0_-;_-* "-"??_-;_-@_-</c:formatCode>
                <c:ptCount val="9"/>
                <c:pt idx="0">
                  <c:v>604.12239317262254</c:v>
                </c:pt>
                <c:pt idx="1">
                  <c:v>583.3012245114578</c:v>
                </c:pt>
                <c:pt idx="2">
                  <c:v>545.55813336079882</c:v>
                </c:pt>
                <c:pt idx="3">
                  <c:v>498.88491490894461</c:v>
                </c:pt>
                <c:pt idx="4">
                  <c:v>469.81450260161068</c:v>
                </c:pt>
                <c:pt idx="5">
                  <c:v>444.59700545084132</c:v>
                </c:pt>
                <c:pt idx="6">
                  <c:v>411.36185268663058</c:v>
                </c:pt>
                <c:pt idx="7">
                  <c:v>392.15593936630881</c:v>
                </c:pt>
                <c:pt idx="8">
                  <c:v>366.424617933756</c:v>
                </c:pt>
              </c:numCache>
            </c:numRef>
          </c:val>
          <c:smooth val="0"/>
        </c:ser>
        <c:ser>
          <c:idx val="2"/>
          <c:order val="2"/>
          <c:tx>
            <c:v>Voluntary Q3</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Segments!$D$17:$L$17</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Segments!$D$43:$L$43</c:f>
              <c:numCache>
                <c:formatCode>_-* #,##0_-;\-* #,##0_-;_-* "-"??_-;_-@_-</c:formatCode>
                <c:ptCount val="9"/>
                <c:pt idx="0">
                  <c:v>601.99948094348747</c:v>
                </c:pt>
                <c:pt idx="1">
                  <c:v>664.31619416783997</c:v>
                </c:pt>
                <c:pt idx="2">
                  <c:v>572.99815613930753</c:v>
                </c:pt>
                <c:pt idx="3">
                  <c:v>608.8283587991242</c:v>
                </c:pt>
                <c:pt idx="4">
                  <c:v>573.62383799051054</c:v>
                </c:pt>
                <c:pt idx="5">
                  <c:v>541.991090267304</c:v>
                </c:pt>
                <c:pt idx="6">
                  <c:v>473.21994950870379</c:v>
                </c:pt>
                <c:pt idx="7">
                  <c:v>447.84661831769688</c:v>
                </c:pt>
                <c:pt idx="8">
                  <c:v>446.89025153746502</c:v>
                </c:pt>
              </c:numCache>
            </c:numRef>
          </c:val>
          <c:smooth val="0"/>
        </c:ser>
        <c:ser>
          <c:idx val="3"/>
          <c:order val="3"/>
          <c:tx>
            <c:v>Voluntary Q4</c:v>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Segments!$D$17:$L$17</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Segments!$D$44:$L$44</c:f>
              <c:numCache>
                <c:formatCode>_-* #,##0_-;\-* #,##0_-;_-* "-"??_-;_-@_-</c:formatCode>
                <c:ptCount val="9"/>
                <c:pt idx="0">
                  <c:v>629.0518489095416</c:v>
                </c:pt>
                <c:pt idx="1">
                  <c:v>701.31712205179019</c:v>
                </c:pt>
                <c:pt idx="2">
                  <c:v>668.96928673333855</c:v>
                </c:pt>
                <c:pt idx="3">
                  <c:v>631.77754874810466</c:v>
                </c:pt>
                <c:pt idx="4">
                  <c:v>598.44605124391637</c:v>
                </c:pt>
                <c:pt idx="5">
                  <c:v>550.38453761529058</c:v>
                </c:pt>
                <c:pt idx="6">
                  <c:v>502.49723098079522</c:v>
                </c:pt>
                <c:pt idx="7">
                  <c:v>440.94258021001019</c:v>
                </c:pt>
                <c:pt idx="8">
                  <c:v>433.87812684091881</c:v>
                </c:pt>
              </c:numCache>
            </c:numRef>
          </c:val>
          <c:smooth val="0"/>
        </c:ser>
        <c:ser>
          <c:idx val="4"/>
          <c:order val="4"/>
          <c:tx>
            <c:v>Mandatory Q1</c:v>
          </c:tx>
          <c:spPr>
            <a:ln w="28575" cap="rnd">
              <a:solidFill>
                <a:schemeClr val="accent5"/>
              </a:solidFill>
              <a:prstDash val="dash"/>
              <a:round/>
            </a:ln>
            <a:effectLst/>
          </c:spPr>
          <c:marker>
            <c:symbol val="circle"/>
            <c:size val="5"/>
            <c:spPr>
              <a:solidFill>
                <a:schemeClr val="accent5"/>
              </a:solidFill>
              <a:ln w="9525">
                <a:solidFill>
                  <a:schemeClr val="accent5"/>
                </a:solidFill>
              </a:ln>
              <a:effectLst/>
            </c:spPr>
          </c:marker>
          <c:cat>
            <c:numRef>
              <c:f>Segments!$D$17:$L$17</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Segments!$D$45:$L$45</c:f>
              <c:numCache>
                <c:formatCode>General</c:formatCode>
                <c:ptCount val="9"/>
                <c:pt idx="4" formatCode="_-* #,##0_-;\-* #,##0_-;_-* &quot;-&quot;??_-;_-@_-">
                  <c:v>356.83297262350999</c:v>
                </c:pt>
                <c:pt idx="5" formatCode="_-* #,##0_-;\-* #,##0_-;_-* &quot;-&quot;??_-;_-@_-">
                  <c:v>322.56583035876122</c:v>
                </c:pt>
                <c:pt idx="6" formatCode="_-* #,##0_-;\-* #,##0_-;_-* &quot;-&quot;??_-;_-@_-">
                  <c:v>321.50407065728058</c:v>
                </c:pt>
                <c:pt idx="7" formatCode="_-* #,##0_-;\-* #,##0_-;_-* &quot;-&quot;??_-;_-@_-">
                  <c:v>321.36770775615832</c:v>
                </c:pt>
                <c:pt idx="8" formatCode="_-* #,##0_-;\-* #,##0_-;_-* &quot;-&quot;??_-;_-@_-">
                  <c:v>312.42430274668089</c:v>
                </c:pt>
              </c:numCache>
            </c:numRef>
          </c:val>
          <c:smooth val="0"/>
        </c:ser>
        <c:ser>
          <c:idx val="5"/>
          <c:order val="5"/>
          <c:tx>
            <c:v>Mandatory Q2</c:v>
          </c:tx>
          <c:spPr>
            <a:ln w="28575" cap="rnd">
              <a:solidFill>
                <a:schemeClr val="accent6"/>
              </a:solidFill>
              <a:prstDash val="dash"/>
              <a:round/>
            </a:ln>
            <a:effectLst/>
          </c:spPr>
          <c:marker>
            <c:symbol val="circle"/>
            <c:size val="5"/>
            <c:spPr>
              <a:solidFill>
                <a:schemeClr val="accent6"/>
              </a:solidFill>
              <a:ln w="9525">
                <a:solidFill>
                  <a:schemeClr val="accent6"/>
                </a:solidFill>
              </a:ln>
              <a:effectLst/>
            </c:spPr>
          </c:marker>
          <c:cat>
            <c:numRef>
              <c:f>Segments!$D$17:$L$17</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Segments!$D$46:$L$46</c:f>
              <c:numCache>
                <c:formatCode>General</c:formatCode>
                <c:ptCount val="9"/>
                <c:pt idx="4" formatCode="_-* #,##0_-;\-* #,##0_-;_-* &quot;-&quot;??_-;_-@_-">
                  <c:v>506.33827430568641</c:v>
                </c:pt>
                <c:pt idx="5" formatCode="_-* #,##0_-;\-* #,##0_-;_-* &quot;-&quot;??_-;_-@_-">
                  <c:v>505.59610417166931</c:v>
                </c:pt>
                <c:pt idx="6" formatCode="_-* #,##0_-;\-* #,##0_-;_-* &quot;-&quot;??_-;_-@_-">
                  <c:v>470.9744759144175</c:v>
                </c:pt>
                <c:pt idx="7" formatCode="_-* #,##0_-;\-* #,##0_-;_-* &quot;-&quot;??_-;_-@_-">
                  <c:v>419.80450240343009</c:v>
                </c:pt>
                <c:pt idx="8" formatCode="_-* #,##0_-;\-* #,##0_-;_-* &quot;-&quot;??_-;_-@_-">
                  <c:v>422.2545246773347</c:v>
                </c:pt>
              </c:numCache>
            </c:numRef>
          </c:val>
          <c:smooth val="0"/>
        </c:ser>
        <c:ser>
          <c:idx val="6"/>
          <c:order val="6"/>
          <c:tx>
            <c:v>Mandatory Q3</c:v>
          </c:tx>
          <c:spPr>
            <a:ln w="28575" cap="rnd">
              <a:solidFill>
                <a:schemeClr val="accent1">
                  <a:lumMod val="60000"/>
                </a:schemeClr>
              </a:solidFill>
              <a:prstDash val="dash"/>
              <a:round/>
            </a:ln>
            <a:effectLst/>
          </c:spPr>
          <c:marker>
            <c:symbol val="circle"/>
            <c:size val="5"/>
            <c:spPr>
              <a:solidFill>
                <a:schemeClr val="accent1">
                  <a:lumMod val="60000"/>
                </a:schemeClr>
              </a:solidFill>
              <a:ln w="9525">
                <a:solidFill>
                  <a:schemeClr val="accent1">
                    <a:lumMod val="60000"/>
                  </a:schemeClr>
                </a:solidFill>
              </a:ln>
              <a:effectLst/>
            </c:spPr>
          </c:marker>
          <c:cat>
            <c:numRef>
              <c:f>Segments!$D$17:$L$17</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Segments!$D$47:$L$47</c:f>
              <c:numCache>
                <c:formatCode>General</c:formatCode>
                <c:ptCount val="9"/>
                <c:pt idx="4" formatCode="_-* #,##0_-;\-* #,##0_-;_-* &quot;-&quot;??_-;_-@_-">
                  <c:v>628.34570321610806</c:v>
                </c:pt>
                <c:pt idx="5" formatCode="_-* #,##0_-;\-* #,##0_-;_-* &quot;-&quot;??_-;_-@_-">
                  <c:v>644.10746927318155</c:v>
                </c:pt>
                <c:pt idx="6" formatCode="_-* #,##0_-;\-* #,##0_-;_-* &quot;-&quot;??_-;_-@_-">
                  <c:v>620.06757051199622</c:v>
                </c:pt>
                <c:pt idx="7" formatCode="_-* #,##0_-;\-* #,##0_-;_-* &quot;-&quot;??_-;_-@_-">
                  <c:v>530.84240057747843</c:v>
                </c:pt>
                <c:pt idx="8" formatCode="_-* #,##0_-;\-* #,##0_-;_-* &quot;-&quot;??_-;_-@_-">
                  <c:v>499.08803763869162</c:v>
                </c:pt>
              </c:numCache>
            </c:numRef>
          </c:val>
          <c:smooth val="0"/>
        </c:ser>
        <c:ser>
          <c:idx val="7"/>
          <c:order val="7"/>
          <c:tx>
            <c:v>Mandatory Q4</c:v>
          </c:tx>
          <c:spPr>
            <a:ln w="28575" cap="rnd">
              <a:solidFill>
                <a:schemeClr val="accent2">
                  <a:lumMod val="60000"/>
                </a:schemeClr>
              </a:solidFill>
              <a:prstDash val="dash"/>
              <a:round/>
            </a:ln>
            <a:effectLst/>
          </c:spPr>
          <c:marker>
            <c:symbol val="circle"/>
            <c:size val="5"/>
            <c:spPr>
              <a:solidFill>
                <a:schemeClr val="accent2">
                  <a:lumMod val="60000"/>
                </a:schemeClr>
              </a:solidFill>
              <a:ln w="9525">
                <a:solidFill>
                  <a:schemeClr val="accent2">
                    <a:lumMod val="60000"/>
                  </a:schemeClr>
                </a:solidFill>
              </a:ln>
              <a:effectLst/>
            </c:spPr>
          </c:marker>
          <c:cat>
            <c:numRef>
              <c:f>Segments!$D$17:$L$17</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Segments!$D$48:$L$48</c:f>
              <c:numCache>
                <c:formatCode>General</c:formatCode>
                <c:ptCount val="9"/>
                <c:pt idx="4" formatCode="_-* #,##0_-;\-* #,##0_-;_-* &quot;-&quot;??_-;_-@_-">
                  <c:v>887.84815691243318</c:v>
                </c:pt>
                <c:pt idx="5" formatCode="_-* #,##0_-;\-* #,##0_-;_-* &quot;-&quot;??_-;_-@_-">
                  <c:v>879.91208819332576</c:v>
                </c:pt>
                <c:pt idx="6" formatCode="_-* #,##0_-;\-* #,##0_-;_-* &quot;-&quot;??_-;_-@_-">
                  <c:v>694.19944719735952</c:v>
                </c:pt>
                <c:pt idx="7" formatCode="_-* #,##0_-;\-* #,##0_-;_-* &quot;-&quot;??_-;_-@_-">
                  <c:v>636.46940497938465</c:v>
                </c:pt>
                <c:pt idx="8" formatCode="_-* #,##0_-;\-* #,##0_-;_-* &quot;-&quot;??_-;_-@_-">
                  <c:v>601.29721491638054</c:v>
                </c:pt>
              </c:numCache>
            </c:numRef>
          </c:val>
          <c:smooth val="0"/>
        </c:ser>
        <c:dLbls>
          <c:showLegendKey val="0"/>
          <c:showVal val="0"/>
          <c:showCatName val="0"/>
          <c:showSerName val="0"/>
          <c:showPercent val="0"/>
          <c:showBubbleSize val="0"/>
        </c:dLbls>
        <c:marker val="1"/>
        <c:smooth val="0"/>
        <c:axId val="128210048"/>
        <c:axId val="128211968"/>
      </c:lineChart>
      <c:catAx>
        <c:axId val="12821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8211968"/>
        <c:crosses val="autoZero"/>
        <c:auto val="1"/>
        <c:lblAlgn val="ctr"/>
        <c:lblOffset val="100"/>
        <c:noMultiLvlLbl val="0"/>
      </c:catAx>
      <c:valAx>
        <c:axId val="128211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MJ/m</a:t>
                </a:r>
                <a:r>
                  <a:rPr lang="en-AU" baseline="30000">
                    <a:solidFill>
                      <a:sysClr val="windowText" lastClr="000000"/>
                    </a:solidFill>
                  </a:rPr>
                  <a:t>2</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821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'TLA Analysis'!$S$6</c:f>
              <c:strCache>
                <c:ptCount val="1"/>
                <c:pt idx="0">
                  <c:v>Improvement</c:v>
                </c:pt>
              </c:strCache>
            </c:strRef>
          </c:tx>
          <c:spPr>
            <a:solidFill>
              <a:schemeClr val="accent1"/>
            </a:solidFill>
            <a:ln>
              <a:noFill/>
            </a:ln>
            <a:effectLst/>
          </c:spPr>
          <c:invertIfNegative val="0"/>
          <c:cat>
            <c:strRef>
              <c:f>'TLA Analysis'!$R$9:$R$20</c:f>
              <c:strCache>
                <c:ptCount val="12"/>
                <c:pt idx="0">
                  <c:v>-100 &lt; x &lt;= -15</c:v>
                </c:pt>
                <c:pt idx="1">
                  <c:v>-15 &lt; x &lt;= -12</c:v>
                </c:pt>
                <c:pt idx="2">
                  <c:v>-12 &lt; x &lt;= -9</c:v>
                </c:pt>
                <c:pt idx="3">
                  <c:v>-9 &lt; x &lt;= -6</c:v>
                </c:pt>
                <c:pt idx="4">
                  <c:v>-6 &lt; x &lt;= -3</c:v>
                </c:pt>
                <c:pt idx="5">
                  <c:v>-3 &lt; x &lt; 0</c:v>
                </c:pt>
                <c:pt idx="6">
                  <c:v>0 &lt; x &lt;= 3</c:v>
                </c:pt>
                <c:pt idx="7">
                  <c:v>3 &lt; x &lt;= 6</c:v>
                </c:pt>
                <c:pt idx="8">
                  <c:v>6 &lt; x &lt;= 9</c:v>
                </c:pt>
                <c:pt idx="9">
                  <c:v>9 &lt; x &lt;= 12</c:v>
                </c:pt>
                <c:pt idx="10">
                  <c:v>12 &lt; x &lt;= 15</c:v>
                </c:pt>
                <c:pt idx="11">
                  <c:v>15 &lt; x &lt;= 100</c:v>
                </c:pt>
              </c:strCache>
            </c:strRef>
          </c:cat>
          <c:val>
            <c:numRef>
              <c:f>'TLA Analysis'!$S$9:$S$20</c:f>
              <c:numCache>
                <c:formatCode>_-* #,##0_-;\-* #,##0_-;_-* "-"??_-;_-@_-</c:formatCode>
                <c:ptCount val="12"/>
                <c:pt idx="0">
                  <c:v>7311.97</c:v>
                </c:pt>
                <c:pt idx="1">
                  <c:v>48784.6</c:v>
                </c:pt>
                <c:pt idx="2">
                  <c:v>115980.55</c:v>
                </c:pt>
                <c:pt idx="3">
                  <c:v>577960.52</c:v>
                </c:pt>
                <c:pt idx="4">
                  <c:v>1109133.6000000001</c:v>
                </c:pt>
                <c:pt idx="5">
                  <c:v>5979745.1399999997</c:v>
                </c:pt>
              </c:numCache>
            </c:numRef>
          </c:val>
        </c:ser>
        <c:ser>
          <c:idx val="1"/>
          <c:order val="1"/>
          <c:tx>
            <c:strRef>
              <c:f>'TLA Analysis'!$T$6</c:f>
              <c:strCache>
                <c:ptCount val="1"/>
                <c:pt idx="0">
                  <c:v>Deterioration</c:v>
                </c:pt>
              </c:strCache>
            </c:strRef>
          </c:tx>
          <c:spPr>
            <a:solidFill>
              <a:schemeClr val="accent5"/>
            </a:solidFill>
            <a:ln>
              <a:noFill/>
            </a:ln>
            <a:effectLst/>
          </c:spPr>
          <c:invertIfNegative val="0"/>
          <c:cat>
            <c:strRef>
              <c:f>'TLA Analysis'!$R$9:$R$20</c:f>
              <c:strCache>
                <c:ptCount val="12"/>
                <c:pt idx="0">
                  <c:v>-100 &lt; x &lt;= -15</c:v>
                </c:pt>
                <c:pt idx="1">
                  <c:v>-15 &lt; x &lt;= -12</c:v>
                </c:pt>
                <c:pt idx="2">
                  <c:v>-12 &lt; x &lt;= -9</c:v>
                </c:pt>
                <c:pt idx="3">
                  <c:v>-9 &lt; x &lt;= -6</c:v>
                </c:pt>
                <c:pt idx="4">
                  <c:v>-6 &lt; x &lt;= -3</c:v>
                </c:pt>
                <c:pt idx="5">
                  <c:v>-3 &lt; x &lt; 0</c:v>
                </c:pt>
                <c:pt idx="6">
                  <c:v>0 &lt; x &lt;= 3</c:v>
                </c:pt>
                <c:pt idx="7">
                  <c:v>3 &lt; x &lt;= 6</c:v>
                </c:pt>
                <c:pt idx="8">
                  <c:v>6 &lt; x &lt;= 9</c:v>
                </c:pt>
                <c:pt idx="9">
                  <c:v>9 &lt; x &lt;= 12</c:v>
                </c:pt>
                <c:pt idx="10">
                  <c:v>12 &lt; x &lt;= 15</c:v>
                </c:pt>
                <c:pt idx="11">
                  <c:v>15 &lt; x &lt;= 100</c:v>
                </c:pt>
              </c:strCache>
            </c:strRef>
          </c:cat>
          <c:val>
            <c:numRef>
              <c:f>'TLA Analysis'!$T$9:$T$20</c:f>
              <c:numCache>
                <c:formatCode>General</c:formatCode>
                <c:ptCount val="12"/>
                <c:pt idx="6" formatCode="_-* #,##0_-;\-* #,##0_-;_-* &quot;-&quot;??_-;_-@_-">
                  <c:v>4289402.75</c:v>
                </c:pt>
                <c:pt idx="7" formatCode="_-* #,##0_-;\-* #,##0_-;_-* &quot;-&quot;??_-;_-@_-">
                  <c:v>375370.54</c:v>
                </c:pt>
                <c:pt idx="8" formatCode="_-* #,##0_-;\-* #,##0_-;_-* &quot;-&quot;??_-;_-@_-">
                  <c:v>184383.22</c:v>
                </c:pt>
                <c:pt idx="9" formatCode="_-* #,##0_-;\-* #,##0_-;_-* &quot;-&quot;??_-;_-@_-">
                  <c:v>29879.3</c:v>
                </c:pt>
                <c:pt idx="10" formatCode="_-* #,##0_-;\-* #,##0_-;_-* &quot;-&quot;??_-;_-@_-">
                  <c:v>3094.8</c:v>
                </c:pt>
                <c:pt idx="11" formatCode="_-* #,##0_-;\-* #,##0_-;_-* &quot;-&quot;??_-;_-@_-">
                  <c:v>0</c:v>
                </c:pt>
              </c:numCache>
            </c:numRef>
          </c:val>
        </c:ser>
        <c:dLbls>
          <c:showLegendKey val="0"/>
          <c:showVal val="0"/>
          <c:showCatName val="0"/>
          <c:showSerName val="0"/>
          <c:showPercent val="0"/>
          <c:showBubbleSize val="0"/>
        </c:dLbls>
        <c:gapWidth val="0"/>
        <c:overlap val="90"/>
        <c:axId val="44434176"/>
        <c:axId val="44435712"/>
      </c:barChart>
      <c:catAx>
        <c:axId val="444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435712"/>
        <c:crosses val="autoZero"/>
        <c:auto val="1"/>
        <c:lblAlgn val="ctr"/>
        <c:lblOffset val="100"/>
        <c:noMultiLvlLbl val="0"/>
      </c:catAx>
      <c:valAx>
        <c:axId val="44435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NLA (m</a:t>
                </a:r>
                <a:r>
                  <a:rPr lang="en-AU" baseline="30000">
                    <a:solidFill>
                      <a:sysClr val="windowText" lastClr="000000"/>
                    </a:solidFill>
                  </a:rPr>
                  <a:t>2</a:t>
                </a:r>
                <a:r>
                  <a:rPr lang="en-AU">
                    <a:solidFill>
                      <a:sysClr val="windowText" lastClr="000000"/>
                    </a:solidFill>
                  </a:rPr>
                  <a:t>)</a:t>
                </a:r>
              </a:p>
            </c:rich>
          </c:tx>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434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'TLA Analysis'!$Y$6</c:f>
              <c:strCache>
                <c:ptCount val="1"/>
                <c:pt idx="0">
                  <c:v>Improvement</c:v>
                </c:pt>
              </c:strCache>
            </c:strRef>
          </c:tx>
          <c:spPr>
            <a:solidFill>
              <a:schemeClr val="accent1"/>
            </a:solidFill>
            <a:ln>
              <a:noFill/>
            </a:ln>
            <a:effectLst/>
          </c:spPr>
          <c:invertIfNegative val="0"/>
          <c:cat>
            <c:strRef>
              <c:f>'TLA Analysis'!$X$9:$X$20</c:f>
              <c:strCache>
                <c:ptCount val="12"/>
                <c:pt idx="0">
                  <c:v>-6 &lt; x &lt;= -5</c:v>
                </c:pt>
                <c:pt idx="1">
                  <c:v>-5 &lt; x &lt;= -4</c:v>
                </c:pt>
                <c:pt idx="2">
                  <c:v>-4 &lt; x &lt;= -3</c:v>
                </c:pt>
                <c:pt idx="3">
                  <c:v>-3 &lt; x &lt;= -2</c:v>
                </c:pt>
                <c:pt idx="4">
                  <c:v>-2 &lt; x &lt;= -1</c:v>
                </c:pt>
                <c:pt idx="5">
                  <c:v>-1 &lt; x &lt; 0</c:v>
                </c:pt>
                <c:pt idx="6">
                  <c:v>0 &lt; x &lt;= 1</c:v>
                </c:pt>
                <c:pt idx="7">
                  <c:v>1 &lt; x &lt;= 2</c:v>
                </c:pt>
                <c:pt idx="8">
                  <c:v>2 &lt; x &lt;= 3</c:v>
                </c:pt>
                <c:pt idx="9">
                  <c:v>3 &lt; x &lt;= 4</c:v>
                </c:pt>
                <c:pt idx="10">
                  <c:v>4 &lt; x &lt;= 5</c:v>
                </c:pt>
                <c:pt idx="11">
                  <c:v>5 &lt; x &lt;= 6</c:v>
                </c:pt>
              </c:strCache>
            </c:strRef>
          </c:cat>
          <c:val>
            <c:numRef>
              <c:f>'TLA Analysis'!$Y$9:$Y$20</c:f>
              <c:numCache>
                <c:formatCode>_-* #,##0_-;\-* #,##0_-;_-* "-"??_-;_-@_-</c:formatCode>
                <c:ptCount val="12"/>
                <c:pt idx="0">
                  <c:v>260314.81000000011</c:v>
                </c:pt>
                <c:pt idx="1">
                  <c:v>327388.3</c:v>
                </c:pt>
                <c:pt idx="2">
                  <c:v>521430.49</c:v>
                </c:pt>
                <c:pt idx="3">
                  <c:v>1022768.68</c:v>
                </c:pt>
                <c:pt idx="4">
                  <c:v>1418516.89</c:v>
                </c:pt>
                <c:pt idx="5">
                  <c:v>3538459.57</c:v>
                </c:pt>
              </c:numCache>
            </c:numRef>
          </c:val>
        </c:ser>
        <c:ser>
          <c:idx val="1"/>
          <c:order val="1"/>
          <c:tx>
            <c:strRef>
              <c:f>'TLA Analysis'!$Z$6</c:f>
              <c:strCache>
                <c:ptCount val="1"/>
                <c:pt idx="0">
                  <c:v>Deterioration</c:v>
                </c:pt>
              </c:strCache>
            </c:strRef>
          </c:tx>
          <c:spPr>
            <a:solidFill>
              <a:schemeClr val="accent5"/>
            </a:solidFill>
            <a:ln>
              <a:noFill/>
            </a:ln>
            <a:effectLst/>
          </c:spPr>
          <c:invertIfNegative val="0"/>
          <c:cat>
            <c:strRef>
              <c:f>'TLA Analysis'!$X$9:$X$20</c:f>
              <c:strCache>
                <c:ptCount val="12"/>
                <c:pt idx="0">
                  <c:v>-6 &lt; x &lt;= -5</c:v>
                </c:pt>
                <c:pt idx="1">
                  <c:v>-5 &lt; x &lt;= -4</c:v>
                </c:pt>
                <c:pt idx="2">
                  <c:v>-4 &lt; x &lt;= -3</c:v>
                </c:pt>
                <c:pt idx="3">
                  <c:v>-3 &lt; x &lt;= -2</c:v>
                </c:pt>
                <c:pt idx="4">
                  <c:v>-2 &lt; x &lt;= -1</c:v>
                </c:pt>
                <c:pt idx="5">
                  <c:v>-1 &lt; x &lt; 0</c:v>
                </c:pt>
                <c:pt idx="6">
                  <c:v>0 &lt; x &lt;= 1</c:v>
                </c:pt>
                <c:pt idx="7">
                  <c:v>1 &lt; x &lt;= 2</c:v>
                </c:pt>
                <c:pt idx="8">
                  <c:v>2 &lt; x &lt;= 3</c:v>
                </c:pt>
                <c:pt idx="9">
                  <c:v>3 &lt; x &lt;= 4</c:v>
                </c:pt>
                <c:pt idx="10">
                  <c:v>4 &lt; x &lt;= 5</c:v>
                </c:pt>
                <c:pt idx="11">
                  <c:v>5 &lt; x &lt;= 6</c:v>
                </c:pt>
              </c:strCache>
            </c:strRef>
          </c:cat>
          <c:val>
            <c:numRef>
              <c:f>'TLA Analysis'!$Z$9:$Z$20</c:f>
              <c:numCache>
                <c:formatCode>General</c:formatCode>
                <c:ptCount val="12"/>
                <c:pt idx="6" formatCode="_-* #,##0_-;\-* #,##0_-;_-* &quot;-&quot;??_-;_-@_-">
                  <c:v>3283923.53</c:v>
                </c:pt>
                <c:pt idx="7" formatCode="_-* #,##0_-;\-* #,##0_-;_-* &quot;-&quot;??_-;_-@_-">
                  <c:v>748257.66999999923</c:v>
                </c:pt>
                <c:pt idx="8" formatCode="_-* #,##0_-;\-* #,##0_-;_-* &quot;-&quot;??_-;_-@_-">
                  <c:v>257221.55</c:v>
                </c:pt>
                <c:pt idx="9" formatCode="_-* #,##0_-;\-* #,##0_-;_-* &quot;-&quot;??_-;_-@_-">
                  <c:v>289492.14</c:v>
                </c:pt>
                <c:pt idx="10" formatCode="_-* #,##0_-;\-* #,##0_-;_-* &quot;-&quot;??_-;_-@_-">
                  <c:v>85878.399999999994</c:v>
                </c:pt>
                <c:pt idx="11" formatCode="_-* #,##0_-;\-* #,##0_-;_-* &quot;-&quot;??_-;_-@_-">
                  <c:v>0</c:v>
                </c:pt>
              </c:numCache>
            </c:numRef>
          </c:val>
        </c:ser>
        <c:dLbls>
          <c:showLegendKey val="0"/>
          <c:showVal val="0"/>
          <c:showCatName val="0"/>
          <c:showSerName val="0"/>
          <c:showPercent val="0"/>
          <c:showBubbleSize val="0"/>
        </c:dLbls>
        <c:gapWidth val="0"/>
        <c:overlap val="90"/>
        <c:axId val="44465152"/>
        <c:axId val="44466944"/>
      </c:barChart>
      <c:catAx>
        <c:axId val="4446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466944"/>
        <c:crosses val="autoZero"/>
        <c:auto val="1"/>
        <c:lblAlgn val="ctr"/>
        <c:lblOffset val="100"/>
        <c:noMultiLvlLbl val="0"/>
      </c:catAx>
      <c:valAx>
        <c:axId val="44466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NLA (m</a:t>
                </a:r>
                <a:r>
                  <a:rPr lang="en-AU" baseline="30000">
                    <a:solidFill>
                      <a:sysClr val="windowText" lastClr="000000"/>
                    </a:solidFill>
                  </a:rPr>
                  <a:t>2</a:t>
                </a:r>
                <a:r>
                  <a:rPr lang="en-AU">
                    <a:solidFill>
                      <a:sysClr val="windowText" lastClr="000000"/>
                    </a:solidFill>
                  </a:rPr>
                  <a:t>)</a:t>
                </a:r>
              </a:p>
            </c:rich>
          </c:tx>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4651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'TLA Analysis'!$S$6</c:f>
              <c:strCache>
                <c:ptCount val="1"/>
                <c:pt idx="0">
                  <c:v>Improvement</c:v>
                </c:pt>
              </c:strCache>
            </c:strRef>
          </c:tx>
          <c:spPr>
            <a:solidFill>
              <a:schemeClr val="accent1"/>
            </a:solidFill>
            <a:ln>
              <a:noFill/>
            </a:ln>
            <a:effectLst/>
          </c:spPr>
          <c:invertIfNegative val="0"/>
          <c:cat>
            <c:strRef>
              <c:f>'TLA Analysis'!$R$27:$R$38</c:f>
              <c:strCache>
                <c:ptCount val="12"/>
                <c:pt idx="0">
                  <c:v>-100 &lt; x &lt;= -15</c:v>
                </c:pt>
                <c:pt idx="1">
                  <c:v>-15 &lt; x &lt;= -12</c:v>
                </c:pt>
                <c:pt idx="2">
                  <c:v>-12 &lt; x &lt;= -9</c:v>
                </c:pt>
                <c:pt idx="3">
                  <c:v>-9 &lt; x &lt;= -6</c:v>
                </c:pt>
                <c:pt idx="4">
                  <c:v>-6 &lt; x &lt;= -3</c:v>
                </c:pt>
                <c:pt idx="5">
                  <c:v>-3 &lt; x &lt; 0</c:v>
                </c:pt>
                <c:pt idx="6">
                  <c:v>0 &lt; x &lt;= 3</c:v>
                </c:pt>
                <c:pt idx="7">
                  <c:v>3 &lt; x &lt;= 6</c:v>
                </c:pt>
                <c:pt idx="8">
                  <c:v>6 &lt; x &lt;= 9</c:v>
                </c:pt>
                <c:pt idx="9">
                  <c:v>9 &lt; x &lt;= 12</c:v>
                </c:pt>
                <c:pt idx="10">
                  <c:v>12 &lt; x &lt;= 15</c:v>
                </c:pt>
                <c:pt idx="11">
                  <c:v>15 &lt; x &lt;= 100</c:v>
                </c:pt>
              </c:strCache>
            </c:strRef>
          </c:cat>
          <c:val>
            <c:numRef>
              <c:f>'TLA Analysis'!$S$27:$S$38</c:f>
              <c:numCache>
                <c:formatCode>_-* #,##0_-;\-* #,##0_-;_-* "-"??_-;_-@_-</c:formatCode>
                <c:ptCount val="12"/>
                <c:pt idx="0">
                  <c:v>7311.97</c:v>
                </c:pt>
                <c:pt idx="1">
                  <c:v>39760.9</c:v>
                </c:pt>
                <c:pt idx="2">
                  <c:v>43380.5</c:v>
                </c:pt>
                <c:pt idx="3">
                  <c:v>437126.82</c:v>
                </c:pt>
                <c:pt idx="4">
                  <c:v>802790.08999999869</c:v>
                </c:pt>
                <c:pt idx="5">
                  <c:v>3904335.84</c:v>
                </c:pt>
              </c:numCache>
            </c:numRef>
          </c:val>
        </c:ser>
        <c:ser>
          <c:idx val="1"/>
          <c:order val="1"/>
          <c:tx>
            <c:strRef>
              <c:f>'TLA Analysis'!$T$6</c:f>
              <c:strCache>
                <c:ptCount val="1"/>
                <c:pt idx="0">
                  <c:v>Deterioration</c:v>
                </c:pt>
              </c:strCache>
            </c:strRef>
          </c:tx>
          <c:spPr>
            <a:solidFill>
              <a:schemeClr val="accent5"/>
            </a:solidFill>
            <a:ln>
              <a:noFill/>
            </a:ln>
            <a:effectLst/>
          </c:spPr>
          <c:invertIfNegative val="0"/>
          <c:cat>
            <c:strRef>
              <c:f>'TLA Analysis'!$R$27:$R$38</c:f>
              <c:strCache>
                <c:ptCount val="12"/>
                <c:pt idx="0">
                  <c:v>-100 &lt; x &lt;= -15</c:v>
                </c:pt>
                <c:pt idx="1">
                  <c:v>-15 &lt; x &lt;= -12</c:v>
                </c:pt>
                <c:pt idx="2">
                  <c:v>-12 &lt; x &lt;= -9</c:v>
                </c:pt>
                <c:pt idx="3">
                  <c:v>-9 &lt; x &lt;= -6</c:v>
                </c:pt>
                <c:pt idx="4">
                  <c:v>-6 &lt; x &lt;= -3</c:v>
                </c:pt>
                <c:pt idx="5">
                  <c:v>-3 &lt; x &lt; 0</c:v>
                </c:pt>
                <c:pt idx="6">
                  <c:v>0 &lt; x &lt;= 3</c:v>
                </c:pt>
                <c:pt idx="7">
                  <c:v>3 &lt; x &lt;= 6</c:v>
                </c:pt>
                <c:pt idx="8">
                  <c:v>6 &lt; x &lt;= 9</c:v>
                </c:pt>
                <c:pt idx="9">
                  <c:v>9 &lt; x &lt;= 12</c:v>
                </c:pt>
                <c:pt idx="10">
                  <c:v>12 &lt; x &lt;= 15</c:v>
                </c:pt>
                <c:pt idx="11">
                  <c:v>15 &lt; x &lt;= 100</c:v>
                </c:pt>
              </c:strCache>
            </c:strRef>
          </c:cat>
          <c:val>
            <c:numRef>
              <c:f>'TLA Analysis'!$T$27:$T$38</c:f>
              <c:numCache>
                <c:formatCode>General</c:formatCode>
                <c:ptCount val="12"/>
                <c:pt idx="6" formatCode="_-* #,##0_-;\-* #,##0_-;_-* &quot;-&quot;??_-;_-@_-">
                  <c:v>2299032.7000000002</c:v>
                </c:pt>
                <c:pt idx="7" formatCode="_-* #,##0_-;\-* #,##0_-;_-* &quot;-&quot;??_-;_-@_-">
                  <c:v>268426.53999999998</c:v>
                </c:pt>
                <c:pt idx="8" formatCode="_-* #,##0_-;\-* #,##0_-;_-* &quot;-&quot;??_-;_-@_-">
                  <c:v>107236.5</c:v>
                </c:pt>
                <c:pt idx="9" formatCode="_-* #,##0_-;\-* #,##0_-;_-* &quot;-&quot;??_-;_-@_-">
                  <c:v>29879.3</c:v>
                </c:pt>
                <c:pt idx="10" formatCode="_-* #,##0_-;\-* #,##0_-;_-* &quot;-&quot;??_-;_-@_-">
                  <c:v>0</c:v>
                </c:pt>
                <c:pt idx="11" formatCode="_-* #,##0_-;\-* #,##0_-;_-* &quot;-&quot;??_-;_-@_-">
                  <c:v>0</c:v>
                </c:pt>
              </c:numCache>
            </c:numRef>
          </c:val>
        </c:ser>
        <c:dLbls>
          <c:showLegendKey val="0"/>
          <c:showVal val="0"/>
          <c:showCatName val="0"/>
          <c:showSerName val="0"/>
          <c:showPercent val="0"/>
          <c:showBubbleSize val="0"/>
        </c:dLbls>
        <c:gapWidth val="0"/>
        <c:overlap val="90"/>
        <c:axId val="67884544"/>
        <c:axId val="67886080"/>
      </c:barChart>
      <c:catAx>
        <c:axId val="6788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67886080"/>
        <c:crosses val="autoZero"/>
        <c:auto val="1"/>
        <c:lblAlgn val="ctr"/>
        <c:lblOffset val="100"/>
        <c:noMultiLvlLbl val="0"/>
      </c:catAx>
      <c:valAx>
        <c:axId val="67886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NLA (m</a:t>
                </a:r>
                <a:r>
                  <a:rPr lang="en-AU" baseline="30000">
                    <a:solidFill>
                      <a:sysClr val="windowText" lastClr="000000"/>
                    </a:solidFill>
                  </a:rPr>
                  <a:t>2</a:t>
                </a:r>
                <a:r>
                  <a:rPr lang="en-AU">
                    <a:solidFill>
                      <a:sysClr val="windowText" lastClr="000000"/>
                    </a:solidFill>
                  </a:rPr>
                  <a:t>)</a:t>
                </a:r>
              </a:p>
            </c:rich>
          </c:tx>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78845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'TLA Analysis'!$S$6</c:f>
              <c:strCache>
                <c:ptCount val="1"/>
                <c:pt idx="0">
                  <c:v>Improvement</c:v>
                </c:pt>
              </c:strCache>
            </c:strRef>
          </c:tx>
          <c:spPr>
            <a:solidFill>
              <a:schemeClr val="accent1"/>
            </a:solidFill>
            <a:ln>
              <a:noFill/>
            </a:ln>
            <a:effectLst/>
          </c:spPr>
          <c:invertIfNegative val="0"/>
          <c:cat>
            <c:strRef>
              <c:f>'TLA Analysis'!$R$45:$R$56</c:f>
              <c:strCache>
                <c:ptCount val="12"/>
                <c:pt idx="0">
                  <c:v>-100 &lt; x &lt;= -15</c:v>
                </c:pt>
                <c:pt idx="1">
                  <c:v>-15 &lt; x &lt;= -12</c:v>
                </c:pt>
                <c:pt idx="2">
                  <c:v>-12 &lt; x &lt;= -9</c:v>
                </c:pt>
                <c:pt idx="3">
                  <c:v>-9 &lt; x &lt;= -6</c:v>
                </c:pt>
                <c:pt idx="4">
                  <c:v>-6 &lt; x &lt;= -3</c:v>
                </c:pt>
                <c:pt idx="5">
                  <c:v>-3 &lt; x &lt; 0</c:v>
                </c:pt>
                <c:pt idx="6">
                  <c:v>0 &lt; x &lt;= 3</c:v>
                </c:pt>
                <c:pt idx="7">
                  <c:v>3 &lt; x &lt;= 6</c:v>
                </c:pt>
                <c:pt idx="8">
                  <c:v>6 &lt; x &lt;= 9</c:v>
                </c:pt>
                <c:pt idx="9">
                  <c:v>9 &lt; x &lt;= 12</c:v>
                </c:pt>
                <c:pt idx="10">
                  <c:v>12 &lt; x &lt;= 15</c:v>
                </c:pt>
                <c:pt idx="11">
                  <c:v>15 &lt; x &lt;= 100</c:v>
                </c:pt>
              </c:strCache>
            </c:strRef>
          </c:cat>
          <c:val>
            <c:numRef>
              <c:f>'TLA Analysis'!$S$45:$S$56</c:f>
              <c:numCache>
                <c:formatCode>_-* #,##0_-;\-* #,##0_-;_-* "-"??_-;_-@_-</c:formatCode>
                <c:ptCount val="12"/>
                <c:pt idx="0">
                  <c:v>0</c:v>
                </c:pt>
                <c:pt idx="1">
                  <c:v>3083.7</c:v>
                </c:pt>
                <c:pt idx="2">
                  <c:v>51693.65</c:v>
                </c:pt>
                <c:pt idx="3">
                  <c:v>106394.7</c:v>
                </c:pt>
                <c:pt idx="4">
                  <c:v>172797.45</c:v>
                </c:pt>
                <c:pt idx="5">
                  <c:v>1300391.1100000001</c:v>
                </c:pt>
              </c:numCache>
            </c:numRef>
          </c:val>
        </c:ser>
        <c:ser>
          <c:idx val="1"/>
          <c:order val="1"/>
          <c:tx>
            <c:strRef>
              <c:f>'TLA Analysis'!$T$6</c:f>
              <c:strCache>
                <c:ptCount val="1"/>
                <c:pt idx="0">
                  <c:v>Deterioration</c:v>
                </c:pt>
              </c:strCache>
            </c:strRef>
          </c:tx>
          <c:spPr>
            <a:solidFill>
              <a:schemeClr val="accent5"/>
            </a:solidFill>
            <a:ln>
              <a:noFill/>
            </a:ln>
            <a:effectLst/>
          </c:spPr>
          <c:invertIfNegative val="0"/>
          <c:cat>
            <c:strRef>
              <c:f>'TLA Analysis'!$R$45:$R$56</c:f>
              <c:strCache>
                <c:ptCount val="12"/>
                <c:pt idx="0">
                  <c:v>-100 &lt; x &lt;= -15</c:v>
                </c:pt>
                <c:pt idx="1">
                  <c:v>-15 &lt; x &lt;= -12</c:v>
                </c:pt>
                <c:pt idx="2">
                  <c:v>-12 &lt; x &lt;= -9</c:v>
                </c:pt>
                <c:pt idx="3">
                  <c:v>-9 &lt; x &lt;= -6</c:v>
                </c:pt>
                <c:pt idx="4">
                  <c:v>-6 &lt; x &lt;= -3</c:v>
                </c:pt>
                <c:pt idx="5">
                  <c:v>-3 &lt; x &lt; 0</c:v>
                </c:pt>
                <c:pt idx="6">
                  <c:v>0 &lt; x &lt;= 3</c:v>
                </c:pt>
                <c:pt idx="7">
                  <c:v>3 &lt; x &lt;= 6</c:v>
                </c:pt>
                <c:pt idx="8">
                  <c:v>6 &lt; x &lt;= 9</c:v>
                </c:pt>
                <c:pt idx="9">
                  <c:v>9 &lt; x &lt;= 12</c:v>
                </c:pt>
                <c:pt idx="10">
                  <c:v>12 &lt; x &lt;= 15</c:v>
                </c:pt>
                <c:pt idx="11">
                  <c:v>15 &lt; x &lt;= 100</c:v>
                </c:pt>
              </c:strCache>
            </c:strRef>
          </c:cat>
          <c:val>
            <c:numRef>
              <c:f>'TLA Analysis'!$T$45:$T$56</c:f>
              <c:numCache>
                <c:formatCode>General</c:formatCode>
                <c:ptCount val="12"/>
                <c:pt idx="6" formatCode="_-* #,##0_-;\-* #,##0_-;_-* &quot;-&quot;??_-;_-@_-">
                  <c:v>974948.91999999899</c:v>
                </c:pt>
                <c:pt idx="7" formatCode="_-* #,##0_-;\-* #,##0_-;_-* &quot;-&quot;??_-;_-@_-">
                  <c:v>66981.2</c:v>
                </c:pt>
                <c:pt idx="8" formatCode="_-* #,##0_-;\-* #,##0_-;_-* &quot;-&quot;??_-;_-@_-">
                  <c:v>37233.42</c:v>
                </c:pt>
                <c:pt idx="9" formatCode="_-* #,##0_-;\-* #,##0_-;_-* &quot;-&quot;??_-;_-@_-">
                  <c:v>0</c:v>
                </c:pt>
                <c:pt idx="10" formatCode="_-* #,##0_-;\-* #,##0_-;_-* &quot;-&quot;??_-;_-@_-">
                  <c:v>3094.8</c:v>
                </c:pt>
                <c:pt idx="11" formatCode="_-* #,##0_-;\-* #,##0_-;_-* &quot;-&quot;??_-;_-@_-">
                  <c:v>0</c:v>
                </c:pt>
              </c:numCache>
            </c:numRef>
          </c:val>
        </c:ser>
        <c:dLbls>
          <c:showLegendKey val="0"/>
          <c:showVal val="0"/>
          <c:showCatName val="0"/>
          <c:showSerName val="0"/>
          <c:showPercent val="0"/>
          <c:showBubbleSize val="0"/>
        </c:dLbls>
        <c:gapWidth val="0"/>
        <c:overlap val="90"/>
        <c:axId val="45260800"/>
        <c:axId val="45262336"/>
      </c:barChart>
      <c:catAx>
        <c:axId val="4526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262336"/>
        <c:crosses val="autoZero"/>
        <c:auto val="1"/>
        <c:lblAlgn val="ctr"/>
        <c:lblOffset val="100"/>
        <c:noMultiLvlLbl val="0"/>
      </c:catAx>
      <c:valAx>
        <c:axId val="45262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NLA (m</a:t>
                </a:r>
                <a:r>
                  <a:rPr lang="en-AU" baseline="30000">
                    <a:solidFill>
                      <a:sysClr val="windowText" lastClr="000000"/>
                    </a:solidFill>
                  </a:rPr>
                  <a:t>2</a:t>
                </a:r>
                <a:r>
                  <a:rPr lang="en-AU">
                    <a:solidFill>
                      <a:sysClr val="windowText" lastClr="000000"/>
                    </a:solidFill>
                  </a:rPr>
                  <a:t>)</a:t>
                </a:r>
              </a:p>
            </c:rich>
          </c:tx>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2608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D1F3DD-4F7E-44EB-AB78-BBC6819AD482}" type="doc">
      <dgm:prSet loTypeId="urn:microsoft.com/office/officeart/2005/8/layout/hList6" loCatId="list" qsTypeId="urn:microsoft.com/office/officeart/2005/8/quickstyle/simple4" qsCatId="simple" csTypeId="urn:microsoft.com/office/officeart/2005/8/colors/accent1_4" csCatId="accent1" phldr="1"/>
      <dgm:spPr/>
      <dgm:t>
        <a:bodyPr/>
        <a:lstStyle/>
        <a:p>
          <a:endParaRPr lang="en-SG"/>
        </a:p>
      </dgm:t>
    </dgm:pt>
    <dgm:pt modelId="{CE2D5AB6-8960-415D-9BAD-3742902A75E2}">
      <dgm:prSet phldrT="[Text]" custT="1"/>
      <dgm:spPr/>
      <dgm:t>
        <a:bodyPr/>
        <a:lstStyle/>
        <a:p>
          <a:r>
            <a:rPr lang="en-SG" sz="1050" b="1">
              <a:latin typeface="Calibri" pitchFamily="34" charset="0"/>
            </a:rPr>
            <a:t>Step 1: Project inception</a:t>
          </a:r>
        </a:p>
      </dgm:t>
    </dgm:pt>
    <dgm:pt modelId="{EE2B5C2C-52BB-44D3-905C-144FC9954CEB}" type="parTrans" cxnId="{8B936579-C3A1-4504-A2CF-0A7537CE6290}">
      <dgm:prSet/>
      <dgm:spPr/>
      <dgm:t>
        <a:bodyPr/>
        <a:lstStyle/>
        <a:p>
          <a:endParaRPr lang="en-SG"/>
        </a:p>
      </dgm:t>
    </dgm:pt>
    <dgm:pt modelId="{1E7C5DEC-2075-4F5F-B322-34FB9DEF82CE}" type="sibTrans" cxnId="{8B936579-C3A1-4504-A2CF-0A7537CE6290}">
      <dgm:prSet/>
      <dgm:spPr/>
      <dgm:t>
        <a:bodyPr/>
        <a:lstStyle/>
        <a:p>
          <a:endParaRPr lang="en-SG"/>
        </a:p>
      </dgm:t>
    </dgm:pt>
    <dgm:pt modelId="{86B0DA21-4615-40C1-83D4-BAA6048177C0}">
      <dgm:prSet phldrT="[Text]" custT="1"/>
      <dgm:spPr/>
      <dgm:t>
        <a:bodyPr/>
        <a:lstStyle/>
        <a:p>
          <a:r>
            <a:rPr lang="en-SG" sz="900">
              <a:latin typeface="Calibri" pitchFamily="34" charset="0"/>
            </a:rPr>
            <a:t>Inception meeting</a:t>
          </a:r>
        </a:p>
      </dgm:t>
    </dgm:pt>
    <dgm:pt modelId="{20945CC4-2674-421B-8782-7D1EA4E51702}" type="parTrans" cxnId="{A4433B92-B80A-48B0-A9C9-E0FBBDA3A8E8}">
      <dgm:prSet/>
      <dgm:spPr/>
      <dgm:t>
        <a:bodyPr/>
        <a:lstStyle/>
        <a:p>
          <a:endParaRPr lang="en-SG"/>
        </a:p>
      </dgm:t>
    </dgm:pt>
    <dgm:pt modelId="{B98DF01E-0DFC-4CF5-AAF7-77B005445888}" type="sibTrans" cxnId="{A4433B92-B80A-48B0-A9C9-E0FBBDA3A8E8}">
      <dgm:prSet/>
      <dgm:spPr/>
      <dgm:t>
        <a:bodyPr/>
        <a:lstStyle/>
        <a:p>
          <a:endParaRPr lang="en-SG"/>
        </a:p>
      </dgm:t>
    </dgm:pt>
    <dgm:pt modelId="{8679632B-EDCC-4B2B-97CC-76EF33470F00}">
      <dgm:prSet phldrT="[Text]" custT="1"/>
      <dgm:spPr/>
      <dgm:t>
        <a:bodyPr/>
        <a:lstStyle/>
        <a:p>
          <a:r>
            <a:rPr lang="en-SG" sz="1050" b="1">
              <a:latin typeface="Calibri" pitchFamily="34" charset="0"/>
            </a:rPr>
            <a:t>Step 2: Analyse existing data &amp; information</a:t>
          </a:r>
        </a:p>
      </dgm:t>
    </dgm:pt>
    <dgm:pt modelId="{386F081B-234A-46C8-88EF-2068FC6DC7DA}" type="parTrans" cxnId="{4C75E1A2-A5F0-45A9-8F62-2CFDF9C9A321}">
      <dgm:prSet/>
      <dgm:spPr/>
      <dgm:t>
        <a:bodyPr/>
        <a:lstStyle/>
        <a:p>
          <a:endParaRPr lang="en-SG"/>
        </a:p>
      </dgm:t>
    </dgm:pt>
    <dgm:pt modelId="{C5B25A65-200E-4F89-84DC-07D9D50E7BD7}" type="sibTrans" cxnId="{4C75E1A2-A5F0-45A9-8F62-2CFDF9C9A321}">
      <dgm:prSet/>
      <dgm:spPr/>
      <dgm:t>
        <a:bodyPr/>
        <a:lstStyle/>
        <a:p>
          <a:endParaRPr lang="en-SG"/>
        </a:p>
      </dgm:t>
    </dgm:pt>
    <dgm:pt modelId="{943891F7-912B-4305-855F-430BFCC54BC0}">
      <dgm:prSet phldrT="[Text]" custT="1"/>
      <dgm:spPr/>
      <dgm:t>
        <a:bodyPr/>
        <a:lstStyle/>
        <a:p>
          <a:r>
            <a:rPr lang="en-SG" sz="1050" b="1">
              <a:latin typeface="Calibri" pitchFamily="34" charset="0"/>
            </a:rPr>
            <a:t>Project reporting</a:t>
          </a:r>
        </a:p>
      </dgm:t>
    </dgm:pt>
    <dgm:pt modelId="{4F156824-0A93-4124-9002-55EB8E264D58}" type="parTrans" cxnId="{0247C6C0-DF28-4829-8090-D7CCE0653BC5}">
      <dgm:prSet/>
      <dgm:spPr/>
      <dgm:t>
        <a:bodyPr/>
        <a:lstStyle/>
        <a:p>
          <a:endParaRPr lang="en-SG"/>
        </a:p>
      </dgm:t>
    </dgm:pt>
    <dgm:pt modelId="{9B226244-6A3B-404F-91FB-DA3A17AB8FD1}" type="sibTrans" cxnId="{0247C6C0-DF28-4829-8090-D7CCE0653BC5}">
      <dgm:prSet/>
      <dgm:spPr/>
      <dgm:t>
        <a:bodyPr/>
        <a:lstStyle/>
        <a:p>
          <a:endParaRPr lang="en-SG"/>
        </a:p>
      </dgm:t>
    </dgm:pt>
    <dgm:pt modelId="{1412E976-2081-448D-B350-50FE1027E58E}">
      <dgm:prSet custT="1"/>
      <dgm:spPr/>
      <dgm:t>
        <a:bodyPr/>
        <a:lstStyle/>
        <a:p>
          <a:r>
            <a:rPr lang="en-SG" sz="1050" b="1">
              <a:latin typeface="Calibri" pitchFamily="34" charset="0"/>
            </a:rPr>
            <a:t>Step 3: Assess program appropriateness &amp; effectiveness</a:t>
          </a:r>
        </a:p>
      </dgm:t>
    </dgm:pt>
    <dgm:pt modelId="{A008C1F7-F371-4D43-A453-2D055B5681A2}" type="parTrans" cxnId="{641708EE-00D3-47DE-A81A-9C94BDC8FD86}">
      <dgm:prSet/>
      <dgm:spPr/>
      <dgm:t>
        <a:bodyPr/>
        <a:lstStyle/>
        <a:p>
          <a:endParaRPr lang="en-US"/>
        </a:p>
      </dgm:t>
    </dgm:pt>
    <dgm:pt modelId="{1AF5DE67-4550-48C4-9EA4-61A5E609DE3B}" type="sibTrans" cxnId="{641708EE-00D3-47DE-A81A-9C94BDC8FD86}">
      <dgm:prSet/>
      <dgm:spPr/>
      <dgm:t>
        <a:bodyPr/>
        <a:lstStyle/>
        <a:p>
          <a:endParaRPr lang="en-US"/>
        </a:p>
      </dgm:t>
    </dgm:pt>
    <dgm:pt modelId="{FD0004F5-09B7-4FB8-980F-A97367A4B7C3}">
      <dgm:prSet custT="1"/>
      <dgm:spPr>
        <a:solidFill>
          <a:schemeClr val="tx2">
            <a:lumMod val="60000"/>
            <a:lumOff val="40000"/>
          </a:schemeClr>
        </a:solidFill>
      </dgm:spPr>
      <dgm:t>
        <a:bodyPr/>
        <a:lstStyle/>
        <a:p>
          <a:r>
            <a:rPr lang="en-SG" sz="1050" b="1">
              <a:latin typeface="Calibri" pitchFamily="34" charset="0"/>
            </a:rPr>
            <a:t>Step 4: Assess future of the CBD program</a:t>
          </a:r>
        </a:p>
      </dgm:t>
    </dgm:pt>
    <dgm:pt modelId="{0A4771C6-2B21-4E3F-98F4-86775DC6B465}" type="parTrans" cxnId="{03BEB96A-274F-4661-A66B-FEE452E948B6}">
      <dgm:prSet/>
      <dgm:spPr/>
      <dgm:t>
        <a:bodyPr/>
        <a:lstStyle/>
        <a:p>
          <a:endParaRPr lang="en-US"/>
        </a:p>
      </dgm:t>
    </dgm:pt>
    <dgm:pt modelId="{DCCDEBFC-05E5-4DD6-838D-6CFEC56E813F}" type="sibTrans" cxnId="{03BEB96A-274F-4661-A66B-FEE452E948B6}">
      <dgm:prSet/>
      <dgm:spPr/>
      <dgm:t>
        <a:bodyPr/>
        <a:lstStyle/>
        <a:p>
          <a:endParaRPr lang="en-US"/>
        </a:p>
      </dgm:t>
    </dgm:pt>
    <dgm:pt modelId="{E340C2D3-4B12-4C55-978F-CBFDA4C03265}">
      <dgm:prSet phldrT="[Text]" custT="1"/>
      <dgm:spPr/>
      <dgm:t>
        <a:bodyPr/>
        <a:lstStyle/>
        <a:p>
          <a:r>
            <a:rPr lang="en-SG" sz="900">
              <a:latin typeface="Calibri" pitchFamily="34" charset="0"/>
            </a:rPr>
            <a:t>Presentation of preliminary findings</a:t>
          </a:r>
        </a:p>
      </dgm:t>
    </dgm:pt>
    <dgm:pt modelId="{355F047C-9A7B-408E-9A8C-CD61BDC5F523}" type="parTrans" cxnId="{B16D7164-E8F1-4290-8E6E-CF9FEC830DD0}">
      <dgm:prSet/>
      <dgm:spPr/>
      <dgm:t>
        <a:bodyPr/>
        <a:lstStyle/>
        <a:p>
          <a:endParaRPr lang="en-US"/>
        </a:p>
      </dgm:t>
    </dgm:pt>
    <dgm:pt modelId="{C6C6B17D-9F2A-41A4-9F3D-5A253B922587}" type="sibTrans" cxnId="{B16D7164-E8F1-4290-8E6E-CF9FEC830DD0}">
      <dgm:prSet/>
      <dgm:spPr/>
      <dgm:t>
        <a:bodyPr/>
        <a:lstStyle/>
        <a:p>
          <a:endParaRPr lang="en-US"/>
        </a:p>
      </dgm:t>
    </dgm:pt>
    <dgm:pt modelId="{A2A9CE2D-9134-43E2-AA66-83940C71C9BE}">
      <dgm:prSet custT="1"/>
      <dgm:spPr>
        <a:solidFill>
          <a:schemeClr val="tx2">
            <a:lumMod val="60000"/>
            <a:lumOff val="40000"/>
          </a:schemeClr>
        </a:solidFill>
      </dgm:spPr>
      <dgm:t>
        <a:bodyPr/>
        <a:lstStyle/>
        <a:p>
          <a:endParaRPr lang="en-SG" sz="900">
            <a:latin typeface="Calibri" pitchFamily="34" charset="0"/>
          </a:endParaRPr>
        </a:p>
      </dgm:t>
    </dgm:pt>
    <dgm:pt modelId="{CDFDD0B4-D4FE-465C-9FD1-F1070A70B5A8}" type="parTrans" cxnId="{9333D59F-9A15-4109-B660-90B200EDE1C5}">
      <dgm:prSet/>
      <dgm:spPr/>
      <dgm:t>
        <a:bodyPr/>
        <a:lstStyle/>
        <a:p>
          <a:endParaRPr lang="en-US"/>
        </a:p>
      </dgm:t>
    </dgm:pt>
    <dgm:pt modelId="{AEDF4753-A126-41B9-AB2B-3B6F5EC7A8AA}" type="sibTrans" cxnId="{9333D59F-9A15-4109-B660-90B200EDE1C5}">
      <dgm:prSet/>
      <dgm:spPr/>
      <dgm:t>
        <a:bodyPr/>
        <a:lstStyle/>
        <a:p>
          <a:endParaRPr lang="en-US"/>
        </a:p>
      </dgm:t>
    </dgm:pt>
    <dgm:pt modelId="{3CE65866-5F23-40FF-9FDF-051FCBB7789D}">
      <dgm:prSet custT="1"/>
      <dgm:spPr>
        <a:solidFill>
          <a:schemeClr val="tx2">
            <a:lumMod val="60000"/>
            <a:lumOff val="40000"/>
          </a:schemeClr>
        </a:solidFill>
      </dgm:spPr>
      <dgm:t>
        <a:bodyPr/>
        <a:lstStyle/>
        <a:p>
          <a:r>
            <a:rPr lang="en-SG" sz="900">
              <a:latin typeface="Calibri" pitchFamily="34" charset="0"/>
            </a:rPr>
            <a:t>Analyse interaction of CBD program with the ERF</a:t>
          </a:r>
        </a:p>
      </dgm:t>
    </dgm:pt>
    <dgm:pt modelId="{8C4064BD-7AF0-4C49-91A7-20F4AF87235A}" type="parTrans" cxnId="{92D77D0E-86F6-4B89-8CA2-DEF46F541EAB}">
      <dgm:prSet/>
      <dgm:spPr/>
      <dgm:t>
        <a:bodyPr/>
        <a:lstStyle/>
        <a:p>
          <a:endParaRPr lang="en-US"/>
        </a:p>
      </dgm:t>
    </dgm:pt>
    <dgm:pt modelId="{5C4CB321-8C01-4B4F-9512-F5A00411ACFB}" type="sibTrans" cxnId="{92D77D0E-86F6-4B89-8CA2-DEF46F541EAB}">
      <dgm:prSet/>
      <dgm:spPr/>
      <dgm:t>
        <a:bodyPr/>
        <a:lstStyle/>
        <a:p>
          <a:endParaRPr lang="en-US"/>
        </a:p>
      </dgm:t>
    </dgm:pt>
    <dgm:pt modelId="{6D168FFD-EB52-47E4-A8D6-4287C86B80C3}">
      <dgm:prSet custT="1"/>
      <dgm:spPr/>
      <dgm:t>
        <a:bodyPr/>
        <a:lstStyle/>
        <a:p>
          <a:endParaRPr lang="en-SG" sz="900">
            <a:latin typeface="Calibri" pitchFamily="34" charset="0"/>
          </a:endParaRPr>
        </a:p>
      </dgm:t>
    </dgm:pt>
    <dgm:pt modelId="{DD03C4D8-B548-425D-9E5C-72F3380A596E}" type="parTrans" cxnId="{1588D57F-C34D-4BED-8D67-009B8418C71B}">
      <dgm:prSet/>
      <dgm:spPr/>
      <dgm:t>
        <a:bodyPr/>
        <a:lstStyle/>
        <a:p>
          <a:endParaRPr lang="en-US"/>
        </a:p>
      </dgm:t>
    </dgm:pt>
    <dgm:pt modelId="{B1881DA6-1C87-4608-956D-123EB3D7F5BC}" type="sibTrans" cxnId="{1588D57F-C34D-4BED-8D67-009B8418C71B}">
      <dgm:prSet/>
      <dgm:spPr/>
      <dgm:t>
        <a:bodyPr/>
        <a:lstStyle/>
        <a:p>
          <a:endParaRPr lang="en-US"/>
        </a:p>
      </dgm:t>
    </dgm:pt>
    <dgm:pt modelId="{F42EB687-A564-4701-83E1-1965C0BD1106}">
      <dgm:prSet phldrT="[Text]" custT="1"/>
      <dgm:spPr/>
      <dgm:t>
        <a:bodyPr/>
        <a:lstStyle/>
        <a:p>
          <a:endParaRPr lang="en-SG" sz="1000">
            <a:latin typeface="Calibri" pitchFamily="34" charset="0"/>
          </a:endParaRPr>
        </a:p>
      </dgm:t>
    </dgm:pt>
    <dgm:pt modelId="{F7989F3E-A106-492A-8AC5-46C2D896EE48}" type="sibTrans" cxnId="{BA3B121F-E3E3-4007-A6D0-D58F82D7DA91}">
      <dgm:prSet/>
      <dgm:spPr/>
      <dgm:t>
        <a:bodyPr/>
        <a:lstStyle/>
        <a:p>
          <a:endParaRPr lang="en-US"/>
        </a:p>
      </dgm:t>
    </dgm:pt>
    <dgm:pt modelId="{C969A193-26C4-4171-B95C-974021427C42}" type="parTrans" cxnId="{BA3B121F-E3E3-4007-A6D0-D58F82D7DA91}">
      <dgm:prSet/>
      <dgm:spPr/>
      <dgm:t>
        <a:bodyPr/>
        <a:lstStyle/>
        <a:p>
          <a:endParaRPr lang="en-US"/>
        </a:p>
      </dgm:t>
    </dgm:pt>
    <dgm:pt modelId="{8ACB1EE8-D088-4BA7-AEEC-68BAC30D69DF}">
      <dgm:prSet phldrT="[Text]" custT="1"/>
      <dgm:spPr/>
      <dgm:t>
        <a:bodyPr/>
        <a:lstStyle/>
        <a:p>
          <a:endParaRPr lang="en-SG" sz="1000">
            <a:latin typeface="Calibri" pitchFamily="34" charset="0"/>
          </a:endParaRPr>
        </a:p>
      </dgm:t>
    </dgm:pt>
    <dgm:pt modelId="{CE5D34EC-4455-4EE8-8196-B68E5FC1364C}" type="parTrans" cxnId="{DDBE1756-FF6E-4F8C-A5FF-F635F57939AE}">
      <dgm:prSet/>
      <dgm:spPr/>
      <dgm:t>
        <a:bodyPr/>
        <a:lstStyle/>
        <a:p>
          <a:endParaRPr lang="en-US"/>
        </a:p>
      </dgm:t>
    </dgm:pt>
    <dgm:pt modelId="{C7F90A29-0704-4B00-A455-E8EB08EED8A1}" type="sibTrans" cxnId="{DDBE1756-FF6E-4F8C-A5FF-F635F57939AE}">
      <dgm:prSet/>
      <dgm:spPr/>
      <dgm:t>
        <a:bodyPr/>
        <a:lstStyle/>
        <a:p>
          <a:endParaRPr lang="en-US"/>
        </a:p>
      </dgm:t>
    </dgm:pt>
    <dgm:pt modelId="{286B6E43-CF8C-4B3B-802D-DA8C7E335DD1}">
      <dgm:prSet custT="1"/>
      <dgm:spPr/>
      <dgm:t>
        <a:bodyPr/>
        <a:lstStyle/>
        <a:p>
          <a:r>
            <a:rPr lang="en-SG" sz="900">
              <a:latin typeface="Calibri" pitchFamily="34" charset="0"/>
            </a:rPr>
            <a:t>Analyse program objectives and relevancy</a:t>
          </a:r>
        </a:p>
      </dgm:t>
    </dgm:pt>
    <dgm:pt modelId="{09A0C0CD-E335-4C3D-8308-DC23026F29BC}" type="parTrans" cxnId="{FAC80A55-2CD2-4958-82AC-7A44CB0DFF0C}">
      <dgm:prSet/>
      <dgm:spPr/>
      <dgm:t>
        <a:bodyPr/>
        <a:lstStyle/>
        <a:p>
          <a:endParaRPr lang="en-US"/>
        </a:p>
      </dgm:t>
    </dgm:pt>
    <dgm:pt modelId="{5A88ACF0-D735-453C-90F1-5F935534C32F}" type="sibTrans" cxnId="{FAC80A55-2CD2-4958-82AC-7A44CB0DFF0C}">
      <dgm:prSet/>
      <dgm:spPr/>
      <dgm:t>
        <a:bodyPr/>
        <a:lstStyle/>
        <a:p>
          <a:endParaRPr lang="en-US"/>
        </a:p>
      </dgm:t>
    </dgm:pt>
    <dgm:pt modelId="{D1DCC84F-E05D-4E3B-951A-A33AEABCEBF6}">
      <dgm:prSet phldrT="[Text]" custT="1"/>
      <dgm:spPr/>
      <dgm:t>
        <a:bodyPr/>
        <a:lstStyle/>
        <a:p>
          <a:r>
            <a:rPr lang="en-SG" sz="900">
              <a:latin typeface="Calibri" pitchFamily="34" charset="0"/>
            </a:rPr>
            <a:t>Literature review</a:t>
          </a:r>
        </a:p>
      </dgm:t>
    </dgm:pt>
    <dgm:pt modelId="{181E3B63-6472-442A-BD7A-61A872A02845}" type="parTrans" cxnId="{48AC201E-0185-4109-AEAC-F8151F7444B0}">
      <dgm:prSet/>
      <dgm:spPr/>
      <dgm:t>
        <a:bodyPr/>
        <a:lstStyle/>
        <a:p>
          <a:endParaRPr lang="en-US"/>
        </a:p>
      </dgm:t>
    </dgm:pt>
    <dgm:pt modelId="{BC6A419F-E38A-4598-9E13-750B0CD95D33}" type="sibTrans" cxnId="{48AC201E-0185-4109-AEAC-F8151F7444B0}">
      <dgm:prSet/>
      <dgm:spPr/>
      <dgm:t>
        <a:bodyPr/>
        <a:lstStyle/>
        <a:p>
          <a:endParaRPr lang="en-US"/>
        </a:p>
      </dgm:t>
    </dgm:pt>
    <dgm:pt modelId="{D35DB971-B36E-4AB4-BE03-F5894614F534}">
      <dgm:prSet phldrT="[Text]" custT="1"/>
      <dgm:spPr/>
      <dgm:t>
        <a:bodyPr/>
        <a:lstStyle/>
        <a:p>
          <a:r>
            <a:rPr lang="en-SG" sz="900">
              <a:latin typeface="Calibri" pitchFamily="34" charset="0"/>
            </a:rPr>
            <a:t>Prepare and submit detailed project work plan</a:t>
          </a:r>
        </a:p>
      </dgm:t>
    </dgm:pt>
    <dgm:pt modelId="{60C34C1F-0F1B-4483-B3CB-437C9CF8C34B}" type="parTrans" cxnId="{10B3EEFE-579B-4C6B-8BA1-DEDD6E282A82}">
      <dgm:prSet/>
      <dgm:spPr/>
      <dgm:t>
        <a:bodyPr/>
        <a:lstStyle/>
        <a:p>
          <a:endParaRPr lang="en-AU"/>
        </a:p>
      </dgm:t>
    </dgm:pt>
    <dgm:pt modelId="{70E6E9C3-0C34-49A1-BA97-5E85858E2F68}" type="sibTrans" cxnId="{10B3EEFE-579B-4C6B-8BA1-DEDD6E282A82}">
      <dgm:prSet/>
      <dgm:spPr/>
      <dgm:t>
        <a:bodyPr/>
        <a:lstStyle/>
        <a:p>
          <a:endParaRPr lang="en-AU"/>
        </a:p>
      </dgm:t>
    </dgm:pt>
    <dgm:pt modelId="{7F56066E-F964-4B95-8CEC-8134BE2AC928}">
      <dgm:prSet phldrT="[Text]" custT="1"/>
      <dgm:spPr/>
      <dgm:t>
        <a:bodyPr/>
        <a:lstStyle/>
        <a:p>
          <a:r>
            <a:rPr lang="en-SG" sz="900">
              <a:latin typeface="Calibri" pitchFamily="34" charset="0"/>
            </a:rPr>
            <a:t>Presentation of draft report</a:t>
          </a:r>
        </a:p>
      </dgm:t>
    </dgm:pt>
    <dgm:pt modelId="{30F2D660-F83C-4535-A4D6-9EE14D029362}" type="parTrans" cxnId="{B0569E06-6F72-4BD8-B174-0F1BB07D71D2}">
      <dgm:prSet/>
      <dgm:spPr/>
      <dgm:t>
        <a:bodyPr/>
        <a:lstStyle/>
        <a:p>
          <a:endParaRPr lang="en-AU"/>
        </a:p>
      </dgm:t>
    </dgm:pt>
    <dgm:pt modelId="{7DB0490C-72F8-4765-8FB1-1334D505769F}" type="sibTrans" cxnId="{B0569E06-6F72-4BD8-B174-0F1BB07D71D2}">
      <dgm:prSet/>
      <dgm:spPr/>
      <dgm:t>
        <a:bodyPr/>
        <a:lstStyle/>
        <a:p>
          <a:endParaRPr lang="en-AU"/>
        </a:p>
      </dgm:t>
    </dgm:pt>
    <dgm:pt modelId="{68BBCFCD-C362-4E3D-A834-DEA4A22DBC6B}">
      <dgm:prSet phldrT="[Text]" custT="1"/>
      <dgm:spPr/>
      <dgm:t>
        <a:bodyPr/>
        <a:lstStyle/>
        <a:p>
          <a:r>
            <a:rPr lang="en-SG" sz="900">
              <a:latin typeface="Calibri" pitchFamily="34" charset="0"/>
            </a:rPr>
            <a:t>Final report</a:t>
          </a:r>
        </a:p>
      </dgm:t>
    </dgm:pt>
    <dgm:pt modelId="{D2E5E3DD-D431-4C23-9690-08A0BE6D58BD}" type="parTrans" cxnId="{5D44FE13-26C0-4A74-9C71-FDF9F24D2AD1}">
      <dgm:prSet/>
      <dgm:spPr/>
      <dgm:t>
        <a:bodyPr/>
        <a:lstStyle/>
        <a:p>
          <a:endParaRPr lang="en-AU"/>
        </a:p>
      </dgm:t>
    </dgm:pt>
    <dgm:pt modelId="{7A715523-76C0-4E24-B800-A5DCD509617B}" type="sibTrans" cxnId="{5D44FE13-26C0-4A74-9C71-FDF9F24D2AD1}">
      <dgm:prSet/>
      <dgm:spPr/>
      <dgm:t>
        <a:bodyPr/>
        <a:lstStyle/>
        <a:p>
          <a:endParaRPr lang="en-AU"/>
        </a:p>
      </dgm:t>
    </dgm:pt>
    <dgm:pt modelId="{0CF3CE96-8BB4-4754-8285-5B1FEF7E1AAA}">
      <dgm:prSet phldrT="[Text]" custT="1"/>
      <dgm:spPr/>
      <dgm:t>
        <a:bodyPr/>
        <a:lstStyle/>
        <a:p>
          <a:r>
            <a:rPr lang="en-SG" sz="900">
              <a:latin typeface="Calibri" pitchFamily="34" charset="0"/>
            </a:rPr>
            <a:t>Draft report</a:t>
          </a:r>
        </a:p>
      </dgm:t>
    </dgm:pt>
    <dgm:pt modelId="{04978298-287E-4BFB-838F-28A8AEE051D7}" type="parTrans" cxnId="{A8AAB444-0CD6-45C7-A3A6-D57A147B4F37}">
      <dgm:prSet/>
      <dgm:spPr/>
      <dgm:t>
        <a:bodyPr/>
        <a:lstStyle/>
        <a:p>
          <a:endParaRPr lang="en-AU"/>
        </a:p>
      </dgm:t>
    </dgm:pt>
    <dgm:pt modelId="{A53D5A34-3160-44FE-BF6B-5EFE9D8A8BBC}" type="sibTrans" cxnId="{A8AAB444-0CD6-45C7-A3A6-D57A147B4F37}">
      <dgm:prSet/>
      <dgm:spPr/>
      <dgm:t>
        <a:bodyPr/>
        <a:lstStyle/>
        <a:p>
          <a:endParaRPr lang="en-AU"/>
        </a:p>
      </dgm:t>
    </dgm:pt>
    <dgm:pt modelId="{2757CA94-FB42-4CBF-A933-F3DBA8A32B85}">
      <dgm:prSet phldrT="[Text]" custT="1"/>
      <dgm:spPr/>
      <dgm:t>
        <a:bodyPr/>
        <a:lstStyle/>
        <a:p>
          <a:r>
            <a:rPr lang="en-SG" sz="900">
              <a:latin typeface="Calibri" pitchFamily="34" charset="0"/>
            </a:rPr>
            <a:t>Analyse available energy usage and ratings data</a:t>
          </a:r>
        </a:p>
      </dgm:t>
    </dgm:pt>
    <dgm:pt modelId="{ED58B8FB-8945-4656-90EF-8B7B2079D336}" type="parTrans" cxnId="{C5E86E2D-21D1-4A19-95ED-646B33D28C12}">
      <dgm:prSet/>
      <dgm:spPr/>
      <dgm:t>
        <a:bodyPr/>
        <a:lstStyle/>
        <a:p>
          <a:endParaRPr lang="en-AU"/>
        </a:p>
      </dgm:t>
    </dgm:pt>
    <dgm:pt modelId="{D874FBF6-718E-451E-8C2A-81FC766B9A39}" type="sibTrans" cxnId="{C5E86E2D-21D1-4A19-95ED-646B33D28C12}">
      <dgm:prSet/>
      <dgm:spPr/>
      <dgm:t>
        <a:bodyPr/>
        <a:lstStyle/>
        <a:p>
          <a:endParaRPr lang="en-AU"/>
        </a:p>
      </dgm:t>
    </dgm:pt>
    <dgm:pt modelId="{79BA7AAD-5A85-4C39-BDFD-7CD55E7CDF4A}">
      <dgm:prSet phldrT="[Text]" custT="1"/>
      <dgm:spPr/>
      <dgm:t>
        <a:bodyPr/>
        <a:lstStyle/>
        <a:p>
          <a:r>
            <a:rPr lang="en-SG" sz="900">
              <a:latin typeface="Calibri" pitchFamily="34" charset="0"/>
            </a:rPr>
            <a:t>Undertake targeted stakeholder consultations</a:t>
          </a:r>
        </a:p>
      </dgm:t>
    </dgm:pt>
    <dgm:pt modelId="{201A4632-2E76-44F1-8B83-1206CC694934}" type="parTrans" cxnId="{593C635D-948A-4DF4-9500-381FE21C16D0}">
      <dgm:prSet/>
      <dgm:spPr/>
      <dgm:t>
        <a:bodyPr/>
        <a:lstStyle/>
        <a:p>
          <a:endParaRPr lang="en-AU"/>
        </a:p>
      </dgm:t>
    </dgm:pt>
    <dgm:pt modelId="{07A3261A-C343-4162-9CE3-1E31EF82F516}" type="sibTrans" cxnId="{593C635D-948A-4DF4-9500-381FE21C16D0}">
      <dgm:prSet/>
      <dgm:spPr/>
      <dgm:t>
        <a:bodyPr/>
        <a:lstStyle/>
        <a:p>
          <a:endParaRPr lang="en-AU"/>
        </a:p>
      </dgm:t>
    </dgm:pt>
    <dgm:pt modelId="{F0CDDCB1-6F24-41A8-9E32-047D6FDF4B88}">
      <dgm:prSet custT="1"/>
      <dgm:spPr/>
      <dgm:t>
        <a:bodyPr/>
        <a:lstStyle/>
        <a:p>
          <a:r>
            <a:rPr lang="en-SG" sz="900">
              <a:latin typeface="Calibri" pitchFamily="34" charset="0"/>
            </a:rPr>
            <a:t>Analyse program role in context of other EE programs</a:t>
          </a:r>
        </a:p>
      </dgm:t>
    </dgm:pt>
    <dgm:pt modelId="{8FB2E272-90FD-48D1-B986-8BF88421C39E}" type="parTrans" cxnId="{DFDD1614-B1AF-4D63-9CBE-93EBC8AE3F48}">
      <dgm:prSet/>
      <dgm:spPr/>
      <dgm:t>
        <a:bodyPr/>
        <a:lstStyle/>
        <a:p>
          <a:endParaRPr lang="en-AU"/>
        </a:p>
      </dgm:t>
    </dgm:pt>
    <dgm:pt modelId="{B24C9018-3186-4FD0-9C1A-A9E292ACB3E2}" type="sibTrans" cxnId="{DFDD1614-B1AF-4D63-9CBE-93EBC8AE3F48}">
      <dgm:prSet/>
      <dgm:spPr/>
      <dgm:t>
        <a:bodyPr/>
        <a:lstStyle/>
        <a:p>
          <a:endParaRPr lang="en-AU"/>
        </a:p>
      </dgm:t>
    </dgm:pt>
    <dgm:pt modelId="{254DFF7B-C02B-47FC-80A3-F02DA35FC164}">
      <dgm:prSet custT="1"/>
      <dgm:spPr/>
      <dgm:t>
        <a:bodyPr/>
        <a:lstStyle/>
        <a:p>
          <a:r>
            <a:rPr lang="en-SG" sz="900">
              <a:latin typeface="Calibri" pitchFamily="34" charset="0"/>
            </a:rPr>
            <a:t>Undertake cost-benefit analysis</a:t>
          </a:r>
        </a:p>
      </dgm:t>
    </dgm:pt>
    <dgm:pt modelId="{6786390C-5ABB-4DF4-AD30-E981A989DAAA}" type="parTrans" cxnId="{366AF5F2-F981-4AA5-A3C6-2EAE7F01D5DE}">
      <dgm:prSet/>
      <dgm:spPr/>
      <dgm:t>
        <a:bodyPr/>
        <a:lstStyle/>
        <a:p>
          <a:endParaRPr lang="en-AU"/>
        </a:p>
      </dgm:t>
    </dgm:pt>
    <dgm:pt modelId="{F638CF9C-D7B1-483E-BAE3-03FBF7D736A8}" type="sibTrans" cxnId="{366AF5F2-F981-4AA5-A3C6-2EAE7F01D5DE}">
      <dgm:prSet/>
      <dgm:spPr/>
      <dgm:t>
        <a:bodyPr/>
        <a:lstStyle/>
        <a:p>
          <a:endParaRPr lang="en-AU"/>
        </a:p>
      </dgm:t>
    </dgm:pt>
    <dgm:pt modelId="{6C84141B-3543-4F5A-B11A-A1F5B745E45B}">
      <dgm:prSet custT="1"/>
      <dgm:spPr>
        <a:solidFill>
          <a:schemeClr val="tx2">
            <a:lumMod val="60000"/>
            <a:lumOff val="40000"/>
          </a:schemeClr>
        </a:solidFill>
      </dgm:spPr>
      <dgm:t>
        <a:bodyPr/>
        <a:lstStyle/>
        <a:p>
          <a:r>
            <a:rPr lang="en-SG" sz="900">
              <a:latin typeface="Calibri" pitchFamily="34" charset="0"/>
            </a:rPr>
            <a:t>Identify and develop future  CBD program options</a:t>
          </a:r>
        </a:p>
      </dgm:t>
    </dgm:pt>
    <dgm:pt modelId="{504D34FC-1483-4C45-8438-1A0DAB5AE922}" type="parTrans" cxnId="{8DF88F11-3FDD-450F-919B-8227BB3B2EEF}">
      <dgm:prSet/>
      <dgm:spPr/>
      <dgm:t>
        <a:bodyPr/>
        <a:lstStyle/>
        <a:p>
          <a:endParaRPr lang="en-AU"/>
        </a:p>
      </dgm:t>
    </dgm:pt>
    <dgm:pt modelId="{B7488F5E-19F0-4322-82BD-0F9966E7B88D}" type="sibTrans" cxnId="{8DF88F11-3FDD-450F-919B-8227BB3B2EEF}">
      <dgm:prSet/>
      <dgm:spPr/>
      <dgm:t>
        <a:bodyPr/>
        <a:lstStyle/>
        <a:p>
          <a:endParaRPr lang="en-AU"/>
        </a:p>
      </dgm:t>
    </dgm:pt>
    <dgm:pt modelId="{A51FC444-981B-4E9C-B3B4-8544831A31A5}">
      <dgm:prSet custT="1"/>
      <dgm:spPr>
        <a:solidFill>
          <a:schemeClr val="tx2">
            <a:lumMod val="60000"/>
            <a:lumOff val="40000"/>
          </a:schemeClr>
        </a:solidFill>
      </dgm:spPr>
      <dgm:t>
        <a:bodyPr/>
        <a:lstStyle/>
        <a:p>
          <a:r>
            <a:rPr lang="en-SG" sz="900">
              <a:latin typeface="Calibri" pitchFamily="34" charset="0"/>
            </a:rPr>
            <a:t>Model and analyse impacts of future options</a:t>
          </a:r>
        </a:p>
      </dgm:t>
    </dgm:pt>
    <dgm:pt modelId="{A46D9494-9626-4E71-B0F0-5B57B8B908C9}" type="parTrans" cxnId="{C8216990-8834-48A1-895B-700334730EFE}">
      <dgm:prSet/>
      <dgm:spPr/>
      <dgm:t>
        <a:bodyPr/>
        <a:lstStyle/>
        <a:p>
          <a:endParaRPr lang="en-AU"/>
        </a:p>
      </dgm:t>
    </dgm:pt>
    <dgm:pt modelId="{10C3F64F-4315-47A5-A9BB-1668C48AE0CE}" type="sibTrans" cxnId="{C8216990-8834-48A1-895B-700334730EFE}">
      <dgm:prSet/>
      <dgm:spPr/>
      <dgm:t>
        <a:bodyPr/>
        <a:lstStyle/>
        <a:p>
          <a:endParaRPr lang="en-AU"/>
        </a:p>
      </dgm:t>
    </dgm:pt>
    <dgm:pt modelId="{17CBB48F-D941-49E7-B76D-F5ABFCD2906C}">
      <dgm:prSet custT="1"/>
      <dgm:spPr>
        <a:solidFill>
          <a:schemeClr val="tx2">
            <a:lumMod val="60000"/>
            <a:lumOff val="40000"/>
          </a:schemeClr>
        </a:solidFill>
      </dgm:spPr>
      <dgm:t>
        <a:bodyPr/>
        <a:lstStyle/>
        <a:p>
          <a:r>
            <a:rPr lang="en-SG" sz="900">
              <a:latin typeface="Calibri" pitchFamily="34" charset="0"/>
            </a:rPr>
            <a:t>Develop recommendations</a:t>
          </a:r>
        </a:p>
      </dgm:t>
    </dgm:pt>
    <dgm:pt modelId="{C601B2B9-173E-40C0-A123-5F07E97D260D}" type="parTrans" cxnId="{24EE791A-F3A7-429E-91E2-7E7D2048D351}">
      <dgm:prSet/>
      <dgm:spPr/>
      <dgm:t>
        <a:bodyPr/>
        <a:lstStyle/>
        <a:p>
          <a:endParaRPr lang="en-AU"/>
        </a:p>
      </dgm:t>
    </dgm:pt>
    <dgm:pt modelId="{4C8D4E5C-8DCD-418C-998A-A941C524FE29}" type="sibTrans" cxnId="{24EE791A-F3A7-429E-91E2-7E7D2048D351}">
      <dgm:prSet/>
      <dgm:spPr/>
      <dgm:t>
        <a:bodyPr/>
        <a:lstStyle/>
        <a:p>
          <a:endParaRPr lang="en-AU"/>
        </a:p>
      </dgm:t>
    </dgm:pt>
    <dgm:pt modelId="{D86A9FCF-6512-4F64-B6CF-6F3CA37246DF}" type="pres">
      <dgm:prSet presAssocID="{A3D1F3DD-4F7E-44EB-AB78-BBC6819AD482}" presName="Name0" presStyleCnt="0">
        <dgm:presLayoutVars>
          <dgm:dir/>
          <dgm:resizeHandles val="exact"/>
        </dgm:presLayoutVars>
      </dgm:prSet>
      <dgm:spPr/>
      <dgm:t>
        <a:bodyPr/>
        <a:lstStyle/>
        <a:p>
          <a:endParaRPr lang="en-US"/>
        </a:p>
      </dgm:t>
    </dgm:pt>
    <dgm:pt modelId="{858DB530-8846-4A9B-9A50-BADCCF870BD2}" type="pres">
      <dgm:prSet presAssocID="{CE2D5AB6-8960-415D-9BAD-3742902A75E2}" presName="node" presStyleLbl="node1" presStyleIdx="0" presStyleCnt="5">
        <dgm:presLayoutVars>
          <dgm:bulletEnabled val="1"/>
        </dgm:presLayoutVars>
      </dgm:prSet>
      <dgm:spPr/>
      <dgm:t>
        <a:bodyPr/>
        <a:lstStyle/>
        <a:p>
          <a:endParaRPr lang="en-US"/>
        </a:p>
      </dgm:t>
    </dgm:pt>
    <dgm:pt modelId="{E7FE9512-ECB2-450F-8ADF-4AC5694F1EF5}" type="pres">
      <dgm:prSet presAssocID="{1E7C5DEC-2075-4F5F-B322-34FB9DEF82CE}" presName="sibTrans" presStyleCnt="0"/>
      <dgm:spPr/>
      <dgm:t>
        <a:bodyPr/>
        <a:lstStyle/>
        <a:p>
          <a:endParaRPr lang="en-AU"/>
        </a:p>
      </dgm:t>
    </dgm:pt>
    <dgm:pt modelId="{EB63BD5F-213E-4464-9B13-87747E184BAE}" type="pres">
      <dgm:prSet presAssocID="{8679632B-EDCC-4B2B-97CC-76EF33470F00}" presName="node" presStyleLbl="node1" presStyleIdx="1" presStyleCnt="5">
        <dgm:presLayoutVars>
          <dgm:bulletEnabled val="1"/>
        </dgm:presLayoutVars>
      </dgm:prSet>
      <dgm:spPr/>
      <dgm:t>
        <a:bodyPr/>
        <a:lstStyle/>
        <a:p>
          <a:endParaRPr lang="en-SG"/>
        </a:p>
      </dgm:t>
    </dgm:pt>
    <dgm:pt modelId="{5CD3A032-2083-408D-9BC8-D9B9BF587F33}" type="pres">
      <dgm:prSet presAssocID="{C5B25A65-200E-4F89-84DC-07D9D50E7BD7}" presName="sibTrans" presStyleCnt="0"/>
      <dgm:spPr/>
      <dgm:t>
        <a:bodyPr/>
        <a:lstStyle/>
        <a:p>
          <a:endParaRPr lang="en-AU"/>
        </a:p>
      </dgm:t>
    </dgm:pt>
    <dgm:pt modelId="{9097899C-79F3-4251-8BBD-1E285D0D42B1}" type="pres">
      <dgm:prSet presAssocID="{1412E976-2081-448D-B350-50FE1027E58E}" presName="node" presStyleLbl="node1" presStyleIdx="2" presStyleCnt="5" custLinFactNeighborX="-17342" custLinFactNeighborY="0">
        <dgm:presLayoutVars>
          <dgm:bulletEnabled val="1"/>
        </dgm:presLayoutVars>
      </dgm:prSet>
      <dgm:spPr/>
      <dgm:t>
        <a:bodyPr/>
        <a:lstStyle/>
        <a:p>
          <a:endParaRPr lang="en-US"/>
        </a:p>
      </dgm:t>
    </dgm:pt>
    <dgm:pt modelId="{A0D8D2FE-ED00-4599-ADBB-92F5D550A545}" type="pres">
      <dgm:prSet presAssocID="{1AF5DE67-4550-48C4-9EA4-61A5E609DE3B}" presName="sibTrans" presStyleCnt="0"/>
      <dgm:spPr/>
      <dgm:t>
        <a:bodyPr/>
        <a:lstStyle/>
        <a:p>
          <a:endParaRPr lang="en-AU"/>
        </a:p>
      </dgm:t>
    </dgm:pt>
    <dgm:pt modelId="{42C7376F-8D8E-456F-83CD-BBA71A9D25A9}" type="pres">
      <dgm:prSet presAssocID="{FD0004F5-09B7-4FB8-980F-A97367A4B7C3}" presName="node" presStyleLbl="node1" presStyleIdx="3" presStyleCnt="5">
        <dgm:presLayoutVars>
          <dgm:bulletEnabled val="1"/>
        </dgm:presLayoutVars>
      </dgm:prSet>
      <dgm:spPr/>
      <dgm:t>
        <a:bodyPr/>
        <a:lstStyle/>
        <a:p>
          <a:endParaRPr lang="en-US"/>
        </a:p>
      </dgm:t>
    </dgm:pt>
    <dgm:pt modelId="{B1E441FE-4C28-45AD-9B88-0EC3BCACBD68}" type="pres">
      <dgm:prSet presAssocID="{DCCDEBFC-05E5-4DD6-838D-6CFEC56E813F}" presName="sibTrans" presStyleCnt="0"/>
      <dgm:spPr/>
      <dgm:t>
        <a:bodyPr/>
        <a:lstStyle/>
        <a:p>
          <a:endParaRPr lang="en-AU"/>
        </a:p>
      </dgm:t>
    </dgm:pt>
    <dgm:pt modelId="{19A13C55-103C-435E-8F28-C43FF5BFE8D6}" type="pres">
      <dgm:prSet presAssocID="{943891F7-912B-4305-855F-430BFCC54BC0}" presName="node" presStyleLbl="node1" presStyleIdx="4" presStyleCnt="5">
        <dgm:presLayoutVars>
          <dgm:bulletEnabled val="1"/>
        </dgm:presLayoutVars>
      </dgm:prSet>
      <dgm:spPr/>
      <dgm:t>
        <a:bodyPr/>
        <a:lstStyle/>
        <a:p>
          <a:endParaRPr lang="en-SG"/>
        </a:p>
      </dgm:t>
    </dgm:pt>
  </dgm:ptLst>
  <dgm:cxnLst>
    <dgm:cxn modelId="{4FDB6EB8-D04D-4FF7-A4AB-8657E20FB60E}" type="presOf" srcId="{8679632B-EDCC-4B2B-97CC-76EF33470F00}" destId="{EB63BD5F-213E-4464-9B13-87747E184BAE}" srcOrd="0" destOrd="0" presId="urn:microsoft.com/office/officeart/2005/8/layout/hList6"/>
    <dgm:cxn modelId="{03BEB96A-274F-4661-A66B-FEE452E948B6}" srcId="{A3D1F3DD-4F7E-44EB-AB78-BBC6819AD482}" destId="{FD0004F5-09B7-4FB8-980F-A97367A4B7C3}" srcOrd="3" destOrd="0" parTransId="{0A4771C6-2B21-4E3F-98F4-86775DC6B465}" sibTransId="{DCCDEBFC-05E5-4DD6-838D-6CFEC56E813F}"/>
    <dgm:cxn modelId="{8A2308D3-4FFF-4AD6-A82E-9229686E484C}" type="presOf" srcId="{8ACB1EE8-D088-4BA7-AEEC-68BAC30D69DF}" destId="{EB63BD5F-213E-4464-9B13-87747E184BAE}" srcOrd="0" destOrd="4" presId="urn:microsoft.com/office/officeart/2005/8/layout/hList6"/>
    <dgm:cxn modelId="{B16D7164-E8F1-4290-8E6E-CF9FEC830DD0}" srcId="{943891F7-912B-4305-855F-430BFCC54BC0}" destId="{E340C2D3-4B12-4C55-978F-CBFDA4C03265}" srcOrd="0" destOrd="0" parTransId="{355F047C-9A7B-408E-9A8C-CD61BDC5F523}" sibTransId="{C6C6B17D-9F2A-41A4-9F3D-5A253B922587}"/>
    <dgm:cxn modelId="{24EE791A-F3A7-429E-91E2-7E7D2048D351}" srcId="{FD0004F5-09B7-4FB8-980F-A97367A4B7C3}" destId="{17CBB48F-D941-49E7-B76D-F5ABFCD2906C}" srcOrd="3" destOrd="0" parTransId="{C601B2B9-173E-40C0-A123-5F07E97D260D}" sibTransId="{4C8D4E5C-8DCD-418C-998A-A941C524FE29}"/>
    <dgm:cxn modelId="{0AACF24F-B193-449A-9A00-5AED4332F35A}" type="presOf" srcId="{6D168FFD-EB52-47E4-A8D6-4287C86B80C3}" destId="{9097899C-79F3-4251-8BBD-1E285D0D42B1}" srcOrd="0" destOrd="4" presId="urn:microsoft.com/office/officeart/2005/8/layout/hList6"/>
    <dgm:cxn modelId="{DFDD1614-B1AF-4D63-9CBE-93EBC8AE3F48}" srcId="{1412E976-2081-448D-B350-50FE1027E58E}" destId="{F0CDDCB1-6F24-41A8-9E32-047D6FDF4B88}" srcOrd="1" destOrd="0" parTransId="{8FB2E272-90FD-48D1-B986-8BF88421C39E}" sibTransId="{B24C9018-3186-4FD0-9C1A-A9E292ACB3E2}"/>
    <dgm:cxn modelId="{D5EB3E76-2DC0-4744-8B05-5C8062CF8C43}" type="presOf" srcId="{68BBCFCD-C362-4E3D-A834-DEA4A22DBC6B}" destId="{19A13C55-103C-435E-8F28-C43FF5BFE8D6}" srcOrd="0" destOrd="4" presId="urn:microsoft.com/office/officeart/2005/8/layout/hList6"/>
    <dgm:cxn modelId="{B0569E06-6F72-4BD8-B174-0F1BB07D71D2}" srcId="{943891F7-912B-4305-855F-430BFCC54BC0}" destId="{7F56066E-F964-4B95-8CEC-8134BE2AC928}" srcOrd="2" destOrd="0" parTransId="{30F2D660-F83C-4535-A4D6-9EE14D029362}" sibTransId="{7DB0490C-72F8-4765-8FB1-1334D505769F}"/>
    <dgm:cxn modelId="{E4DFB897-5E61-4AF5-BB35-BE87939F09F0}" type="presOf" srcId="{1412E976-2081-448D-B350-50FE1027E58E}" destId="{9097899C-79F3-4251-8BBD-1E285D0D42B1}" srcOrd="0" destOrd="0" presId="urn:microsoft.com/office/officeart/2005/8/layout/hList6"/>
    <dgm:cxn modelId="{92D77D0E-86F6-4B89-8CA2-DEF46F541EAB}" srcId="{FD0004F5-09B7-4FB8-980F-A97367A4B7C3}" destId="{3CE65866-5F23-40FF-9FDF-051FCBB7789D}" srcOrd="0" destOrd="0" parTransId="{8C4064BD-7AF0-4C49-91A7-20F4AF87235A}" sibTransId="{5C4CB321-8C01-4B4F-9512-F5A00411ACFB}"/>
    <dgm:cxn modelId="{0247C6C0-DF28-4829-8090-D7CCE0653BC5}" srcId="{A3D1F3DD-4F7E-44EB-AB78-BBC6819AD482}" destId="{943891F7-912B-4305-855F-430BFCC54BC0}" srcOrd="4" destOrd="0" parTransId="{4F156824-0A93-4124-9002-55EB8E264D58}" sibTransId="{9B226244-6A3B-404F-91FB-DA3A17AB8FD1}"/>
    <dgm:cxn modelId="{EBEB97CF-0007-45B2-A326-4291B3FEED36}" type="presOf" srcId="{6C84141B-3543-4F5A-B11A-A1F5B745E45B}" destId="{42C7376F-8D8E-456F-83CD-BBA71A9D25A9}" srcOrd="0" destOrd="2" presId="urn:microsoft.com/office/officeart/2005/8/layout/hList6"/>
    <dgm:cxn modelId="{461F1096-86CA-488F-90C7-BA84EF19AB50}" type="presOf" srcId="{F42EB687-A564-4701-83E1-1965C0BD1106}" destId="{EB63BD5F-213E-4464-9B13-87747E184BAE}" srcOrd="0" destOrd="5" presId="urn:microsoft.com/office/officeart/2005/8/layout/hList6"/>
    <dgm:cxn modelId="{F301543F-911B-4FD5-9C37-71188F16E051}" type="presOf" srcId="{D1DCC84F-E05D-4E3B-951A-A33AEABCEBF6}" destId="{EB63BD5F-213E-4464-9B13-87747E184BAE}" srcOrd="0" destOrd="1" presId="urn:microsoft.com/office/officeart/2005/8/layout/hList6"/>
    <dgm:cxn modelId="{4773B69E-4B99-46AE-B984-45AFB021AB6D}" type="presOf" srcId="{FD0004F5-09B7-4FB8-980F-A97367A4B7C3}" destId="{42C7376F-8D8E-456F-83CD-BBA71A9D25A9}" srcOrd="0" destOrd="0" presId="urn:microsoft.com/office/officeart/2005/8/layout/hList6"/>
    <dgm:cxn modelId="{940DE47F-D5A1-49ED-B6DB-D70A9974F679}" type="presOf" srcId="{A51FC444-981B-4E9C-B3B4-8544831A31A5}" destId="{42C7376F-8D8E-456F-83CD-BBA71A9D25A9}" srcOrd="0" destOrd="3" presId="urn:microsoft.com/office/officeart/2005/8/layout/hList6"/>
    <dgm:cxn modelId="{9B3C8D80-A5D4-47DD-9E61-01E9D666D6EA}" type="presOf" srcId="{7F56066E-F964-4B95-8CEC-8134BE2AC928}" destId="{19A13C55-103C-435E-8F28-C43FF5BFE8D6}" srcOrd="0" destOrd="3" presId="urn:microsoft.com/office/officeart/2005/8/layout/hList6"/>
    <dgm:cxn modelId="{10B3EEFE-579B-4C6B-8BA1-DEDD6E282A82}" srcId="{CE2D5AB6-8960-415D-9BAD-3742902A75E2}" destId="{D35DB971-B36E-4AB4-BE03-F5894614F534}" srcOrd="1" destOrd="0" parTransId="{60C34C1F-0F1B-4483-B3CB-437C9CF8C34B}" sibTransId="{70E6E9C3-0C34-49A1-BA97-5E85858E2F68}"/>
    <dgm:cxn modelId="{AE4EC7F2-0FC3-488F-A1E9-5EC3A282DE57}" type="presOf" srcId="{CE2D5AB6-8960-415D-9BAD-3742902A75E2}" destId="{858DB530-8846-4A9B-9A50-BADCCF870BD2}" srcOrd="0" destOrd="0" presId="urn:microsoft.com/office/officeart/2005/8/layout/hList6"/>
    <dgm:cxn modelId="{366AF5F2-F981-4AA5-A3C6-2EAE7F01D5DE}" srcId="{1412E976-2081-448D-B350-50FE1027E58E}" destId="{254DFF7B-C02B-47FC-80A3-F02DA35FC164}" srcOrd="2" destOrd="0" parTransId="{6786390C-5ABB-4DF4-AD30-E981A989DAAA}" sibTransId="{F638CF9C-D7B1-483E-BAE3-03FBF7D736A8}"/>
    <dgm:cxn modelId="{C8216990-8834-48A1-895B-700334730EFE}" srcId="{FD0004F5-09B7-4FB8-980F-A97367A4B7C3}" destId="{A51FC444-981B-4E9C-B3B4-8544831A31A5}" srcOrd="2" destOrd="0" parTransId="{A46D9494-9626-4E71-B0F0-5B57B8B908C9}" sibTransId="{10C3F64F-4315-47A5-A9BB-1668C48AE0CE}"/>
    <dgm:cxn modelId="{A8AAB444-0CD6-45C7-A3A6-D57A147B4F37}" srcId="{943891F7-912B-4305-855F-430BFCC54BC0}" destId="{0CF3CE96-8BB4-4754-8285-5B1FEF7E1AAA}" srcOrd="1" destOrd="0" parTransId="{04978298-287E-4BFB-838F-28A8AEE051D7}" sibTransId="{A53D5A34-3160-44FE-BF6B-5EFE9D8A8BBC}"/>
    <dgm:cxn modelId="{A1A8F29E-66D4-475A-AF74-D3BAF894B93B}" type="presOf" srcId="{F0CDDCB1-6F24-41A8-9E32-047D6FDF4B88}" destId="{9097899C-79F3-4251-8BBD-1E285D0D42B1}" srcOrd="0" destOrd="2" presId="urn:microsoft.com/office/officeart/2005/8/layout/hList6"/>
    <dgm:cxn modelId="{B584ADE3-392A-472F-94F6-9580BEF8BA11}" type="presOf" srcId="{D35DB971-B36E-4AB4-BE03-F5894614F534}" destId="{858DB530-8846-4A9B-9A50-BADCCF870BD2}" srcOrd="0" destOrd="2" presId="urn:microsoft.com/office/officeart/2005/8/layout/hList6"/>
    <dgm:cxn modelId="{9333D59F-9A15-4109-B660-90B200EDE1C5}" srcId="{FD0004F5-09B7-4FB8-980F-A97367A4B7C3}" destId="{A2A9CE2D-9134-43E2-AA66-83940C71C9BE}" srcOrd="4" destOrd="0" parTransId="{CDFDD0B4-D4FE-465C-9FD1-F1070A70B5A8}" sibTransId="{AEDF4753-A126-41B9-AB2B-3B6F5EC7A8AA}"/>
    <dgm:cxn modelId="{DA98C9E6-DC17-4059-B9B9-66929B424107}" type="presOf" srcId="{254DFF7B-C02B-47FC-80A3-F02DA35FC164}" destId="{9097899C-79F3-4251-8BBD-1E285D0D42B1}" srcOrd="0" destOrd="3" presId="urn:microsoft.com/office/officeart/2005/8/layout/hList6"/>
    <dgm:cxn modelId="{593C635D-948A-4DF4-9500-381FE21C16D0}" srcId="{8679632B-EDCC-4B2B-97CC-76EF33470F00}" destId="{79BA7AAD-5A85-4C39-BDFD-7CD55E7CDF4A}" srcOrd="2" destOrd="0" parTransId="{201A4632-2E76-44F1-8B83-1206CC694934}" sibTransId="{07A3261A-C343-4162-9CE3-1E31EF82F516}"/>
    <dgm:cxn modelId="{8DF88F11-3FDD-450F-919B-8227BB3B2EEF}" srcId="{FD0004F5-09B7-4FB8-980F-A97367A4B7C3}" destId="{6C84141B-3543-4F5A-B11A-A1F5B745E45B}" srcOrd="1" destOrd="0" parTransId="{504D34FC-1483-4C45-8438-1A0DAB5AE922}" sibTransId="{B7488F5E-19F0-4322-82BD-0F9966E7B88D}"/>
    <dgm:cxn modelId="{D7C62DA2-E36A-4E31-8205-7F0FBF678AE0}" type="presOf" srcId="{2757CA94-FB42-4CBF-A933-F3DBA8A32B85}" destId="{EB63BD5F-213E-4464-9B13-87747E184BAE}" srcOrd="0" destOrd="2" presId="urn:microsoft.com/office/officeart/2005/8/layout/hList6"/>
    <dgm:cxn modelId="{4ABA96F1-9417-4DAB-A1EC-34A6C19F1EDD}" type="presOf" srcId="{3CE65866-5F23-40FF-9FDF-051FCBB7789D}" destId="{42C7376F-8D8E-456F-83CD-BBA71A9D25A9}" srcOrd="0" destOrd="1" presId="urn:microsoft.com/office/officeart/2005/8/layout/hList6"/>
    <dgm:cxn modelId="{4C75E1A2-A5F0-45A9-8F62-2CFDF9C9A321}" srcId="{A3D1F3DD-4F7E-44EB-AB78-BBC6819AD482}" destId="{8679632B-EDCC-4B2B-97CC-76EF33470F00}" srcOrd="1" destOrd="0" parTransId="{386F081B-234A-46C8-88EF-2068FC6DC7DA}" sibTransId="{C5B25A65-200E-4F89-84DC-07D9D50E7BD7}"/>
    <dgm:cxn modelId="{A4433B92-B80A-48B0-A9C9-E0FBBDA3A8E8}" srcId="{CE2D5AB6-8960-415D-9BAD-3742902A75E2}" destId="{86B0DA21-4615-40C1-83D4-BAA6048177C0}" srcOrd="0" destOrd="0" parTransId="{20945CC4-2674-421B-8782-7D1EA4E51702}" sibTransId="{B98DF01E-0DFC-4CF5-AAF7-77B005445888}"/>
    <dgm:cxn modelId="{B6186C26-C90F-430E-88C2-66C1C8D96E80}" type="presOf" srcId="{943891F7-912B-4305-855F-430BFCC54BC0}" destId="{19A13C55-103C-435E-8F28-C43FF5BFE8D6}" srcOrd="0" destOrd="0" presId="urn:microsoft.com/office/officeart/2005/8/layout/hList6"/>
    <dgm:cxn modelId="{8B936579-C3A1-4504-A2CF-0A7537CE6290}" srcId="{A3D1F3DD-4F7E-44EB-AB78-BBC6819AD482}" destId="{CE2D5AB6-8960-415D-9BAD-3742902A75E2}" srcOrd="0" destOrd="0" parTransId="{EE2B5C2C-52BB-44D3-905C-144FC9954CEB}" sibTransId="{1E7C5DEC-2075-4F5F-B322-34FB9DEF82CE}"/>
    <dgm:cxn modelId="{91E4DD35-D60A-4BEB-ADE3-614D37251B71}" type="presOf" srcId="{A2A9CE2D-9134-43E2-AA66-83940C71C9BE}" destId="{42C7376F-8D8E-456F-83CD-BBA71A9D25A9}" srcOrd="0" destOrd="5" presId="urn:microsoft.com/office/officeart/2005/8/layout/hList6"/>
    <dgm:cxn modelId="{1588D57F-C34D-4BED-8D67-009B8418C71B}" srcId="{1412E976-2081-448D-B350-50FE1027E58E}" destId="{6D168FFD-EB52-47E4-A8D6-4287C86B80C3}" srcOrd="3" destOrd="0" parTransId="{DD03C4D8-B548-425D-9E5C-72F3380A596E}" sibTransId="{B1881DA6-1C87-4608-956D-123EB3D7F5BC}"/>
    <dgm:cxn modelId="{DDBE1756-FF6E-4F8C-A5FF-F635F57939AE}" srcId="{8679632B-EDCC-4B2B-97CC-76EF33470F00}" destId="{8ACB1EE8-D088-4BA7-AEEC-68BAC30D69DF}" srcOrd="3" destOrd="0" parTransId="{CE5D34EC-4455-4EE8-8196-B68E5FC1364C}" sibTransId="{C7F90A29-0704-4B00-A455-E8EB08EED8A1}"/>
    <dgm:cxn modelId="{2B82311D-A430-4A32-967B-8A60592DA8F9}" type="presOf" srcId="{E340C2D3-4B12-4C55-978F-CBFDA4C03265}" destId="{19A13C55-103C-435E-8F28-C43FF5BFE8D6}" srcOrd="0" destOrd="1" presId="urn:microsoft.com/office/officeart/2005/8/layout/hList6"/>
    <dgm:cxn modelId="{49C28299-EEE0-4BC3-AA79-C9C97C8C35D1}" type="presOf" srcId="{79BA7AAD-5A85-4C39-BDFD-7CD55E7CDF4A}" destId="{EB63BD5F-213E-4464-9B13-87747E184BAE}" srcOrd="0" destOrd="3" presId="urn:microsoft.com/office/officeart/2005/8/layout/hList6"/>
    <dgm:cxn modelId="{BA3B121F-E3E3-4007-A6D0-D58F82D7DA91}" srcId="{8679632B-EDCC-4B2B-97CC-76EF33470F00}" destId="{F42EB687-A564-4701-83E1-1965C0BD1106}" srcOrd="4" destOrd="0" parTransId="{C969A193-26C4-4171-B95C-974021427C42}" sibTransId="{F7989F3E-A106-492A-8AC5-46C2D896EE48}"/>
    <dgm:cxn modelId="{BE9BD505-FF93-4B10-8A65-58953C4FD046}" type="presOf" srcId="{86B0DA21-4615-40C1-83D4-BAA6048177C0}" destId="{858DB530-8846-4A9B-9A50-BADCCF870BD2}" srcOrd="0" destOrd="1" presId="urn:microsoft.com/office/officeart/2005/8/layout/hList6"/>
    <dgm:cxn modelId="{58536CD8-7FA2-4EB2-AA63-47B8A4F514D1}" type="presOf" srcId="{A3D1F3DD-4F7E-44EB-AB78-BBC6819AD482}" destId="{D86A9FCF-6512-4F64-B6CF-6F3CA37246DF}" srcOrd="0" destOrd="0" presId="urn:microsoft.com/office/officeart/2005/8/layout/hList6"/>
    <dgm:cxn modelId="{641708EE-00D3-47DE-A81A-9C94BDC8FD86}" srcId="{A3D1F3DD-4F7E-44EB-AB78-BBC6819AD482}" destId="{1412E976-2081-448D-B350-50FE1027E58E}" srcOrd="2" destOrd="0" parTransId="{A008C1F7-F371-4D43-A453-2D055B5681A2}" sibTransId="{1AF5DE67-4550-48C4-9EA4-61A5E609DE3B}"/>
    <dgm:cxn modelId="{8E004812-42FE-4799-A5E7-1923CA467424}" type="presOf" srcId="{17CBB48F-D941-49E7-B76D-F5ABFCD2906C}" destId="{42C7376F-8D8E-456F-83CD-BBA71A9D25A9}" srcOrd="0" destOrd="4" presId="urn:microsoft.com/office/officeart/2005/8/layout/hList6"/>
    <dgm:cxn modelId="{48AC201E-0185-4109-AEAC-F8151F7444B0}" srcId="{8679632B-EDCC-4B2B-97CC-76EF33470F00}" destId="{D1DCC84F-E05D-4E3B-951A-A33AEABCEBF6}" srcOrd="0" destOrd="0" parTransId="{181E3B63-6472-442A-BD7A-61A872A02845}" sibTransId="{BC6A419F-E38A-4598-9E13-750B0CD95D33}"/>
    <dgm:cxn modelId="{33B48097-E513-44AF-9F48-7D8F37D1F62D}" type="presOf" srcId="{0CF3CE96-8BB4-4754-8285-5B1FEF7E1AAA}" destId="{19A13C55-103C-435E-8F28-C43FF5BFE8D6}" srcOrd="0" destOrd="2" presId="urn:microsoft.com/office/officeart/2005/8/layout/hList6"/>
    <dgm:cxn modelId="{FAC80A55-2CD2-4958-82AC-7A44CB0DFF0C}" srcId="{1412E976-2081-448D-B350-50FE1027E58E}" destId="{286B6E43-CF8C-4B3B-802D-DA8C7E335DD1}" srcOrd="0" destOrd="0" parTransId="{09A0C0CD-E335-4C3D-8308-DC23026F29BC}" sibTransId="{5A88ACF0-D735-453C-90F1-5F935534C32F}"/>
    <dgm:cxn modelId="{5D44FE13-26C0-4A74-9C71-FDF9F24D2AD1}" srcId="{943891F7-912B-4305-855F-430BFCC54BC0}" destId="{68BBCFCD-C362-4E3D-A834-DEA4A22DBC6B}" srcOrd="3" destOrd="0" parTransId="{D2E5E3DD-D431-4C23-9690-08A0BE6D58BD}" sibTransId="{7A715523-76C0-4E24-B800-A5DCD509617B}"/>
    <dgm:cxn modelId="{C5E86E2D-21D1-4A19-95ED-646B33D28C12}" srcId="{8679632B-EDCC-4B2B-97CC-76EF33470F00}" destId="{2757CA94-FB42-4CBF-A933-F3DBA8A32B85}" srcOrd="1" destOrd="0" parTransId="{ED58B8FB-8945-4656-90EF-8B7B2079D336}" sibTransId="{D874FBF6-718E-451E-8C2A-81FC766B9A39}"/>
    <dgm:cxn modelId="{1C505014-85EF-4B12-AE17-341FB266A4AE}" type="presOf" srcId="{286B6E43-CF8C-4B3B-802D-DA8C7E335DD1}" destId="{9097899C-79F3-4251-8BBD-1E285D0D42B1}" srcOrd="0" destOrd="1" presId="urn:microsoft.com/office/officeart/2005/8/layout/hList6"/>
    <dgm:cxn modelId="{79BA3FCA-357A-4327-B596-5A27CCFD93D3}" type="presParOf" srcId="{D86A9FCF-6512-4F64-B6CF-6F3CA37246DF}" destId="{858DB530-8846-4A9B-9A50-BADCCF870BD2}" srcOrd="0" destOrd="0" presId="urn:microsoft.com/office/officeart/2005/8/layout/hList6"/>
    <dgm:cxn modelId="{A3D99539-2243-41A5-BFE7-8AC9E9EF13EA}" type="presParOf" srcId="{D86A9FCF-6512-4F64-B6CF-6F3CA37246DF}" destId="{E7FE9512-ECB2-450F-8ADF-4AC5694F1EF5}" srcOrd="1" destOrd="0" presId="urn:microsoft.com/office/officeart/2005/8/layout/hList6"/>
    <dgm:cxn modelId="{79994D18-009A-4177-8C08-AFB8068AD565}" type="presParOf" srcId="{D86A9FCF-6512-4F64-B6CF-6F3CA37246DF}" destId="{EB63BD5F-213E-4464-9B13-87747E184BAE}" srcOrd="2" destOrd="0" presId="urn:microsoft.com/office/officeart/2005/8/layout/hList6"/>
    <dgm:cxn modelId="{EF33B89F-6C28-4754-A32B-27400308EB13}" type="presParOf" srcId="{D86A9FCF-6512-4F64-B6CF-6F3CA37246DF}" destId="{5CD3A032-2083-408D-9BC8-D9B9BF587F33}" srcOrd="3" destOrd="0" presId="urn:microsoft.com/office/officeart/2005/8/layout/hList6"/>
    <dgm:cxn modelId="{D9F5DC2B-4BF3-460D-A366-38C795647CA5}" type="presParOf" srcId="{D86A9FCF-6512-4F64-B6CF-6F3CA37246DF}" destId="{9097899C-79F3-4251-8BBD-1E285D0D42B1}" srcOrd="4" destOrd="0" presId="urn:microsoft.com/office/officeart/2005/8/layout/hList6"/>
    <dgm:cxn modelId="{5E8FB8CC-D392-45A3-9C5C-A59A1DD594E0}" type="presParOf" srcId="{D86A9FCF-6512-4F64-B6CF-6F3CA37246DF}" destId="{A0D8D2FE-ED00-4599-ADBB-92F5D550A545}" srcOrd="5" destOrd="0" presId="urn:microsoft.com/office/officeart/2005/8/layout/hList6"/>
    <dgm:cxn modelId="{059B7245-BDF8-4E1C-8A40-414BCFB2DB28}" type="presParOf" srcId="{D86A9FCF-6512-4F64-B6CF-6F3CA37246DF}" destId="{42C7376F-8D8E-456F-83CD-BBA71A9D25A9}" srcOrd="6" destOrd="0" presId="urn:microsoft.com/office/officeart/2005/8/layout/hList6"/>
    <dgm:cxn modelId="{0A77EC55-63B4-41C4-8417-BECD5103EB59}" type="presParOf" srcId="{D86A9FCF-6512-4F64-B6CF-6F3CA37246DF}" destId="{B1E441FE-4C28-45AD-9B88-0EC3BCACBD68}" srcOrd="7" destOrd="0" presId="urn:microsoft.com/office/officeart/2005/8/layout/hList6"/>
    <dgm:cxn modelId="{88EF9C7E-8205-4BA8-AE75-ADFB72241117}" type="presParOf" srcId="{D86A9FCF-6512-4F64-B6CF-6F3CA37246DF}" destId="{19A13C55-103C-435E-8F28-C43FF5BFE8D6}" srcOrd="8" destOrd="0" presId="urn:microsoft.com/office/officeart/2005/8/layout/hList6"/>
  </dgm:cxnLst>
  <dgm:bg>
    <a:gradFill flip="none" rotWithShape="1">
      <a:gsLst>
        <a:gs pos="0">
          <a:schemeClr val="bg1">
            <a:lumMod val="75000"/>
          </a:schemeClr>
        </a:gs>
        <a:gs pos="50000">
          <a:schemeClr val="accent6">
            <a:lumMod val="40000"/>
            <a:lumOff val="60000"/>
          </a:schemeClr>
        </a:gs>
        <a:gs pos="100000">
          <a:schemeClr val="bg1">
            <a:lumMod val="95000"/>
          </a:schemeClr>
        </a:gs>
      </a:gsLst>
      <a:lin ang="5400000" scaled="0"/>
      <a:tileRect/>
    </a:grad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8DB530-8846-4A9B-9A50-BADCCF870BD2}">
      <dsp:nvSpPr>
        <dsp:cNvPr id="0" name=""/>
        <dsp:cNvSpPr/>
      </dsp:nvSpPr>
      <dsp:spPr>
        <a:xfrm rot="16200000">
          <a:off x="-1250892" y="1254249"/>
          <a:ext cx="3686174" cy="1177676"/>
        </a:xfrm>
        <a:prstGeom prst="flowChartManualOperation">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0" tIns="0" rIns="66675" bIns="0" numCol="1" spcCol="1270" anchor="t" anchorCtr="0">
          <a:noAutofit/>
        </a:bodyPr>
        <a:lstStyle/>
        <a:p>
          <a:pPr lvl="0" algn="l" defTabSz="466725">
            <a:lnSpc>
              <a:spcPct val="90000"/>
            </a:lnSpc>
            <a:spcBef>
              <a:spcPct val="0"/>
            </a:spcBef>
            <a:spcAft>
              <a:spcPct val="35000"/>
            </a:spcAft>
          </a:pPr>
          <a:r>
            <a:rPr lang="en-SG" sz="1050" b="1" kern="1200">
              <a:latin typeface="Calibri" pitchFamily="34" charset="0"/>
            </a:rPr>
            <a:t>Step 1: Project inception</a:t>
          </a:r>
        </a:p>
        <a:p>
          <a:pPr marL="57150" lvl="1" indent="-57150" algn="l" defTabSz="400050">
            <a:lnSpc>
              <a:spcPct val="90000"/>
            </a:lnSpc>
            <a:spcBef>
              <a:spcPct val="0"/>
            </a:spcBef>
            <a:spcAft>
              <a:spcPct val="15000"/>
            </a:spcAft>
            <a:buChar char="••"/>
          </a:pPr>
          <a:r>
            <a:rPr lang="en-SG" sz="900" kern="1200">
              <a:latin typeface="Calibri" pitchFamily="34" charset="0"/>
            </a:rPr>
            <a:t>Inception meeting</a:t>
          </a:r>
        </a:p>
        <a:p>
          <a:pPr marL="57150" lvl="1" indent="-57150" algn="l" defTabSz="400050">
            <a:lnSpc>
              <a:spcPct val="90000"/>
            </a:lnSpc>
            <a:spcBef>
              <a:spcPct val="0"/>
            </a:spcBef>
            <a:spcAft>
              <a:spcPct val="15000"/>
            </a:spcAft>
            <a:buChar char="••"/>
          </a:pPr>
          <a:r>
            <a:rPr lang="en-SG" sz="900" kern="1200">
              <a:latin typeface="Calibri" pitchFamily="34" charset="0"/>
            </a:rPr>
            <a:t>Prepare and submit detailed project work plan</a:t>
          </a:r>
        </a:p>
      </dsp:txBody>
      <dsp:txXfrm rot="5400000">
        <a:off x="3357" y="737235"/>
        <a:ext cx="1177676" cy="2211704"/>
      </dsp:txXfrm>
    </dsp:sp>
    <dsp:sp modelId="{EB63BD5F-213E-4464-9B13-87747E184BAE}">
      <dsp:nvSpPr>
        <dsp:cNvPr id="0" name=""/>
        <dsp:cNvSpPr/>
      </dsp:nvSpPr>
      <dsp:spPr>
        <a:xfrm rot="16200000">
          <a:off x="15109" y="1254249"/>
          <a:ext cx="3686174" cy="1177676"/>
        </a:xfrm>
        <a:prstGeom prst="flowChartManualOperation">
          <a:avLst/>
        </a:prstGeom>
        <a:gradFill rotWithShape="0">
          <a:gsLst>
            <a:gs pos="0">
              <a:schemeClr val="accent1">
                <a:shade val="50000"/>
                <a:hueOff val="-67519"/>
                <a:satOff val="-4135"/>
                <a:lumOff val="17068"/>
                <a:alphaOff val="0"/>
                <a:shade val="51000"/>
                <a:satMod val="130000"/>
              </a:schemeClr>
            </a:gs>
            <a:gs pos="80000">
              <a:schemeClr val="accent1">
                <a:shade val="50000"/>
                <a:hueOff val="-67519"/>
                <a:satOff val="-4135"/>
                <a:lumOff val="17068"/>
                <a:alphaOff val="0"/>
                <a:shade val="93000"/>
                <a:satMod val="130000"/>
              </a:schemeClr>
            </a:gs>
            <a:gs pos="100000">
              <a:schemeClr val="accent1">
                <a:shade val="50000"/>
                <a:hueOff val="-67519"/>
                <a:satOff val="-4135"/>
                <a:lumOff val="1706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0" tIns="0" rIns="66675" bIns="0" numCol="1" spcCol="1270" anchor="t" anchorCtr="0">
          <a:noAutofit/>
        </a:bodyPr>
        <a:lstStyle/>
        <a:p>
          <a:pPr lvl="0" algn="l" defTabSz="466725">
            <a:lnSpc>
              <a:spcPct val="90000"/>
            </a:lnSpc>
            <a:spcBef>
              <a:spcPct val="0"/>
            </a:spcBef>
            <a:spcAft>
              <a:spcPct val="35000"/>
            </a:spcAft>
          </a:pPr>
          <a:r>
            <a:rPr lang="en-SG" sz="1050" b="1" kern="1200">
              <a:latin typeface="Calibri" pitchFamily="34" charset="0"/>
            </a:rPr>
            <a:t>Step 2: Analyse existing data &amp; information</a:t>
          </a:r>
        </a:p>
        <a:p>
          <a:pPr marL="57150" lvl="1" indent="-57150" algn="l" defTabSz="400050">
            <a:lnSpc>
              <a:spcPct val="90000"/>
            </a:lnSpc>
            <a:spcBef>
              <a:spcPct val="0"/>
            </a:spcBef>
            <a:spcAft>
              <a:spcPct val="15000"/>
            </a:spcAft>
            <a:buChar char="••"/>
          </a:pPr>
          <a:r>
            <a:rPr lang="en-SG" sz="900" kern="1200">
              <a:latin typeface="Calibri" pitchFamily="34" charset="0"/>
            </a:rPr>
            <a:t>Literature review</a:t>
          </a:r>
        </a:p>
        <a:p>
          <a:pPr marL="57150" lvl="1" indent="-57150" algn="l" defTabSz="400050">
            <a:lnSpc>
              <a:spcPct val="90000"/>
            </a:lnSpc>
            <a:spcBef>
              <a:spcPct val="0"/>
            </a:spcBef>
            <a:spcAft>
              <a:spcPct val="15000"/>
            </a:spcAft>
            <a:buChar char="••"/>
          </a:pPr>
          <a:r>
            <a:rPr lang="en-SG" sz="900" kern="1200">
              <a:latin typeface="Calibri" pitchFamily="34" charset="0"/>
            </a:rPr>
            <a:t>Analyse available energy usage and ratings data</a:t>
          </a:r>
        </a:p>
        <a:p>
          <a:pPr marL="57150" lvl="1" indent="-57150" algn="l" defTabSz="400050">
            <a:lnSpc>
              <a:spcPct val="90000"/>
            </a:lnSpc>
            <a:spcBef>
              <a:spcPct val="0"/>
            </a:spcBef>
            <a:spcAft>
              <a:spcPct val="15000"/>
            </a:spcAft>
            <a:buChar char="••"/>
          </a:pPr>
          <a:r>
            <a:rPr lang="en-SG" sz="900" kern="1200">
              <a:latin typeface="Calibri" pitchFamily="34" charset="0"/>
            </a:rPr>
            <a:t>Undertake targeted stakeholder consultations</a:t>
          </a:r>
        </a:p>
        <a:p>
          <a:pPr marL="57150" lvl="1" indent="-57150" algn="l" defTabSz="444500">
            <a:lnSpc>
              <a:spcPct val="90000"/>
            </a:lnSpc>
            <a:spcBef>
              <a:spcPct val="0"/>
            </a:spcBef>
            <a:spcAft>
              <a:spcPct val="15000"/>
            </a:spcAft>
            <a:buChar char="••"/>
          </a:pPr>
          <a:endParaRPr lang="en-SG" sz="1000" kern="1200">
            <a:latin typeface="Calibri" pitchFamily="34" charset="0"/>
          </a:endParaRPr>
        </a:p>
        <a:p>
          <a:pPr marL="57150" lvl="1" indent="-57150" algn="l" defTabSz="444500">
            <a:lnSpc>
              <a:spcPct val="90000"/>
            </a:lnSpc>
            <a:spcBef>
              <a:spcPct val="0"/>
            </a:spcBef>
            <a:spcAft>
              <a:spcPct val="15000"/>
            </a:spcAft>
            <a:buChar char="••"/>
          </a:pPr>
          <a:endParaRPr lang="en-SG" sz="1000" kern="1200">
            <a:latin typeface="Calibri" pitchFamily="34" charset="0"/>
          </a:endParaRPr>
        </a:p>
      </dsp:txBody>
      <dsp:txXfrm rot="5400000">
        <a:off x="1269358" y="737235"/>
        <a:ext cx="1177676" cy="2211704"/>
      </dsp:txXfrm>
    </dsp:sp>
    <dsp:sp modelId="{9097899C-79F3-4251-8BBD-1E285D0D42B1}">
      <dsp:nvSpPr>
        <dsp:cNvPr id="0" name=""/>
        <dsp:cNvSpPr/>
      </dsp:nvSpPr>
      <dsp:spPr>
        <a:xfrm rot="16200000">
          <a:off x="1265795" y="1254249"/>
          <a:ext cx="3686174" cy="1177676"/>
        </a:xfrm>
        <a:prstGeom prst="flowChartManualOperation">
          <a:avLst/>
        </a:prstGeom>
        <a:gradFill rotWithShape="0">
          <a:gsLst>
            <a:gs pos="0">
              <a:schemeClr val="accent1">
                <a:shade val="50000"/>
                <a:hueOff val="-135038"/>
                <a:satOff val="-8270"/>
                <a:lumOff val="34135"/>
                <a:alphaOff val="0"/>
                <a:shade val="51000"/>
                <a:satMod val="130000"/>
              </a:schemeClr>
            </a:gs>
            <a:gs pos="80000">
              <a:schemeClr val="accent1">
                <a:shade val="50000"/>
                <a:hueOff val="-135038"/>
                <a:satOff val="-8270"/>
                <a:lumOff val="34135"/>
                <a:alphaOff val="0"/>
                <a:shade val="93000"/>
                <a:satMod val="130000"/>
              </a:schemeClr>
            </a:gs>
            <a:gs pos="100000">
              <a:schemeClr val="accent1">
                <a:shade val="50000"/>
                <a:hueOff val="-135038"/>
                <a:satOff val="-8270"/>
                <a:lumOff val="3413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0" tIns="0" rIns="66675" bIns="0" numCol="1" spcCol="1270" anchor="t" anchorCtr="0">
          <a:noAutofit/>
        </a:bodyPr>
        <a:lstStyle/>
        <a:p>
          <a:pPr lvl="0" algn="l" defTabSz="466725">
            <a:lnSpc>
              <a:spcPct val="90000"/>
            </a:lnSpc>
            <a:spcBef>
              <a:spcPct val="0"/>
            </a:spcBef>
            <a:spcAft>
              <a:spcPct val="35000"/>
            </a:spcAft>
          </a:pPr>
          <a:r>
            <a:rPr lang="en-SG" sz="1050" b="1" kern="1200">
              <a:latin typeface="Calibri" pitchFamily="34" charset="0"/>
            </a:rPr>
            <a:t>Step 3: Assess program appropriateness &amp; effectiveness</a:t>
          </a:r>
        </a:p>
        <a:p>
          <a:pPr marL="57150" lvl="1" indent="-57150" algn="l" defTabSz="400050">
            <a:lnSpc>
              <a:spcPct val="90000"/>
            </a:lnSpc>
            <a:spcBef>
              <a:spcPct val="0"/>
            </a:spcBef>
            <a:spcAft>
              <a:spcPct val="15000"/>
            </a:spcAft>
            <a:buChar char="••"/>
          </a:pPr>
          <a:r>
            <a:rPr lang="en-SG" sz="900" kern="1200">
              <a:latin typeface="Calibri" pitchFamily="34" charset="0"/>
            </a:rPr>
            <a:t>Analyse program objectives and relevancy</a:t>
          </a:r>
        </a:p>
        <a:p>
          <a:pPr marL="57150" lvl="1" indent="-57150" algn="l" defTabSz="400050">
            <a:lnSpc>
              <a:spcPct val="90000"/>
            </a:lnSpc>
            <a:spcBef>
              <a:spcPct val="0"/>
            </a:spcBef>
            <a:spcAft>
              <a:spcPct val="15000"/>
            </a:spcAft>
            <a:buChar char="••"/>
          </a:pPr>
          <a:r>
            <a:rPr lang="en-SG" sz="900" kern="1200">
              <a:latin typeface="Calibri" pitchFamily="34" charset="0"/>
            </a:rPr>
            <a:t>Analyse program role in context of other EE programs</a:t>
          </a:r>
        </a:p>
        <a:p>
          <a:pPr marL="57150" lvl="1" indent="-57150" algn="l" defTabSz="400050">
            <a:lnSpc>
              <a:spcPct val="90000"/>
            </a:lnSpc>
            <a:spcBef>
              <a:spcPct val="0"/>
            </a:spcBef>
            <a:spcAft>
              <a:spcPct val="15000"/>
            </a:spcAft>
            <a:buChar char="••"/>
          </a:pPr>
          <a:r>
            <a:rPr lang="en-SG" sz="900" kern="1200">
              <a:latin typeface="Calibri" pitchFamily="34" charset="0"/>
            </a:rPr>
            <a:t>Undertake cost-benefit analysis</a:t>
          </a:r>
        </a:p>
        <a:p>
          <a:pPr marL="57150" lvl="1" indent="-57150" algn="l" defTabSz="400050">
            <a:lnSpc>
              <a:spcPct val="90000"/>
            </a:lnSpc>
            <a:spcBef>
              <a:spcPct val="0"/>
            </a:spcBef>
            <a:spcAft>
              <a:spcPct val="15000"/>
            </a:spcAft>
            <a:buChar char="••"/>
          </a:pPr>
          <a:endParaRPr lang="en-SG" sz="900" kern="1200">
            <a:latin typeface="Calibri" pitchFamily="34" charset="0"/>
          </a:endParaRPr>
        </a:p>
      </dsp:txBody>
      <dsp:txXfrm rot="5400000">
        <a:off x="2520044" y="737235"/>
        <a:ext cx="1177676" cy="2211704"/>
      </dsp:txXfrm>
    </dsp:sp>
    <dsp:sp modelId="{42C7376F-8D8E-456F-83CD-BBA71A9D25A9}">
      <dsp:nvSpPr>
        <dsp:cNvPr id="0" name=""/>
        <dsp:cNvSpPr/>
      </dsp:nvSpPr>
      <dsp:spPr>
        <a:xfrm rot="16200000">
          <a:off x="2547115" y="1254249"/>
          <a:ext cx="3686174" cy="1177676"/>
        </a:xfrm>
        <a:prstGeom prst="flowChartManualOperation">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0" tIns="0" rIns="66675" bIns="0" numCol="1" spcCol="1270" anchor="t" anchorCtr="0">
          <a:noAutofit/>
        </a:bodyPr>
        <a:lstStyle/>
        <a:p>
          <a:pPr lvl="0" algn="l" defTabSz="466725">
            <a:lnSpc>
              <a:spcPct val="90000"/>
            </a:lnSpc>
            <a:spcBef>
              <a:spcPct val="0"/>
            </a:spcBef>
            <a:spcAft>
              <a:spcPct val="35000"/>
            </a:spcAft>
          </a:pPr>
          <a:r>
            <a:rPr lang="en-SG" sz="1050" b="1" kern="1200">
              <a:latin typeface="Calibri" pitchFamily="34" charset="0"/>
            </a:rPr>
            <a:t>Step 4: Assess future of the CBD program</a:t>
          </a:r>
        </a:p>
        <a:p>
          <a:pPr marL="57150" lvl="1" indent="-57150" algn="l" defTabSz="400050">
            <a:lnSpc>
              <a:spcPct val="90000"/>
            </a:lnSpc>
            <a:spcBef>
              <a:spcPct val="0"/>
            </a:spcBef>
            <a:spcAft>
              <a:spcPct val="15000"/>
            </a:spcAft>
            <a:buChar char="••"/>
          </a:pPr>
          <a:r>
            <a:rPr lang="en-SG" sz="900" kern="1200">
              <a:latin typeface="Calibri" pitchFamily="34" charset="0"/>
            </a:rPr>
            <a:t>Analyse interaction of CBD program with the ERF</a:t>
          </a:r>
        </a:p>
        <a:p>
          <a:pPr marL="57150" lvl="1" indent="-57150" algn="l" defTabSz="400050">
            <a:lnSpc>
              <a:spcPct val="90000"/>
            </a:lnSpc>
            <a:spcBef>
              <a:spcPct val="0"/>
            </a:spcBef>
            <a:spcAft>
              <a:spcPct val="15000"/>
            </a:spcAft>
            <a:buChar char="••"/>
          </a:pPr>
          <a:r>
            <a:rPr lang="en-SG" sz="900" kern="1200">
              <a:latin typeface="Calibri" pitchFamily="34" charset="0"/>
            </a:rPr>
            <a:t>Identify and develop future  CBD program options</a:t>
          </a:r>
        </a:p>
        <a:p>
          <a:pPr marL="57150" lvl="1" indent="-57150" algn="l" defTabSz="400050">
            <a:lnSpc>
              <a:spcPct val="90000"/>
            </a:lnSpc>
            <a:spcBef>
              <a:spcPct val="0"/>
            </a:spcBef>
            <a:spcAft>
              <a:spcPct val="15000"/>
            </a:spcAft>
            <a:buChar char="••"/>
          </a:pPr>
          <a:r>
            <a:rPr lang="en-SG" sz="900" kern="1200">
              <a:latin typeface="Calibri" pitchFamily="34" charset="0"/>
            </a:rPr>
            <a:t>Model and analyse impacts of future options</a:t>
          </a:r>
        </a:p>
        <a:p>
          <a:pPr marL="57150" lvl="1" indent="-57150" algn="l" defTabSz="400050">
            <a:lnSpc>
              <a:spcPct val="90000"/>
            </a:lnSpc>
            <a:spcBef>
              <a:spcPct val="0"/>
            </a:spcBef>
            <a:spcAft>
              <a:spcPct val="15000"/>
            </a:spcAft>
            <a:buChar char="••"/>
          </a:pPr>
          <a:r>
            <a:rPr lang="en-SG" sz="900" kern="1200">
              <a:latin typeface="Calibri" pitchFamily="34" charset="0"/>
            </a:rPr>
            <a:t>Develop recommendations</a:t>
          </a:r>
        </a:p>
        <a:p>
          <a:pPr marL="57150" lvl="1" indent="-57150" algn="l" defTabSz="400050">
            <a:lnSpc>
              <a:spcPct val="90000"/>
            </a:lnSpc>
            <a:spcBef>
              <a:spcPct val="0"/>
            </a:spcBef>
            <a:spcAft>
              <a:spcPct val="15000"/>
            </a:spcAft>
            <a:buChar char="••"/>
          </a:pPr>
          <a:endParaRPr lang="en-SG" sz="900" kern="1200">
            <a:latin typeface="Calibri" pitchFamily="34" charset="0"/>
          </a:endParaRPr>
        </a:p>
      </dsp:txBody>
      <dsp:txXfrm rot="5400000">
        <a:off x="3801364" y="737235"/>
        <a:ext cx="1177676" cy="2211704"/>
      </dsp:txXfrm>
    </dsp:sp>
    <dsp:sp modelId="{19A13C55-103C-435E-8F28-C43FF5BFE8D6}">
      <dsp:nvSpPr>
        <dsp:cNvPr id="0" name=""/>
        <dsp:cNvSpPr/>
      </dsp:nvSpPr>
      <dsp:spPr>
        <a:xfrm rot="16200000">
          <a:off x="3813117" y="1254249"/>
          <a:ext cx="3686174" cy="1177676"/>
        </a:xfrm>
        <a:prstGeom prst="flowChartManualOperation">
          <a:avLst/>
        </a:prstGeom>
        <a:gradFill rotWithShape="0">
          <a:gsLst>
            <a:gs pos="0">
              <a:schemeClr val="accent1">
                <a:shade val="50000"/>
                <a:hueOff val="-67519"/>
                <a:satOff val="-4135"/>
                <a:lumOff val="17068"/>
                <a:alphaOff val="0"/>
                <a:shade val="51000"/>
                <a:satMod val="130000"/>
              </a:schemeClr>
            </a:gs>
            <a:gs pos="80000">
              <a:schemeClr val="accent1">
                <a:shade val="50000"/>
                <a:hueOff val="-67519"/>
                <a:satOff val="-4135"/>
                <a:lumOff val="17068"/>
                <a:alphaOff val="0"/>
                <a:shade val="93000"/>
                <a:satMod val="130000"/>
              </a:schemeClr>
            </a:gs>
            <a:gs pos="100000">
              <a:schemeClr val="accent1">
                <a:shade val="50000"/>
                <a:hueOff val="-67519"/>
                <a:satOff val="-4135"/>
                <a:lumOff val="1706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0" tIns="0" rIns="66675" bIns="0" numCol="1" spcCol="1270" anchor="t" anchorCtr="0">
          <a:noAutofit/>
        </a:bodyPr>
        <a:lstStyle/>
        <a:p>
          <a:pPr lvl="0" algn="l" defTabSz="466725">
            <a:lnSpc>
              <a:spcPct val="90000"/>
            </a:lnSpc>
            <a:spcBef>
              <a:spcPct val="0"/>
            </a:spcBef>
            <a:spcAft>
              <a:spcPct val="35000"/>
            </a:spcAft>
          </a:pPr>
          <a:r>
            <a:rPr lang="en-SG" sz="1050" b="1" kern="1200">
              <a:latin typeface="Calibri" pitchFamily="34" charset="0"/>
            </a:rPr>
            <a:t>Project reporting</a:t>
          </a:r>
        </a:p>
        <a:p>
          <a:pPr marL="57150" lvl="1" indent="-57150" algn="l" defTabSz="400050">
            <a:lnSpc>
              <a:spcPct val="90000"/>
            </a:lnSpc>
            <a:spcBef>
              <a:spcPct val="0"/>
            </a:spcBef>
            <a:spcAft>
              <a:spcPct val="15000"/>
            </a:spcAft>
            <a:buChar char="••"/>
          </a:pPr>
          <a:r>
            <a:rPr lang="en-SG" sz="900" kern="1200">
              <a:latin typeface="Calibri" pitchFamily="34" charset="0"/>
            </a:rPr>
            <a:t>Presentation of preliminary findings</a:t>
          </a:r>
        </a:p>
        <a:p>
          <a:pPr marL="57150" lvl="1" indent="-57150" algn="l" defTabSz="400050">
            <a:lnSpc>
              <a:spcPct val="90000"/>
            </a:lnSpc>
            <a:spcBef>
              <a:spcPct val="0"/>
            </a:spcBef>
            <a:spcAft>
              <a:spcPct val="15000"/>
            </a:spcAft>
            <a:buChar char="••"/>
          </a:pPr>
          <a:r>
            <a:rPr lang="en-SG" sz="900" kern="1200">
              <a:latin typeface="Calibri" pitchFamily="34" charset="0"/>
            </a:rPr>
            <a:t>Draft report</a:t>
          </a:r>
        </a:p>
        <a:p>
          <a:pPr marL="57150" lvl="1" indent="-57150" algn="l" defTabSz="400050">
            <a:lnSpc>
              <a:spcPct val="90000"/>
            </a:lnSpc>
            <a:spcBef>
              <a:spcPct val="0"/>
            </a:spcBef>
            <a:spcAft>
              <a:spcPct val="15000"/>
            </a:spcAft>
            <a:buChar char="••"/>
          </a:pPr>
          <a:r>
            <a:rPr lang="en-SG" sz="900" kern="1200">
              <a:latin typeface="Calibri" pitchFamily="34" charset="0"/>
            </a:rPr>
            <a:t>Presentation of draft report</a:t>
          </a:r>
        </a:p>
        <a:p>
          <a:pPr marL="57150" lvl="1" indent="-57150" algn="l" defTabSz="400050">
            <a:lnSpc>
              <a:spcPct val="90000"/>
            </a:lnSpc>
            <a:spcBef>
              <a:spcPct val="0"/>
            </a:spcBef>
            <a:spcAft>
              <a:spcPct val="15000"/>
            </a:spcAft>
            <a:buChar char="••"/>
          </a:pPr>
          <a:r>
            <a:rPr lang="en-SG" sz="900" kern="1200">
              <a:latin typeface="Calibri" pitchFamily="34" charset="0"/>
            </a:rPr>
            <a:t>Final report</a:t>
          </a:r>
        </a:p>
      </dsp:txBody>
      <dsp:txXfrm rot="5400000">
        <a:off x="5067366" y="737235"/>
        <a:ext cx="1177676" cy="2211704"/>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CIL Allen 1">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Arial with Arial Narrow">
      <a:majorFont>
        <a:latin typeface="Arial"/>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070BC-F0B8-48BC-9A43-CB27CD789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ACIL Allen Report</Template>
  <TotalTime>45</TotalTime>
  <Pages>130</Pages>
  <Words>45424</Words>
  <Characters>258917</Characters>
  <Application>Microsoft Office Word</Application>
  <DocSecurity>0</DocSecurity>
  <Lines>2157</Lines>
  <Paragraphs>607</Paragraphs>
  <ScaleCrop>false</ScaleCrop>
  <HeadingPairs>
    <vt:vector size="2" baseType="variant">
      <vt:variant>
        <vt:lpstr>Title</vt:lpstr>
      </vt:variant>
      <vt:variant>
        <vt:i4>1</vt:i4>
      </vt:variant>
    </vt:vector>
  </HeadingPairs>
  <TitlesOfParts>
    <vt:vector size="1" baseType="lpstr">
      <vt:lpstr/>
    </vt:vector>
  </TitlesOfParts>
  <Company>ACIL Allen Consulting Pty Ltd</Company>
  <LinksUpToDate>false</LinksUpToDate>
  <CharactersWithSpaces>303734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Kapil Kulkarni</dc:creator>
  <dc:description>Modified 14 August 2013</dc:description>
  <cp:lastModifiedBy>McLennan, Ross</cp:lastModifiedBy>
  <cp:revision>8</cp:revision>
  <cp:lastPrinted>2015-03-23T23:04:00Z</cp:lastPrinted>
  <dcterms:created xsi:type="dcterms:W3CDTF">2016-03-04T00:00:00Z</dcterms:created>
  <dcterms:modified xsi:type="dcterms:W3CDTF">2016-04-04T00:54:00Z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quationNumberFormat">
    <vt:lpwstr>EquationNumberOnly</vt:lpwstr>
  </property>
  <property fmtid="{D5CDD505-2E9C-101B-9397-08002B2CF9AE}" pid="3" name="VersionNumber">
    <vt:i4>0</vt:i4>
  </property>
  <property fmtid="{D5CDD505-2E9C-101B-9397-08002B2CF9AE}" pid="4" name="ClassificationPty">
    <vt:lpwstr/>
  </property>
  <property fmtid="{D5CDD505-2E9C-101B-9397-08002B2CF9AE}" pid="5" name="FileNumberPty">
    <vt:lpwstr/>
  </property>
  <property fmtid="{D5CDD505-2E9C-101B-9397-08002B2CF9AE}" pid="6" name="CorporateTmplBased">
    <vt:lpwstr>No</vt:lpwstr>
  </property>
</Properties>
</file>