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83554" w14:textId="4A94BB2A" w:rsidR="00B82095" w:rsidRPr="00F16496" w:rsidRDefault="00A63C3D" w:rsidP="007C0DF3">
      <w:pPr>
        <w:pStyle w:val="Heading1"/>
      </w:pPr>
      <w:r>
        <w:t>Commercial Building Disclosure (CBD) Program Expansion Public Consultation Paper</w:t>
      </w:r>
    </w:p>
    <w:p w14:paraId="6B6C6EB4" w14:textId="77777777" w:rsidR="00BD7AD5" w:rsidRDefault="00BD7AD5" w:rsidP="0034659A">
      <w:pPr>
        <w:pStyle w:val="Heading3"/>
      </w:pPr>
    </w:p>
    <w:p w14:paraId="6FB86765" w14:textId="77777777" w:rsidR="00BD7AD5" w:rsidRDefault="00BD7AD5" w:rsidP="0034659A">
      <w:pPr>
        <w:pStyle w:val="Heading3"/>
      </w:pPr>
    </w:p>
    <w:p w14:paraId="30A00D47" w14:textId="5F82135C" w:rsidR="00621B8E" w:rsidRPr="00C218F8" w:rsidRDefault="00621B8E" w:rsidP="00621B8E">
      <w:pPr>
        <w:pStyle w:val="Heading4"/>
        <w:rPr>
          <w:rFonts w:eastAsiaTheme="minorEastAsia"/>
          <w:sz w:val="24"/>
          <w:lang w:eastAsia="ja-JP"/>
        </w:rPr>
      </w:pPr>
      <w:r w:rsidRPr="00C218F8">
        <w:rPr>
          <w:rFonts w:eastAsiaTheme="minorEastAsia"/>
          <w:sz w:val="24"/>
          <w:lang w:eastAsia="ja-JP"/>
        </w:rPr>
        <w:t>What is the Commercial Building Disclosure Program?</w:t>
      </w:r>
    </w:p>
    <w:p w14:paraId="72EE9EE4" w14:textId="1E93D019" w:rsidR="00A1128B" w:rsidRPr="0031212E" w:rsidRDefault="62419C0E" w:rsidP="008F08C6">
      <w:pPr>
        <w:rPr>
          <w:rFonts w:asciiTheme="minorHAnsi" w:hAnsiTheme="minorHAnsi" w:cstheme="minorHAnsi"/>
          <w:lang w:eastAsia="ja-JP"/>
        </w:rPr>
      </w:pPr>
      <w:r w:rsidRPr="0031212E">
        <w:rPr>
          <w:rFonts w:asciiTheme="minorHAnsi" w:hAnsiTheme="minorHAnsi" w:cstheme="minorHAnsi"/>
          <w:lang w:eastAsia="ja-JP"/>
        </w:rPr>
        <w:t>The Commercial Building Disclosure (CBD) Program requires energy efficiency information to be provided</w:t>
      </w:r>
      <w:r w:rsidR="00DC7DED">
        <w:rPr>
          <w:rFonts w:asciiTheme="minorHAnsi" w:hAnsiTheme="minorHAnsi" w:cstheme="minorHAnsi"/>
          <w:lang w:eastAsia="ja-JP"/>
        </w:rPr>
        <w:t>,</w:t>
      </w:r>
      <w:r w:rsidRPr="0031212E">
        <w:rPr>
          <w:rFonts w:asciiTheme="minorHAnsi" w:hAnsiTheme="minorHAnsi" w:cstheme="minorHAnsi"/>
          <w:lang w:eastAsia="ja-JP"/>
        </w:rPr>
        <w:t xml:space="preserve"> in most cases</w:t>
      </w:r>
      <w:r w:rsidR="00DC7DED">
        <w:rPr>
          <w:rFonts w:asciiTheme="minorHAnsi" w:hAnsiTheme="minorHAnsi" w:cstheme="minorHAnsi"/>
          <w:lang w:eastAsia="ja-JP"/>
        </w:rPr>
        <w:t>,</w:t>
      </w:r>
      <w:r w:rsidRPr="0031212E">
        <w:rPr>
          <w:rFonts w:asciiTheme="minorHAnsi" w:hAnsiTheme="minorHAnsi" w:cstheme="minorHAnsi"/>
          <w:lang w:eastAsia="ja-JP"/>
        </w:rPr>
        <w:t xml:space="preserve"> when commercial office space of 1000 square metres or more is offered for sale or lease. The aim </w:t>
      </w:r>
      <w:r w:rsidR="0025522E">
        <w:rPr>
          <w:rFonts w:asciiTheme="minorHAnsi" w:hAnsiTheme="minorHAnsi" w:cstheme="minorHAnsi"/>
          <w:lang w:eastAsia="ja-JP"/>
        </w:rPr>
        <w:t xml:space="preserve">of the </w:t>
      </w:r>
      <w:r w:rsidR="009166D8">
        <w:rPr>
          <w:rFonts w:asciiTheme="minorHAnsi" w:hAnsiTheme="minorHAnsi" w:cstheme="minorHAnsi"/>
          <w:lang w:eastAsia="ja-JP"/>
        </w:rPr>
        <w:t xml:space="preserve">CBD </w:t>
      </w:r>
      <w:r w:rsidR="0025522E">
        <w:rPr>
          <w:rFonts w:asciiTheme="minorHAnsi" w:hAnsiTheme="minorHAnsi" w:cstheme="minorHAnsi"/>
          <w:lang w:eastAsia="ja-JP"/>
        </w:rPr>
        <w:t xml:space="preserve">Program </w:t>
      </w:r>
      <w:r w:rsidRPr="0031212E">
        <w:rPr>
          <w:rFonts w:asciiTheme="minorHAnsi" w:hAnsiTheme="minorHAnsi" w:cstheme="minorHAnsi"/>
          <w:lang w:eastAsia="ja-JP"/>
        </w:rPr>
        <w:t xml:space="preserve">is to improve the energy efficiency of Australia's large office buildings and to ensure prospective buyers and tenants are informed. </w:t>
      </w:r>
      <w:r w:rsidR="00DC440A">
        <w:rPr>
          <w:rFonts w:asciiTheme="minorHAnsi" w:hAnsiTheme="minorHAnsi" w:cstheme="minorHAnsi"/>
          <w:lang w:eastAsia="ja-JP"/>
        </w:rPr>
        <w:t xml:space="preserve">The </w:t>
      </w:r>
      <w:r w:rsidR="00326B50">
        <w:rPr>
          <w:rFonts w:asciiTheme="minorHAnsi" w:hAnsiTheme="minorHAnsi" w:cstheme="minorHAnsi"/>
          <w:lang w:eastAsia="ja-JP"/>
        </w:rPr>
        <w:t>CBD P</w:t>
      </w:r>
      <w:r w:rsidR="00DC440A">
        <w:rPr>
          <w:rFonts w:asciiTheme="minorHAnsi" w:hAnsiTheme="minorHAnsi" w:cstheme="minorHAnsi"/>
          <w:lang w:eastAsia="ja-JP"/>
        </w:rPr>
        <w:t>rogram is</w:t>
      </w:r>
      <w:r w:rsidRPr="0031212E">
        <w:rPr>
          <w:rFonts w:asciiTheme="minorHAnsi" w:hAnsiTheme="minorHAnsi" w:cstheme="minorHAnsi"/>
          <w:lang w:eastAsia="ja-JP"/>
        </w:rPr>
        <w:t xml:space="preserve"> established by the </w:t>
      </w:r>
      <w:hyperlink r:id="rId11">
        <w:r w:rsidRPr="0031212E">
          <w:rPr>
            <w:rFonts w:asciiTheme="minorHAnsi" w:hAnsiTheme="minorHAnsi" w:cstheme="minorHAnsi"/>
            <w:i/>
            <w:iCs/>
            <w:lang w:eastAsia="ja-JP"/>
          </w:rPr>
          <w:t>Building Energy Efficiency Disclosure Act 2010</w:t>
        </w:r>
      </w:hyperlink>
      <w:r w:rsidRPr="0031212E">
        <w:rPr>
          <w:rFonts w:asciiTheme="minorHAnsi" w:hAnsiTheme="minorHAnsi" w:cstheme="minorHAnsi"/>
          <w:i/>
          <w:iCs/>
          <w:lang w:eastAsia="ja-JP"/>
        </w:rPr>
        <w:t xml:space="preserve"> </w:t>
      </w:r>
      <w:r w:rsidR="00182606" w:rsidRPr="0031212E">
        <w:rPr>
          <w:rFonts w:asciiTheme="minorHAnsi" w:hAnsiTheme="minorHAnsi" w:cstheme="minorHAnsi"/>
          <w:lang w:eastAsia="ja-JP"/>
        </w:rPr>
        <w:t xml:space="preserve">(the BEED Act) </w:t>
      </w:r>
      <w:r w:rsidRPr="0031212E">
        <w:rPr>
          <w:rFonts w:asciiTheme="minorHAnsi" w:hAnsiTheme="minorHAnsi" w:cstheme="minorHAnsi"/>
          <w:lang w:eastAsia="ja-JP"/>
        </w:rPr>
        <w:t>and is managed by the Australian Government Department of Climate Change, Energy, the Environment and Water</w:t>
      </w:r>
      <w:r w:rsidR="00BD21AE" w:rsidRPr="0031212E">
        <w:rPr>
          <w:rFonts w:asciiTheme="minorHAnsi" w:hAnsiTheme="minorHAnsi" w:cstheme="minorHAnsi"/>
          <w:lang w:eastAsia="ja-JP"/>
        </w:rPr>
        <w:t xml:space="preserve"> (the </w:t>
      </w:r>
      <w:r w:rsidR="00E946AA">
        <w:rPr>
          <w:rFonts w:asciiTheme="minorHAnsi" w:hAnsiTheme="minorHAnsi" w:cstheme="minorHAnsi"/>
          <w:lang w:eastAsia="ja-JP"/>
        </w:rPr>
        <w:t>d</w:t>
      </w:r>
      <w:r w:rsidR="00BD21AE" w:rsidRPr="0031212E">
        <w:rPr>
          <w:rFonts w:asciiTheme="minorHAnsi" w:hAnsiTheme="minorHAnsi" w:cstheme="minorHAnsi"/>
          <w:lang w:eastAsia="ja-JP"/>
        </w:rPr>
        <w:t>epartment)</w:t>
      </w:r>
      <w:r w:rsidRPr="0031212E">
        <w:rPr>
          <w:rFonts w:asciiTheme="minorHAnsi" w:hAnsiTheme="minorHAnsi" w:cstheme="minorHAnsi"/>
          <w:lang w:eastAsia="ja-JP"/>
        </w:rPr>
        <w:t xml:space="preserve">. </w:t>
      </w:r>
    </w:p>
    <w:p w14:paraId="3F124659" w14:textId="77777777" w:rsidR="00137D3B" w:rsidRDefault="00AD7B34" w:rsidP="00182606">
      <w:pPr>
        <w:rPr>
          <w:rFonts w:cstheme="minorHAnsi"/>
        </w:rPr>
      </w:pPr>
      <w:r w:rsidRPr="0031212E">
        <w:rPr>
          <w:rFonts w:asciiTheme="minorHAnsi" w:eastAsiaTheme="minorEastAsia" w:hAnsiTheme="minorHAnsi" w:cstheme="minorHAnsi"/>
        </w:rPr>
        <w:t xml:space="preserve">The CBD </w:t>
      </w:r>
      <w:r w:rsidR="00EE0BC6" w:rsidRPr="0031212E">
        <w:rPr>
          <w:rFonts w:asciiTheme="minorHAnsi" w:eastAsiaTheme="minorEastAsia" w:hAnsiTheme="minorHAnsi" w:cstheme="minorHAnsi"/>
        </w:rPr>
        <w:t>P</w:t>
      </w:r>
      <w:r w:rsidRPr="0031212E">
        <w:rPr>
          <w:rFonts w:asciiTheme="minorHAnsi" w:eastAsiaTheme="minorEastAsia" w:hAnsiTheme="minorHAnsi" w:cstheme="minorHAnsi"/>
        </w:rPr>
        <w:t>rogram has driven considerable energy savings for large commercial office buildings</w:t>
      </w:r>
      <w:r w:rsidR="00137D3B">
        <w:rPr>
          <w:rFonts w:asciiTheme="minorHAnsi" w:eastAsiaTheme="minorEastAsia" w:hAnsiTheme="minorHAnsi" w:cstheme="minorHAnsi"/>
        </w:rPr>
        <w:t xml:space="preserve"> by </w:t>
      </w:r>
      <w:r w:rsidR="00137D3B">
        <w:rPr>
          <w:rStyle w:val="normaltextrun"/>
          <w:rFonts w:ascii="Calibri" w:hAnsi="Calibri" w:cs="Calibri"/>
          <w:color w:val="000000"/>
          <w:bdr w:val="none" w:sz="0" w:space="0" w:color="auto" w:frame="1"/>
          <w:lang w:val="en-GB"/>
        </w:rPr>
        <w:t>empowering</w:t>
      </w:r>
      <w:r w:rsidR="00137D3B" w:rsidRPr="009B621A">
        <w:rPr>
          <w:rStyle w:val="normaltextrun"/>
          <w:rFonts w:ascii="Calibri" w:hAnsi="Calibri"/>
          <w:color w:val="000000"/>
          <w:bdr w:val="none" w:sz="0" w:space="0" w:color="auto" w:frame="1"/>
          <w:lang w:val="en-GB"/>
        </w:rPr>
        <w:t xml:space="preserve"> building owners and operators to make informed decisions </w:t>
      </w:r>
      <w:r w:rsidR="00137D3B">
        <w:rPr>
          <w:rStyle w:val="normaltextrun"/>
          <w:rFonts w:ascii="Calibri" w:hAnsi="Calibri"/>
          <w:color w:val="000000"/>
          <w:bdr w:val="none" w:sz="0" w:space="0" w:color="auto" w:frame="1"/>
          <w:lang w:val="en-GB"/>
        </w:rPr>
        <w:t>to</w:t>
      </w:r>
      <w:r w:rsidR="00137D3B" w:rsidRPr="009B621A">
        <w:rPr>
          <w:rStyle w:val="normaltextrun"/>
          <w:rFonts w:ascii="Calibri" w:hAnsi="Calibri"/>
          <w:color w:val="000000"/>
          <w:bdr w:val="none" w:sz="0" w:space="0" w:color="auto" w:frame="1"/>
          <w:lang w:val="en-GB"/>
        </w:rPr>
        <w:t xml:space="preserve"> enhance energy efficiency and reduce consumption</w:t>
      </w:r>
      <w:r w:rsidRPr="0031212E">
        <w:rPr>
          <w:rFonts w:asciiTheme="minorHAnsi" w:eastAsiaTheme="minorEastAsia" w:hAnsiTheme="minorHAnsi" w:cstheme="minorHAnsi"/>
        </w:rPr>
        <w:t xml:space="preserve">. </w:t>
      </w:r>
    </w:p>
    <w:p w14:paraId="62F10C50" w14:textId="4C73E012" w:rsidR="00420160" w:rsidRDefault="00AD7B34" w:rsidP="00182606">
      <w:pPr>
        <w:rPr>
          <w:rFonts w:asciiTheme="minorHAnsi" w:eastAsiaTheme="minorEastAsia" w:hAnsiTheme="minorHAnsi" w:cstheme="minorHAnsi"/>
        </w:rPr>
      </w:pPr>
      <w:r w:rsidRPr="0031212E">
        <w:rPr>
          <w:rFonts w:asciiTheme="minorHAnsi" w:eastAsiaTheme="minorEastAsia" w:hAnsiTheme="minorHAnsi" w:cstheme="minorHAnsi"/>
        </w:rPr>
        <w:t xml:space="preserve">Since 2010, there has been a 35% reduction in base building energy usage per square meter for </w:t>
      </w:r>
      <w:r w:rsidR="008A3767">
        <w:rPr>
          <w:rFonts w:asciiTheme="minorHAnsi" w:eastAsiaTheme="minorEastAsia" w:hAnsiTheme="minorHAnsi" w:cstheme="minorHAnsi"/>
        </w:rPr>
        <w:t>disclosure</w:t>
      </w:r>
      <w:r w:rsidRPr="0031212E">
        <w:rPr>
          <w:rFonts w:asciiTheme="minorHAnsi" w:eastAsiaTheme="minorEastAsia" w:hAnsiTheme="minorHAnsi" w:cstheme="minorHAnsi"/>
        </w:rPr>
        <w:t xml:space="preserve"> affected office buildings. According to a review conducted by the Centre for International Economics (CIE)</w:t>
      </w:r>
      <w:r w:rsidR="00E43BF7">
        <w:rPr>
          <w:rFonts w:asciiTheme="minorHAnsi" w:eastAsiaTheme="minorEastAsia" w:hAnsiTheme="minorHAnsi" w:cstheme="minorHAnsi"/>
        </w:rPr>
        <w:t xml:space="preserve"> in 2019</w:t>
      </w:r>
      <w:r w:rsidRPr="0031212E">
        <w:rPr>
          <w:rFonts w:asciiTheme="minorHAnsi" w:eastAsiaTheme="minorEastAsia" w:hAnsiTheme="minorHAnsi" w:cstheme="minorHAnsi"/>
        </w:rPr>
        <w:t xml:space="preserve">, the </w:t>
      </w:r>
      <w:r w:rsidR="00B85DCF">
        <w:rPr>
          <w:rFonts w:asciiTheme="minorHAnsi" w:eastAsiaTheme="minorEastAsia" w:hAnsiTheme="minorHAnsi" w:cstheme="minorHAnsi"/>
        </w:rPr>
        <w:t>CBD P</w:t>
      </w:r>
      <w:r w:rsidRPr="0031212E">
        <w:rPr>
          <w:rFonts w:asciiTheme="minorHAnsi" w:eastAsiaTheme="minorEastAsia" w:hAnsiTheme="minorHAnsi" w:cstheme="minorHAnsi"/>
        </w:rPr>
        <w:t>rogram has delivered $83 million in energy bill savings from 2010 to 2019. This equates to 3PJ of energy savings.</w:t>
      </w:r>
    </w:p>
    <w:p w14:paraId="2B13C656" w14:textId="04E71A59" w:rsidR="00E939B9" w:rsidRPr="00525DDF" w:rsidRDefault="00E939B9" w:rsidP="00182606">
      <w:pPr>
        <w:rPr>
          <w:rFonts w:asciiTheme="minorHAnsi" w:eastAsiaTheme="minorEastAsia" w:hAnsiTheme="minorHAnsi" w:cstheme="minorHAnsi"/>
        </w:rPr>
      </w:pPr>
      <w:r>
        <w:rPr>
          <w:rFonts w:asciiTheme="minorHAnsi" w:eastAsiaTheme="minorEastAsia" w:hAnsiTheme="minorHAnsi" w:cstheme="minorHAnsi"/>
        </w:rPr>
        <w:t xml:space="preserve">Two </w:t>
      </w:r>
      <w:r w:rsidR="003176CE">
        <w:rPr>
          <w:rFonts w:asciiTheme="minorHAnsi" w:eastAsiaTheme="minorEastAsia" w:hAnsiTheme="minorHAnsi" w:cstheme="minorHAnsi"/>
        </w:rPr>
        <w:t>major reviews of the CBD Program in 201</w:t>
      </w:r>
      <w:r w:rsidR="005C37B7">
        <w:rPr>
          <w:rFonts w:asciiTheme="minorHAnsi" w:eastAsiaTheme="minorEastAsia" w:hAnsiTheme="minorHAnsi" w:cstheme="minorHAnsi"/>
        </w:rPr>
        <w:t>6</w:t>
      </w:r>
      <w:r w:rsidR="003176CE">
        <w:rPr>
          <w:rFonts w:asciiTheme="minorHAnsi" w:eastAsiaTheme="minorEastAsia" w:hAnsiTheme="minorHAnsi" w:cstheme="minorHAnsi"/>
        </w:rPr>
        <w:t xml:space="preserve"> and 2019 found that the existing program was effective and recommended expanding it.</w:t>
      </w:r>
    </w:p>
    <w:p w14:paraId="0757A73A" w14:textId="77777777" w:rsidR="0082551A" w:rsidRPr="00525DDF" w:rsidRDefault="00B00E30" w:rsidP="00182606">
      <w:pPr>
        <w:rPr>
          <w:rFonts w:asciiTheme="minorHAnsi" w:eastAsiaTheme="minorEastAsia" w:hAnsiTheme="minorHAnsi" w:cstheme="minorHAnsi"/>
        </w:rPr>
      </w:pPr>
      <w:r>
        <w:t xml:space="preserve">You can find more information about the CBD Program at: </w:t>
      </w:r>
      <w:hyperlink r:id="rId12" w:history="1">
        <w:r w:rsidRPr="00F67EEC">
          <w:rPr>
            <w:rStyle w:val="Hyperlink"/>
          </w:rPr>
          <w:t>www.cbd.gov.au</w:t>
        </w:r>
      </w:hyperlink>
    </w:p>
    <w:p w14:paraId="1450A1EB" w14:textId="77777777" w:rsidR="00566D37" w:rsidRDefault="00566D37" w:rsidP="00621B8E">
      <w:pPr>
        <w:pStyle w:val="Heading4"/>
        <w:ind w:left="0" w:firstLine="0"/>
        <w:rPr>
          <w:sz w:val="22"/>
          <w:szCs w:val="22"/>
          <w:lang w:eastAsia="ja-JP"/>
        </w:rPr>
      </w:pPr>
    </w:p>
    <w:p w14:paraId="3C28BDD5" w14:textId="1D0CEF9A" w:rsidR="00A1128B" w:rsidRPr="00C218F8" w:rsidRDefault="00A1128B" w:rsidP="00621B8E">
      <w:pPr>
        <w:pStyle w:val="Heading4"/>
        <w:ind w:left="0" w:firstLine="0"/>
        <w:rPr>
          <w:sz w:val="24"/>
          <w:lang w:eastAsia="ja-JP"/>
        </w:rPr>
      </w:pPr>
      <w:r w:rsidRPr="00C218F8">
        <w:rPr>
          <w:sz w:val="24"/>
          <w:lang w:eastAsia="ja-JP"/>
        </w:rPr>
        <w:t xml:space="preserve">Why is the </w:t>
      </w:r>
      <w:r w:rsidR="00951D5F" w:rsidRPr="00C218F8">
        <w:rPr>
          <w:sz w:val="24"/>
          <w:lang w:eastAsia="ja-JP"/>
        </w:rPr>
        <w:t xml:space="preserve">government </w:t>
      </w:r>
      <w:r w:rsidR="00AD0DB0" w:rsidRPr="00C218F8">
        <w:rPr>
          <w:sz w:val="24"/>
          <w:lang w:eastAsia="ja-JP"/>
        </w:rPr>
        <w:t xml:space="preserve">considering changes to </w:t>
      </w:r>
      <w:r w:rsidRPr="00C218F8">
        <w:rPr>
          <w:sz w:val="24"/>
          <w:lang w:eastAsia="ja-JP"/>
        </w:rPr>
        <w:t>the CBD Program?</w:t>
      </w:r>
    </w:p>
    <w:p w14:paraId="029FFD90" w14:textId="77777777" w:rsidR="005A7941" w:rsidRDefault="000412F4" w:rsidP="008D5FAA">
      <w:r>
        <w:t xml:space="preserve">The Australian Government has committed to </w:t>
      </w:r>
      <w:r w:rsidR="00B322C8">
        <w:t>reach net zero emissions by 2050.</w:t>
      </w:r>
      <w:r w:rsidR="000E666C">
        <w:t xml:space="preserve"> All segments of the economy will need to reduce their emissions to meet this goal.</w:t>
      </w:r>
      <w:r w:rsidR="00347B01">
        <w:t xml:space="preserve"> </w:t>
      </w:r>
    </w:p>
    <w:p w14:paraId="712F34C9" w14:textId="77777777" w:rsidR="001432D9" w:rsidRDefault="009459A4" w:rsidP="008D5FAA">
      <w:r>
        <w:t xml:space="preserve">In Australia, </w:t>
      </w:r>
      <w:r w:rsidR="00DA652B">
        <w:t xml:space="preserve">non-residential buildings contribute around 10% of total emissions in the economy, most of this outside the </w:t>
      </w:r>
      <w:r w:rsidR="007D1E11">
        <w:t>office sub</w:t>
      </w:r>
      <w:r w:rsidR="00DA652B">
        <w:t xml:space="preserve">-sector, </w:t>
      </w:r>
      <w:r w:rsidR="00014E37">
        <w:t>representing significant</w:t>
      </w:r>
      <w:r w:rsidR="00DA652B">
        <w:t xml:space="preserve"> opportunity to decarbonise. </w:t>
      </w:r>
      <w:r w:rsidR="00BD33F6">
        <w:t xml:space="preserve">Expanding the CBD Program would be an opportunity to </w:t>
      </w:r>
      <w:r w:rsidR="00504257">
        <w:t xml:space="preserve">drive </w:t>
      </w:r>
      <w:r w:rsidR="0081358E">
        <w:t xml:space="preserve">significant </w:t>
      </w:r>
      <w:r w:rsidR="00490909">
        <w:t>emissions</w:t>
      </w:r>
      <w:r w:rsidR="00102F47">
        <w:t xml:space="preserve"> savings</w:t>
      </w:r>
      <w:r w:rsidR="00490909">
        <w:t xml:space="preserve"> </w:t>
      </w:r>
      <w:r w:rsidR="000B6B6F">
        <w:t xml:space="preserve">in </w:t>
      </w:r>
      <w:r w:rsidR="00E00D6C">
        <w:t>the commercial buildings sector.</w:t>
      </w:r>
      <w:r w:rsidR="00014E37">
        <w:t xml:space="preserve"> </w:t>
      </w:r>
    </w:p>
    <w:p w14:paraId="22842553" w14:textId="5940A5AF" w:rsidR="00BD31D2" w:rsidRPr="00E264FF" w:rsidRDefault="00B641DA" w:rsidP="00182606">
      <w:pPr>
        <w:rPr>
          <w:rFonts w:cstheme="minorHAnsi"/>
        </w:rPr>
      </w:pPr>
      <w:r>
        <w:t xml:space="preserve">Expanding the CBD Program over time to encompass </w:t>
      </w:r>
      <w:r w:rsidR="00EC260D">
        <w:t xml:space="preserve">most </w:t>
      </w:r>
      <w:r w:rsidR="00E7604A">
        <w:t>major commercial building types would encourag</w:t>
      </w:r>
      <w:r w:rsidR="00BA79B8">
        <w:t>e</w:t>
      </w:r>
      <w:r w:rsidR="00E7604A">
        <w:t xml:space="preserve"> sectors that had no</w:t>
      </w:r>
      <w:r w:rsidR="00BA79B8">
        <w:t>t</w:t>
      </w:r>
      <w:r w:rsidR="00E7604A">
        <w:t xml:space="preserve"> previously been exposed to building energy </w:t>
      </w:r>
      <w:r w:rsidR="003E6FBB">
        <w:t>efficiency to consider changes. This whole-of-economy approach is more aligned with the significant change required to meet Australia’s 2030 and 2050 decarbonisation targets.</w:t>
      </w:r>
      <w:r w:rsidR="00D85306">
        <w:rPr>
          <w:rFonts w:cstheme="minorHAnsi"/>
        </w:rPr>
        <w:t xml:space="preserve"> E</w:t>
      </w:r>
      <w:r w:rsidR="008D5FAA">
        <w:rPr>
          <w:rFonts w:cstheme="minorHAnsi"/>
        </w:rPr>
        <w:t xml:space="preserve">stablishing whole-of-economy disclosure and </w:t>
      </w:r>
      <w:r w:rsidR="008D5FAA">
        <w:rPr>
          <w:rFonts w:cstheme="minorHAnsi"/>
        </w:rPr>
        <w:lastRenderedPageBreak/>
        <w:t xml:space="preserve">benchmarking </w:t>
      </w:r>
      <w:r w:rsidR="009D41D3">
        <w:rPr>
          <w:rFonts w:cstheme="minorHAnsi"/>
        </w:rPr>
        <w:t>frameworks</w:t>
      </w:r>
      <w:r w:rsidR="008D5FAA">
        <w:rPr>
          <w:rFonts w:cstheme="minorHAnsi"/>
        </w:rPr>
        <w:t xml:space="preserve"> could </w:t>
      </w:r>
      <w:r w:rsidR="00D85306">
        <w:rPr>
          <w:rFonts w:cstheme="minorHAnsi"/>
        </w:rPr>
        <w:t xml:space="preserve">also </w:t>
      </w:r>
      <w:r w:rsidR="008D5FAA">
        <w:rPr>
          <w:rFonts w:cstheme="minorHAnsi"/>
        </w:rPr>
        <w:t xml:space="preserve">support other decarbonisation accelerators such as the finance sector. </w:t>
      </w:r>
    </w:p>
    <w:p w14:paraId="47B9DC83" w14:textId="6DCA415B" w:rsidR="00606384" w:rsidRPr="00E264FF" w:rsidRDefault="009D41D3" w:rsidP="00182606">
      <w:r>
        <w:t xml:space="preserve">In addition to </w:t>
      </w:r>
      <w:r w:rsidR="00D85306">
        <w:t>the significant emissions reduction benefits,</w:t>
      </w:r>
      <w:r>
        <w:t xml:space="preserve"> </w:t>
      </w:r>
      <w:r w:rsidR="00D85306">
        <w:t>e</w:t>
      </w:r>
      <w:r w:rsidR="00456C5F">
        <w:t>nergy b</w:t>
      </w:r>
      <w:r w:rsidR="00271CC7">
        <w:t xml:space="preserve">ill </w:t>
      </w:r>
      <w:r w:rsidR="00271CC7" w:rsidRPr="00DC7DED">
        <w:t xml:space="preserve">savings associated with </w:t>
      </w:r>
      <w:r w:rsidR="00850BB3" w:rsidRPr="00DC7DED">
        <w:t xml:space="preserve">reduced energy consumption </w:t>
      </w:r>
      <w:r w:rsidR="00876AD3">
        <w:t xml:space="preserve">is </w:t>
      </w:r>
      <w:r w:rsidR="007F4201">
        <w:t>key benefit of the</w:t>
      </w:r>
      <w:r w:rsidR="00850BB3" w:rsidRPr="00DC7DED">
        <w:t xml:space="preserve"> CBD Program</w:t>
      </w:r>
      <w:r w:rsidR="00FC319E" w:rsidRPr="00DC7DED">
        <w:rPr>
          <w:rStyle w:val="normaltextrun"/>
          <w:rFonts w:ascii="Calibri" w:hAnsi="Calibri" w:cs="Calibri"/>
          <w:color w:val="000000"/>
          <w:bdr w:val="none" w:sz="0" w:space="0" w:color="auto" w:frame="1"/>
          <w:lang w:val="en-GB"/>
        </w:rPr>
        <w:t>.</w:t>
      </w:r>
      <w:r w:rsidR="00D914C2">
        <w:rPr>
          <w:rStyle w:val="normaltextrun"/>
          <w:rFonts w:ascii="Calibri" w:hAnsi="Calibri" w:cs="Calibri"/>
          <w:color w:val="000000"/>
          <w:bdr w:val="none" w:sz="0" w:space="0" w:color="auto" w:frame="1"/>
          <w:lang w:val="en-GB"/>
        </w:rPr>
        <w:t xml:space="preserve"> </w:t>
      </w:r>
      <w:r w:rsidR="000F3E67" w:rsidRPr="00DC7DED">
        <w:rPr>
          <w:rStyle w:val="normaltextrun"/>
          <w:rFonts w:ascii="Calibri" w:hAnsi="Calibri" w:cs="Calibri"/>
          <w:color w:val="000000"/>
          <w:bdr w:val="none" w:sz="0" w:space="0" w:color="auto" w:frame="1"/>
          <w:lang w:val="en-GB"/>
        </w:rPr>
        <w:t xml:space="preserve">There is potential to expand </w:t>
      </w:r>
      <w:r w:rsidR="008908BB">
        <w:rPr>
          <w:rStyle w:val="normaltextrun"/>
          <w:rFonts w:ascii="Calibri" w:hAnsi="Calibri" w:cs="Calibri"/>
          <w:color w:val="000000"/>
          <w:bdr w:val="none" w:sz="0" w:space="0" w:color="auto" w:frame="1"/>
          <w:lang w:val="en-GB"/>
        </w:rPr>
        <w:t xml:space="preserve">energy bill </w:t>
      </w:r>
      <w:r w:rsidR="000F3E67" w:rsidRPr="00DC7DED">
        <w:rPr>
          <w:rStyle w:val="normaltextrun"/>
          <w:rFonts w:ascii="Calibri" w:hAnsi="Calibri" w:cs="Calibri"/>
          <w:color w:val="000000"/>
          <w:bdr w:val="none" w:sz="0" w:space="0" w:color="auto" w:frame="1"/>
          <w:lang w:val="en-GB"/>
        </w:rPr>
        <w:t xml:space="preserve">savings </w:t>
      </w:r>
      <w:r w:rsidR="008908BB">
        <w:rPr>
          <w:rStyle w:val="normaltextrun"/>
          <w:rFonts w:ascii="Calibri" w:hAnsi="Calibri" w:cs="Calibri"/>
          <w:color w:val="000000"/>
          <w:bdr w:val="none" w:sz="0" w:space="0" w:color="auto" w:frame="1"/>
          <w:lang w:val="en-GB"/>
        </w:rPr>
        <w:t xml:space="preserve">associated with the CBD Program </w:t>
      </w:r>
      <w:r w:rsidR="000F3E67" w:rsidRPr="00DC7DED">
        <w:rPr>
          <w:rStyle w:val="normaltextrun"/>
          <w:rFonts w:ascii="Calibri" w:hAnsi="Calibri" w:cs="Calibri"/>
          <w:color w:val="000000"/>
          <w:bdr w:val="none" w:sz="0" w:space="0" w:color="auto" w:frame="1"/>
          <w:lang w:val="en-GB"/>
        </w:rPr>
        <w:t xml:space="preserve">to more building types and </w:t>
      </w:r>
      <w:r w:rsidR="006F6AB7" w:rsidRPr="00DC7DED">
        <w:rPr>
          <w:rStyle w:val="normaltextrun"/>
          <w:rFonts w:ascii="Calibri" w:hAnsi="Calibri" w:cs="Calibri"/>
          <w:color w:val="000000"/>
          <w:bdr w:val="none" w:sz="0" w:space="0" w:color="auto" w:frame="1"/>
          <w:lang w:val="en-GB"/>
        </w:rPr>
        <w:t>sizes</w:t>
      </w:r>
      <w:r w:rsidR="006F6AB7">
        <w:rPr>
          <w:rStyle w:val="normaltextrun"/>
          <w:rFonts w:ascii="Calibri" w:hAnsi="Calibri" w:cs="Calibri"/>
          <w:color w:val="000000"/>
          <w:bdr w:val="none" w:sz="0" w:space="0" w:color="auto" w:frame="1"/>
          <w:lang w:val="en-GB"/>
        </w:rPr>
        <w:t xml:space="preserve"> and</w:t>
      </w:r>
      <w:r w:rsidR="007665CC">
        <w:rPr>
          <w:rStyle w:val="normaltextrun"/>
          <w:rFonts w:ascii="Calibri" w:hAnsi="Calibri" w:cs="Calibri"/>
          <w:color w:val="000000"/>
          <w:bdr w:val="none" w:sz="0" w:space="0" w:color="auto" w:frame="1"/>
          <w:lang w:val="en-GB"/>
        </w:rPr>
        <w:t xml:space="preserve"> empower more</w:t>
      </w:r>
      <w:r w:rsidR="00CA0325" w:rsidRPr="009B621A">
        <w:rPr>
          <w:rStyle w:val="normaltextrun"/>
          <w:rFonts w:ascii="Calibri" w:hAnsi="Calibri"/>
          <w:color w:val="000000"/>
          <w:bdr w:val="none" w:sz="0" w:space="0" w:color="auto" w:frame="1"/>
          <w:lang w:val="en-GB"/>
        </w:rPr>
        <w:t xml:space="preserve"> building owners and operators to make informed decisions that enhance energy efficiency and reduce consumption.</w:t>
      </w:r>
    </w:p>
    <w:p w14:paraId="5537F40F" w14:textId="77777777" w:rsidR="00566D37" w:rsidRDefault="00566D37" w:rsidP="00DB363F">
      <w:pPr>
        <w:pStyle w:val="Heading4"/>
        <w:rPr>
          <w:rFonts w:eastAsiaTheme="minorEastAsia"/>
          <w:sz w:val="22"/>
          <w:szCs w:val="22"/>
          <w:lang w:eastAsia="ja-JP"/>
        </w:rPr>
      </w:pPr>
    </w:p>
    <w:p w14:paraId="49E5F389" w14:textId="3134E4BD" w:rsidR="00DB363F" w:rsidRPr="00C218F8" w:rsidRDefault="00DB363F" w:rsidP="00DB363F">
      <w:pPr>
        <w:pStyle w:val="Heading4"/>
        <w:rPr>
          <w:rFonts w:eastAsiaTheme="minorEastAsia"/>
          <w:sz w:val="24"/>
          <w:lang w:eastAsia="ja-JP"/>
        </w:rPr>
      </w:pPr>
      <w:r w:rsidRPr="00C218F8">
        <w:rPr>
          <w:rFonts w:eastAsiaTheme="minorEastAsia"/>
          <w:sz w:val="24"/>
          <w:lang w:eastAsia="ja-JP"/>
        </w:rPr>
        <w:t xml:space="preserve">How does the </w:t>
      </w:r>
      <w:r w:rsidR="00180DCE" w:rsidRPr="00C218F8">
        <w:rPr>
          <w:rFonts w:eastAsiaTheme="minorEastAsia"/>
          <w:sz w:val="24"/>
          <w:lang w:eastAsia="ja-JP"/>
        </w:rPr>
        <w:t xml:space="preserve">current </w:t>
      </w:r>
      <w:r w:rsidRPr="00C218F8">
        <w:rPr>
          <w:rFonts w:eastAsiaTheme="minorEastAsia"/>
          <w:sz w:val="24"/>
          <w:lang w:eastAsia="ja-JP"/>
        </w:rPr>
        <w:t>CBD Program work?</w:t>
      </w:r>
    </w:p>
    <w:p w14:paraId="77C65542" w14:textId="506E8865" w:rsidR="003B3265" w:rsidRPr="003B3265" w:rsidRDefault="00DB363F" w:rsidP="00CB7069">
      <w:pPr>
        <w:pStyle w:val="NormalWeb"/>
        <w:shd w:val="clear" w:color="auto" w:fill="FFFFFF"/>
        <w:spacing w:after="120" w:line="276" w:lineRule="auto"/>
        <w:rPr>
          <w:rFonts w:asciiTheme="majorHAnsi" w:hAnsiTheme="majorHAnsi"/>
          <w:sz w:val="22"/>
          <w:szCs w:val="22"/>
          <w:lang w:eastAsia="en-US"/>
        </w:rPr>
      </w:pPr>
      <w:r w:rsidRPr="003B3265">
        <w:rPr>
          <w:rFonts w:asciiTheme="majorHAnsi" w:hAnsiTheme="majorHAnsi"/>
          <w:sz w:val="22"/>
          <w:szCs w:val="22"/>
          <w:lang w:eastAsia="en-US"/>
        </w:rPr>
        <w:t xml:space="preserve">The CBD Program </w:t>
      </w:r>
      <w:r w:rsidR="003B3265" w:rsidRPr="003B3265">
        <w:rPr>
          <w:rFonts w:asciiTheme="majorHAnsi" w:hAnsiTheme="majorHAnsi"/>
          <w:sz w:val="22"/>
          <w:szCs w:val="22"/>
          <w:lang w:eastAsia="en-US"/>
        </w:rPr>
        <w:t xml:space="preserve">requires most sellers and lessors of office space of 1000 square metres or more to obtain a Building Energy Efficiency Certificate (BEEC) before the building goes on the market for sale, </w:t>
      </w:r>
      <w:proofErr w:type="gramStart"/>
      <w:r w:rsidR="003B3265" w:rsidRPr="003B3265">
        <w:rPr>
          <w:rFonts w:asciiTheme="majorHAnsi" w:hAnsiTheme="majorHAnsi"/>
          <w:sz w:val="22"/>
          <w:szCs w:val="22"/>
          <w:lang w:eastAsia="en-US"/>
        </w:rPr>
        <w:t>lease</w:t>
      </w:r>
      <w:proofErr w:type="gramEnd"/>
      <w:r w:rsidR="003B3265" w:rsidRPr="003B3265">
        <w:rPr>
          <w:rFonts w:asciiTheme="majorHAnsi" w:hAnsiTheme="majorHAnsi"/>
          <w:sz w:val="22"/>
          <w:szCs w:val="22"/>
          <w:lang w:eastAsia="en-US"/>
        </w:rPr>
        <w:t xml:space="preserve"> or sublease.</w:t>
      </w:r>
    </w:p>
    <w:p w14:paraId="0EC1ADA8" w14:textId="77777777" w:rsidR="003B3265" w:rsidRPr="003B3265" w:rsidRDefault="003B3265" w:rsidP="00C8492C">
      <w:pPr>
        <w:shd w:val="clear" w:color="auto" w:fill="FFFFFF"/>
      </w:pPr>
      <w:r w:rsidRPr="003B3265">
        <w:t>BEECs are valid for up to 12 months and include:</w:t>
      </w:r>
    </w:p>
    <w:p w14:paraId="372FB011" w14:textId="1FD309EB" w:rsidR="003B3265" w:rsidRPr="003B3265" w:rsidRDefault="003B3265" w:rsidP="00C8492C">
      <w:pPr>
        <w:numPr>
          <w:ilvl w:val="0"/>
          <w:numId w:val="10"/>
        </w:numPr>
        <w:shd w:val="clear" w:color="auto" w:fill="FFFFFF"/>
      </w:pPr>
      <w:r w:rsidRPr="003B3265">
        <w:t>the building's National Australian Built Environment Rating System (NABERS) Energy for offices star rating</w:t>
      </w:r>
      <w:r w:rsidR="009B2C90">
        <w:t>,</w:t>
      </w:r>
      <w:r w:rsidR="004C3F1B">
        <w:t xml:space="preserve"> and</w:t>
      </w:r>
    </w:p>
    <w:p w14:paraId="491B91E5" w14:textId="65F7B135" w:rsidR="004923DE" w:rsidRPr="00790091" w:rsidRDefault="003B3265" w:rsidP="00C8492C">
      <w:pPr>
        <w:numPr>
          <w:ilvl w:val="0"/>
          <w:numId w:val="10"/>
        </w:numPr>
        <w:shd w:val="clear" w:color="auto" w:fill="FFFFFF"/>
      </w:pPr>
      <w:r w:rsidRPr="003B3265">
        <w:t>a tenancy lighting assessment</w:t>
      </w:r>
      <w:r w:rsidR="00F23C8F">
        <w:t xml:space="preserve"> (TLA)</w:t>
      </w:r>
      <w:r w:rsidRPr="003B3265">
        <w:t xml:space="preserve"> of the relevant area of the building</w:t>
      </w:r>
      <w:r w:rsidR="004C3F1B">
        <w:t>.</w:t>
      </w:r>
    </w:p>
    <w:p w14:paraId="488028C1" w14:textId="2F3CC342" w:rsidR="00F00382" w:rsidRPr="00F00382" w:rsidRDefault="00F00382" w:rsidP="00C8492C">
      <w:pPr>
        <w:pStyle w:val="NormalWeb"/>
        <w:shd w:val="clear" w:color="auto" w:fill="FFFFFF"/>
        <w:spacing w:after="120" w:line="276" w:lineRule="auto"/>
        <w:rPr>
          <w:rFonts w:asciiTheme="majorHAnsi" w:hAnsiTheme="majorHAnsi"/>
          <w:sz w:val="22"/>
          <w:szCs w:val="22"/>
          <w:lang w:eastAsia="en-US"/>
        </w:rPr>
      </w:pPr>
      <w:r w:rsidRPr="00F00382">
        <w:rPr>
          <w:rFonts w:asciiTheme="majorHAnsi" w:hAnsiTheme="majorHAnsi"/>
          <w:sz w:val="22"/>
          <w:szCs w:val="22"/>
          <w:lang w:eastAsia="en-US"/>
        </w:rPr>
        <w:t>The </w:t>
      </w:r>
      <w:hyperlink r:id="rId13" w:history="1">
        <w:r w:rsidRPr="00F00382">
          <w:rPr>
            <w:rFonts w:asciiTheme="majorHAnsi" w:hAnsiTheme="majorHAnsi"/>
            <w:i/>
            <w:iCs/>
            <w:sz w:val="22"/>
            <w:szCs w:val="22"/>
            <w:lang w:eastAsia="en-US"/>
          </w:rPr>
          <w:t>Building Energy Efficiency Disclosure Act 2010</w:t>
        </w:r>
      </w:hyperlink>
      <w:r w:rsidRPr="00F00382">
        <w:rPr>
          <w:rFonts w:asciiTheme="majorHAnsi" w:hAnsiTheme="majorHAnsi"/>
          <w:sz w:val="22"/>
          <w:szCs w:val="22"/>
          <w:lang w:eastAsia="en-US"/>
        </w:rPr>
        <w:t> </w:t>
      </w:r>
      <w:r w:rsidR="00910D66">
        <w:rPr>
          <w:rFonts w:asciiTheme="majorHAnsi" w:hAnsiTheme="majorHAnsi"/>
          <w:sz w:val="22"/>
          <w:szCs w:val="22"/>
          <w:lang w:eastAsia="en-US"/>
        </w:rPr>
        <w:t xml:space="preserve">(BEED Act) </w:t>
      </w:r>
      <w:r w:rsidRPr="00F00382">
        <w:rPr>
          <w:rFonts w:asciiTheme="majorHAnsi" w:hAnsiTheme="majorHAnsi"/>
          <w:sz w:val="22"/>
          <w:szCs w:val="22"/>
          <w:lang w:eastAsia="en-US"/>
        </w:rPr>
        <w:t>requires that:</w:t>
      </w:r>
    </w:p>
    <w:p w14:paraId="0CBDF298" w14:textId="4A17F564" w:rsidR="00F00382" w:rsidRPr="00F00382" w:rsidRDefault="00F00382" w:rsidP="00C8492C">
      <w:pPr>
        <w:numPr>
          <w:ilvl w:val="0"/>
          <w:numId w:val="11"/>
        </w:numPr>
        <w:shd w:val="clear" w:color="auto" w:fill="FFFFFF"/>
        <w:ind w:left="714" w:hanging="357"/>
      </w:pPr>
      <w:r w:rsidRPr="00F00382">
        <w:t>BEECs must be provided to potential buyers or lessees when requested at the time of sale, lease or sublease</w:t>
      </w:r>
      <w:r w:rsidR="0045259A">
        <w:t xml:space="preserve"> and be available on a public register administered by </w:t>
      </w:r>
      <w:r w:rsidR="00E0580A">
        <w:t>the department</w:t>
      </w:r>
      <w:r w:rsidR="0045259A">
        <w:t>.</w:t>
      </w:r>
      <w:r w:rsidR="00F75CC2">
        <w:t xml:space="preserve"> This is the </w:t>
      </w:r>
      <w:r w:rsidR="00F75CC2" w:rsidRPr="00F75CC2">
        <w:rPr>
          <w:b/>
          <w:bCs/>
        </w:rPr>
        <w:t>trigger for disclosure</w:t>
      </w:r>
      <w:r w:rsidR="00F75CC2">
        <w:t>.</w:t>
      </w:r>
    </w:p>
    <w:p w14:paraId="586586E6" w14:textId="04E9CFA2" w:rsidR="00A1128B" w:rsidRDefault="00F00382" w:rsidP="00236D08">
      <w:pPr>
        <w:numPr>
          <w:ilvl w:val="0"/>
          <w:numId w:val="11"/>
        </w:numPr>
        <w:shd w:val="clear" w:color="auto" w:fill="FFFFFF"/>
        <w:spacing w:before="100" w:beforeAutospacing="1"/>
        <w:ind w:left="714" w:hanging="357"/>
      </w:pPr>
      <w:r w:rsidRPr="00F00382">
        <w:t xml:space="preserve">the building's NABERS Energy star rating must also be included in any advertising material for the sale, </w:t>
      </w:r>
      <w:proofErr w:type="gramStart"/>
      <w:r w:rsidRPr="00F00382">
        <w:t>lease</w:t>
      </w:r>
      <w:proofErr w:type="gramEnd"/>
      <w:r w:rsidRPr="00F00382">
        <w:t xml:space="preserve"> or sublease.</w:t>
      </w:r>
      <w:r w:rsidR="001F3C5D">
        <w:t xml:space="preserve"> This is</w:t>
      </w:r>
      <w:r w:rsidR="00146CEE">
        <w:t xml:space="preserve"> the</w:t>
      </w:r>
      <w:r w:rsidR="001F3C5D">
        <w:t xml:space="preserve"> </w:t>
      </w:r>
      <w:r w:rsidR="00146CEE">
        <w:rPr>
          <w:b/>
          <w:bCs/>
        </w:rPr>
        <w:t>location for</w:t>
      </w:r>
      <w:r w:rsidR="001F3C5D" w:rsidRPr="001F3C5D">
        <w:rPr>
          <w:b/>
          <w:bCs/>
        </w:rPr>
        <w:t xml:space="preserve"> disclosure</w:t>
      </w:r>
      <w:r w:rsidR="001F3C5D">
        <w:t>.</w:t>
      </w:r>
    </w:p>
    <w:p w14:paraId="3EF49018" w14:textId="77777777" w:rsidR="00566D37" w:rsidRDefault="00566D37" w:rsidP="00210A42">
      <w:pPr>
        <w:pStyle w:val="Heading4"/>
        <w:rPr>
          <w:rFonts w:eastAsiaTheme="minorEastAsia"/>
          <w:sz w:val="22"/>
          <w:szCs w:val="22"/>
          <w:lang w:eastAsia="ja-JP"/>
        </w:rPr>
      </w:pPr>
    </w:p>
    <w:p w14:paraId="5AFCCA20" w14:textId="586503AB" w:rsidR="00210A42" w:rsidRPr="00C218F8" w:rsidRDefault="00864414" w:rsidP="00210A42">
      <w:pPr>
        <w:pStyle w:val="Heading4"/>
        <w:rPr>
          <w:rFonts w:eastAsiaTheme="minorEastAsia"/>
          <w:sz w:val="24"/>
          <w:lang w:eastAsia="ja-JP"/>
        </w:rPr>
      </w:pPr>
      <w:r w:rsidRPr="00C218F8">
        <w:rPr>
          <w:rFonts w:eastAsiaTheme="minorEastAsia"/>
          <w:sz w:val="24"/>
          <w:lang w:eastAsia="ja-JP"/>
        </w:rPr>
        <w:t xml:space="preserve">What </w:t>
      </w:r>
      <w:r w:rsidR="00F253C6" w:rsidRPr="00C218F8">
        <w:rPr>
          <w:rFonts w:eastAsiaTheme="minorEastAsia"/>
          <w:sz w:val="24"/>
          <w:lang w:eastAsia="ja-JP"/>
        </w:rPr>
        <w:t xml:space="preserve">changes </w:t>
      </w:r>
      <w:r w:rsidR="00502A7A">
        <w:rPr>
          <w:rFonts w:eastAsiaTheme="minorEastAsia"/>
          <w:sz w:val="24"/>
          <w:lang w:eastAsia="ja-JP"/>
        </w:rPr>
        <w:t>are</w:t>
      </w:r>
      <w:r w:rsidR="00CB7005">
        <w:rPr>
          <w:rFonts w:eastAsiaTheme="minorEastAsia"/>
          <w:sz w:val="24"/>
          <w:lang w:eastAsia="ja-JP"/>
        </w:rPr>
        <w:t xml:space="preserve"> the</w:t>
      </w:r>
      <w:r w:rsidR="00F253C6" w:rsidRPr="00C218F8">
        <w:rPr>
          <w:rFonts w:eastAsiaTheme="minorEastAsia"/>
          <w:sz w:val="24"/>
          <w:lang w:eastAsia="ja-JP"/>
        </w:rPr>
        <w:t xml:space="preserve"> </w:t>
      </w:r>
      <w:r w:rsidR="00CB7005">
        <w:rPr>
          <w:rFonts w:eastAsiaTheme="minorEastAsia"/>
          <w:sz w:val="24"/>
          <w:lang w:eastAsia="ja-JP"/>
        </w:rPr>
        <w:t>g</w:t>
      </w:r>
      <w:r w:rsidR="00F253C6" w:rsidRPr="00C218F8">
        <w:rPr>
          <w:rFonts w:eastAsiaTheme="minorEastAsia"/>
          <w:sz w:val="24"/>
          <w:lang w:eastAsia="ja-JP"/>
        </w:rPr>
        <w:t xml:space="preserve">overnment considering? </w:t>
      </w:r>
    </w:p>
    <w:p w14:paraId="1E488C7A" w14:textId="5CC0A65A" w:rsidR="00887510" w:rsidRDefault="00387168" w:rsidP="00387168">
      <w:r>
        <w:t xml:space="preserve">Both the CIE review of the CBD Program in 2019 and a subsequent </w:t>
      </w:r>
      <w:r w:rsidR="000602D4">
        <w:t xml:space="preserve">recent </w:t>
      </w:r>
      <w:r>
        <w:t>feasibility study by KPMG have suggested a</w:t>
      </w:r>
      <w:r w:rsidR="007C480D">
        <w:t xml:space="preserve"> staged</w:t>
      </w:r>
      <w:r>
        <w:t xml:space="preserve"> expansion of the CBD Program to other ownerships structure</w:t>
      </w:r>
      <w:r w:rsidR="009D7393">
        <w:t>s</w:t>
      </w:r>
      <w:r>
        <w:t xml:space="preserve">, building types and sectors. </w:t>
      </w:r>
      <w:r w:rsidR="00673EB8">
        <w:t xml:space="preserve">The reports also canvass what </w:t>
      </w:r>
      <w:r w:rsidR="00933632">
        <w:t xml:space="preserve">energy and emissions </w:t>
      </w:r>
      <w:r w:rsidR="00673EB8">
        <w:t>information should be disclosed</w:t>
      </w:r>
      <w:r w:rsidR="00933632">
        <w:t xml:space="preserve">. </w:t>
      </w:r>
      <w:r w:rsidR="005D130F">
        <w:t xml:space="preserve">You can find </w:t>
      </w:r>
      <w:proofErr w:type="gramStart"/>
      <w:r w:rsidR="005D130F">
        <w:t>both of these</w:t>
      </w:r>
      <w:proofErr w:type="gramEnd"/>
      <w:r w:rsidR="005D130F">
        <w:t xml:space="preserve"> </w:t>
      </w:r>
      <w:r w:rsidR="00887510">
        <w:t xml:space="preserve">reports at </w:t>
      </w:r>
      <w:hyperlink r:id="rId14" w:history="1">
        <w:r w:rsidR="00F02431" w:rsidRPr="00CB254E">
          <w:rPr>
            <w:rStyle w:val="Hyperlink"/>
          </w:rPr>
          <w:t>www.cbd.gov.au</w:t>
        </w:r>
      </w:hyperlink>
      <w:r w:rsidR="00887510" w:rsidRPr="00F6037A">
        <w:t xml:space="preserve">.  </w:t>
      </w:r>
    </w:p>
    <w:p w14:paraId="3B4FF066" w14:textId="5ED8F271" w:rsidR="00606384" w:rsidRPr="00857494" w:rsidRDefault="00387168" w:rsidP="00387168">
      <w:r>
        <w:t>The feasibility study includes a suggested road map for introducing mandatory disclosure to most major commercial building sectors by 2035</w:t>
      </w:r>
      <w:r w:rsidR="00606384">
        <w:t xml:space="preserve"> (see Figure 1)</w:t>
      </w:r>
      <w:r>
        <w:t>.</w:t>
      </w:r>
    </w:p>
    <w:p w14:paraId="63805C18" w14:textId="1FDE22BC" w:rsidR="00387168" w:rsidRPr="00857494" w:rsidRDefault="00922495" w:rsidP="00387168">
      <w:pPr>
        <w:rPr>
          <w:color w:val="FF0000"/>
        </w:rPr>
      </w:pPr>
      <w:r>
        <w:rPr>
          <w:noProof/>
          <w:color w:val="FF0000"/>
        </w:rPr>
        <w:lastRenderedPageBreak/>
        <w:drawing>
          <wp:inline distT="0" distB="0" distL="0" distR="0" wp14:anchorId="27E73667" wp14:editId="07D72F86">
            <wp:extent cx="5976620" cy="5535930"/>
            <wp:effectExtent l="0" t="0" r="5080" b="7620"/>
            <wp:docPr id="536515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15397" name="Picture 53651539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76620" cy="5535930"/>
                    </a:xfrm>
                    <a:prstGeom prst="rect">
                      <a:avLst/>
                    </a:prstGeom>
                  </pic:spPr>
                </pic:pic>
              </a:graphicData>
            </a:graphic>
          </wp:inline>
        </w:drawing>
      </w:r>
    </w:p>
    <w:p w14:paraId="5FE9AEF1" w14:textId="36607C1B" w:rsidR="00857494" w:rsidRPr="00566D37" w:rsidRDefault="007750BF" w:rsidP="008F08C6">
      <w:pPr>
        <w:pStyle w:val="BodyText"/>
        <w:spacing w:line="276" w:lineRule="auto"/>
        <w:rPr>
          <w:rFonts w:asciiTheme="majorHAnsi" w:hAnsiTheme="majorHAnsi"/>
          <w:color w:val="auto"/>
          <w:sz w:val="18"/>
          <w:szCs w:val="18"/>
        </w:rPr>
      </w:pPr>
      <w:r>
        <w:rPr>
          <w:rFonts w:asciiTheme="majorHAnsi" w:hAnsiTheme="majorHAnsi"/>
          <w:color w:val="auto"/>
          <w:sz w:val="18"/>
          <w:szCs w:val="18"/>
        </w:rPr>
        <w:t xml:space="preserve">Figure </w:t>
      </w:r>
      <w:proofErr w:type="gramStart"/>
      <w:r w:rsidR="005A550F">
        <w:rPr>
          <w:rFonts w:asciiTheme="majorHAnsi" w:hAnsiTheme="majorHAnsi"/>
          <w:color w:val="auto"/>
          <w:sz w:val="18"/>
          <w:szCs w:val="18"/>
        </w:rPr>
        <w:t xml:space="preserve">1 </w:t>
      </w:r>
      <w:r w:rsidR="00566D37">
        <w:rPr>
          <w:rFonts w:asciiTheme="majorHAnsi" w:hAnsiTheme="majorHAnsi"/>
          <w:color w:val="auto"/>
          <w:sz w:val="18"/>
          <w:szCs w:val="18"/>
        </w:rPr>
        <w:t>:</w:t>
      </w:r>
      <w:proofErr w:type="gramEnd"/>
      <w:r w:rsidR="00566D37">
        <w:rPr>
          <w:rFonts w:asciiTheme="majorHAnsi" w:hAnsiTheme="majorHAnsi"/>
          <w:color w:val="auto"/>
          <w:sz w:val="18"/>
          <w:szCs w:val="18"/>
        </w:rPr>
        <w:t xml:space="preserve"> High-level road map for how </w:t>
      </w:r>
      <w:r w:rsidR="008044FC">
        <w:rPr>
          <w:rFonts w:asciiTheme="majorHAnsi" w:hAnsiTheme="majorHAnsi"/>
          <w:color w:val="auto"/>
          <w:sz w:val="18"/>
          <w:szCs w:val="18"/>
        </w:rPr>
        <w:t>the CBD Program could be expanded</w:t>
      </w:r>
      <w:r w:rsidR="00236D08">
        <w:rPr>
          <w:rFonts w:asciiTheme="majorHAnsi" w:hAnsiTheme="majorHAnsi"/>
          <w:color w:val="auto"/>
          <w:sz w:val="18"/>
          <w:szCs w:val="18"/>
        </w:rPr>
        <w:t>.</w:t>
      </w:r>
    </w:p>
    <w:p w14:paraId="49CC3A84" w14:textId="77777777" w:rsidR="00857494" w:rsidRPr="00566D37" w:rsidRDefault="00857494" w:rsidP="008F08C6">
      <w:pPr>
        <w:pStyle w:val="BodyText"/>
        <w:spacing w:line="276" w:lineRule="auto"/>
        <w:rPr>
          <w:rFonts w:asciiTheme="majorHAnsi" w:hAnsiTheme="majorHAnsi"/>
          <w:color w:val="auto"/>
          <w:sz w:val="18"/>
          <w:szCs w:val="18"/>
        </w:rPr>
      </w:pPr>
    </w:p>
    <w:p w14:paraId="7AC232F8" w14:textId="62833DE0" w:rsidR="000E4E2C" w:rsidRDefault="00D83606" w:rsidP="008F08C6">
      <w:pPr>
        <w:pStyle w:val="BodyText"/>
        <w:spacing w:line="276" w:lineRule="auto"/>
        <w:rPr>
          <w:rFonts w:asciiTheme="majorHAnsi" w:hAnsiTheme="majorHAnsi"/>
          <w:color w:val="auto"/>
          <w:sz w:val="22"/>
        </w:rPr>
      </w:pPr>
      <w:r>
        <w:rPr>
          <w:rFonts w:asciiTheme="majorHAnsi" w:hAnsiTheme="majorHAnsi"/>
          <w:color w:val="auto"/>
          <w:sz w:val="22"/>
        </w:rPr>
        <w:t>The following principl</w:t>
      </w:r>
      <w:r w:rsidR="00EA665C">
        <w:rPr>
          <w:rFonts w:asciiTheme="majorHAnsi" w:hAnsiTheme="majorHAnsi"/>
          <w:color w:val="auto"/>
          <w:sz w:val="22"/>
        </w:rPr>
        <w:t>es underpin the above road map for change</w:t>
      </w:r>
      <w:r w:rsidR="002B5ABA">
        <w:rPr>
          <w:rFonts w:asciiTheme="majorHAnsi" w:hAnsiTheme="majorHAnsi"/>
          <w:color w:val="auto"/>
          <w:sz w:val="22"/>
        </w:rPr>
        <w:t>:</w:t>
      </w:r>
    </w:p>
    <w:p w14:paraId="66F4CD53" w14:textId="47E422A2" w:rsidR="000E4E2C" w:rsidRDefault="003C095D" w:rsidP="008F08C6">
      <w:pPr>
        <w:pStyle w:val="BodyText"/>
        <w:numPr>
          <w:ilvl w:val="0"/>
          <w:numId w:val="20"/>
        </w:numPr>
        <w:spacing w:line="276" w:lineRule="auto"/>
        <w:rPr>
          <w:rFonts w:asciiTheme="majorHAnsi" w:hAnsiTheme="majorHAnsi"/>
          <w:color w:val="auto"/>
          <w:sz w:val="22"/>
        </w:rPr>
      </w:pPr>
      <w:r w:rsidRPr="00E66F2D">
        <w:rPr>
          <w:rFonts w:asciiTheme="majorHAnsi" w:hAnsiTheme="majorHAnsi"/>
          <w:color w:val="auto"/>
          <w:sz w:val="22"/>
        </w:rPr>
        <w:t>prioritising early expansion in scope to larger building types where NABERS ratings tools are available</w:t>
      </w:r>
      <w:r w:rsidR="001133CF">
        <w:rPr>
          <w:rFonts w:asciiTheme="majorHAnsi" w:hAnsiTheme="majorHAnsi"/>
          <w:color w:val="auto"/>
          <w:sz w:val="22"/>
        </w:rPr>
        <w:t>.</w:t>
      </w:r>
    </w:p>
    <w:p w14:paraId="6D225901" w14:textId="77777777" w:rsidR="000E4E2C" w:rsidRDefault="003C095D" w:rsidP="008F08C6">
      <w:pPr>
        <w:pStyle w:val="BodyText"/>
        <w:numPr>
          <w:ilvl w:val="0"/>
          <w:numId w:val="20"/>
        </w:numPr>
        <w:spacing w:line="276" w:lineRule="auto"/>
        <w:rPr>
          <w:rFonts w:asciiTheme="majorHAnsi" w:hAnsiTheme="majorHAnsi"/>
          <w:color w:val="auto"/>
          <w:sz w:val="22"/>
        </w:rPr>
      </w:pPr>
      <w:r w:rsidRPr="000E4E2C">
        <w:rPr>
          <w:rFonts w:asciiTheme="majorHAnsi" w:hAnsiTheme="majorHAnsi"/>
          <w:color w:val="auto"/>
          <w:sz w:val="22"/>
        </w:rPr>
        <w:t xml:space="preserve">pursuing coverage of all significant commercial buildings sectors over time, eventually covering a large proportion of their emissions and energy use with effective regulation. </w:t>
      </w:r>
    </w:p>
    <w:p w14:paraId="3A4CD850" w14:textId="6C2D168C" w:rsidR="000E4E2C" w:rsidRDefault="003C095D" w:rsidP="008F08C6">
      <w:pPr>
        <w:pStyle w:val="BodyText"/>
        <w:numPr>
          <w:ilvl w:val="0"/>
          <w:numId w:val="20"/>
        </w:numPr>
        <w:spacing w:line="276" w:lineRule="auto"/>
        <w:rPr>
          <w:rFonts w:asciiTheme="majorHAnsi" w:hAnsiTheme="majorHAnsi"/>
          <w:color w:val="auto"/>
          <w:sz w:val="22"/>
        </w:rPr>
      </w:pPr>
      <w:r w:rsidRPr="000E4E2C">
        <w:rPr>
          <w:rFonts w:asciiTheme="majorHAnsi" w:hAnsiTheme="majorHAnsi"/>
          <w:color w:val="auto"/>
          <w:sz w:val="22"/>
        </w:rPr>
        <w:t xml:space="preserve">phasing in </w:t>
      </w:r>
      <w:r w:rsidR="00B90798">
        <w:rPr>
          <w:rFonts w:asciiTheme="majorHAnsi" w:hAnsiTheme="majorHAnsi"/>
          <w:color w:val="auto"/>
          <w:sz w:val="22"/>
        </w:rPr>
        <w:t>minimum energy performance standards (MEPS)</w:t>
      </w:r>
      <w:r w:rsidRPr="000E4E2C">
        <w:rPr>
          <w:rFonts w:asciiTheme="majorHAnsi" w:hAnsiTheme="majorHAnsi"/>
          <w:color w:val="auto"/>
          <w:sz w:val="22"/>
        </w:rPr>
        <w:t xml:space="preserve"> to building types that have first been subject to disclosure requirements. </w:t>
      </w:r>
    </w:p>
    <w:p w14:paraId="36F8D158" w14:textId="654D7C93" w:rsidR="001133CF" w:rsidRDefault="003C095D" w:rsidP="008F08C6">
      <w:pPr>
        <w:pStyle w:val="BodyText"/>
        <w:numPr>
          <w:ilvl w:val="0"/>
          <w:numId w:val="20"/>
        </w:numPr>
        <w:spacing w:line="276" w:lineRule="auto"/>
        <w:rPr>
          <w:rFonts w:asciiTheme="majorHAnsi" w:hAnsiTheme="majorHAnsi"/>
          <w:color w:val="auto"/>
          <w:sz w:val="22"/>
        </w:rPr>
      </w:pPr>
      <w:r w:rsidRPr="000E4E2C">
        <w:rPr>
          <w:rFonts w:asciiTheme="majorHAnsi" w:hAnsiTheme="majorHAnsi"/>
          <w:color w:val="auto"/>
          <w:sz w:val="22"/>
        </w:rPr>
        <w:t>specific details on timing, size thresholds, trigger points and disclosure/consideration requirements following more detailed cost benefit analysis, regulatory impact statement (RIS) and industry consultations.</w:t>
      </w:r>
    </w:p>
    <w:p w14:paraId="33DC4780" w14:textId="21D092F3" w:rsidR="00B15E29" w:rsidRDefault="001B5AE0" w:rsidP="008F08C6">
      <w:r>
        <w:t xml:space="preserve">The </w:t>
      </w:r>
      <w:r w:rsidR="00E946AA">
        <w:t>d</w:t>
      </w:r>
      <w:r>
        <w:t xml:space="preserve">epartment </w:t>
      </w:r>
      <w:r w:rsidR="00D9301C">
        <w:t xml:space="preserve">is </w:t>
      </w:r>
      <w:r w:rsidR="00382B2F">
        <w:t>seeking feedback on the above road map</w:t>
      </w:r>
      <w:r w:rsidR="003022C7">
        <w:t xml:space="preserve">, noting that </w:t>
      </w:r>
      <w:r w:rsidR="00894C37">
        <w:t xml:space="preserve">implementing </w:t>
      </w:r>
      <w:r w:rsidR="00F92499">
        <w:t xml:space="preserve">CBD </w:t>
      </w:r>
      <w:r w:rsidR="003022C7">
        <w:t>expansion</w:t>
      </w:r>
      <w:r w:rsidR="00B46DA3">
        <w:t xml:space="preserve"> would require further analysis of the </w:t>
      </w:r>
      <w:r w:rsidR="0011577E">
        <w:t>costs and benefits particular to the</w:t>
      </w:r>
      <w:r w:rsidR="006E3C8C">
        <w:t xml:space="preserve"> </w:t>
      </w:r>
      <w:r w:rsidR="00EC12D3">
        <w:t xml:space="preserve">specific </w:t>
      </w:r>
      <w:r w:rsidR="00894C37">
        <w:t>sector</w:t>
      </w:r>
      <w:r w:rsidR="00EC12D3">
        <w:t xml:space="preserve"> under consideration</w:t>
      </w:r>
      <w:r w:rsidR="007F1E5F">
        <w:t xml:space="preserve">. </w:t>
      </w:r>
    </w:p>
    <w:p w14:paraId="554DF1FF" w14:textId="2593D843" w:rsidR="00035F9C" w:rsidRPr="00210A42" w:rsidRDefault="007F1E5F" w:rsidP="008F08C6">
      <w:pPr>
        <w:rPr>
          <w:rFonts w:eastAsiaTheme="minorEastAsia"/>
          <w:lang w:eastAsia="ja-JP"/>
        </w:rPr>
      </w:pPr>
      <w:r>
        <w:lastRenderedPageBreak/>
        <w:t>Specifically</w:t>
      </w:r>
      <w:r w:rsidR="008233CB">
        <w:t>,</w:t>
      </w:r>
      <w:r>
        <w:t xml:space="preserve"> the </w:t>
      </w:r>
      <w:r w:rsidR="00E946AA">
        <w:t>d</w:t>
      </w:r>
      <w:r>
        <w:t xml:space="preserve">epartment is </w:t>
      </w:r>
      <w:r w:rsidR="00197ED9">
        <w:t>examining options to</w:t>
      </w:r>
      <w:r w:rsidR="00035F9C">
        <w:t>:</w:t>
      </w:r>
      <w:r w:rsidR="00197ED9">
        <w:t xml:space="preserve"> </w:t>
      </w:r>
    </w:p>
    <w:p w14:paraId="1D536B45" w14:textId="7E5DF6A9" w:rsidR="00864414" w:rsidRDefault="00146CEE" w:rsidP="00616876">
      <w:pPr>
        <w:pStyle w:val="ListParagraph"/>
        <w:numPr>
          <w:ilvl w:val="0"/>
          <w:numId w:val="12"/>
        </w:numPr>
        <w:shd w:val="clear" w:color="auto" w:fill="FFFFFF"/>
        <w:ind w:left="714" w:hanging="357"/>
        <w:contextualSpacing w:val="0"/>
      </w:pPr>
      <w:r w:rsidRPr="006A33A1">
        <w:rPr>
          <w:b/>
          <w:bCs/>
        </w:rPr>
        <w:t>E</w:t>
      </w:r>
      <w:r w:rsidR="00197ED9" w:rsidRPr="006A33A1">
        <w:rPr>
          <w:b/>
          <w:bCs/>
        </w:rPr>
        <w:t xml:space="preserve">xpand the CBD </w:t>
      </w:r>
      <w:r w:rsidR="00035F9C" w:rsidRPr="006A33A1">
        <w:rPr>
          <w:b/>
          <w:bCs/>
        </w:rPr>
        <w:t>P</w:t>
      </w:r>
      <w:r w:rsidR="00197ED9" w:rsidRPr="006A33A1">
        <w:rPr>
          <w:b/>
          <w:bCs/>
        </w:rPr>
        <w:t>rogram</w:t>
      </w:r>
      <w:r w:rsidR="00035F9C" w:rsidRPr="006A33A1">
        <w:rPr>
          <w:b/>
          <w:bCs/>
        </w:rPr>
        <w:t xml:space="preserve"> to different types of commercial building</w:t>
      </w:r>
      <w:r w:rsidR="00987161" w:rsidRPr="006A33A1">
        <w:rPr>
          <w:b/>
          <w:bCs/>
        </w:rPr>
        <w:t>s</w:t>
      </w:r>
      <w:r w:rsidR="007F1E5F">
        <w:rPr>
          <w:b/>
          <w:bCs/>
        </w:rPr>
        <w:t xml:space="preserve"> in line with the </w:t>
      </w:r>
      <w:r w:rsidR="008233CB">
        <w:rPr>
          <w:b/>
          <w:bCs/>
        </w:rPr>
        <w:t>suggested road map</w:t>
      </w:r>
      <w:r w:rsidR="00D1271B">
        <w:t>.</w:t>
      </w:r>
      <w:r w:rsidR="00F73F97">
        <w:t xml:space="preserve"> </w:t>
      </w:r>
      <w:r w:rsidR="008233CB">
        <w:t xml:space="preserve">This would mean the </w:t>
      </w:r>
      <w:r w:rsidR="00812612">
        <w:t xml:space="preserve">CBD Program </w:t>
      </w:r>
      <w:r w:rsidR="008233CB">
        <w:t xml:space="preserve">would </w:t>
      </w:r>
      <w:r w:rsidR="00812612">
        <w:t xml:space="preserve">be expanded first to more office buildings and to hotels and office tenancies. Other building types that could be included at a later stage include shopping centres, data centres, warehouses, cold stores, residential aged </w:t>
      </w:r>
      <w:proofErr w:type="gramStart"/>
      <w:r w:rsidR="00812612">
        <w:t>care</w:t>
      </w:r>
      <w:proofErr w:type="gramEnd"/>
      <w:r w:rsidR="00812612">
        <w:t xml:space="preserve"> and retirement living.</w:t>
      </w:r>
      <w:r w:rsidR="00593C1C">
        <w:t xml:space="preserve"> </w:t>
      </w:r>
      <w:r w:rsidR="0085493B">
        <w:t xml:space="preserve">Expanding to different types of commercial buildings </w:t>
      </w:r>
      <w:r w:rsidR="00593C1C">
        <w:t xml:space="preserve">could require different triggers for disclosure than </w:t>
      </w:r>
      <w:r w:rsidR="00D33091">
        <w:t xml:space="preserve">on </w:t>
      </w:r>
      <w:r w:rsidR="00593C1C">
        <w:t>sale or lease, and different location</w:t>
      </w:r>
      <w:r w:rsidR="00987161">
        <w:t>s</w:t>
      </w:r>
      <w:r w:rsidR="00593C1C">
        <w:t xml:space="preserve"> for disclosure than in advertising</w:t>
      </w:r>
      <w:r>
        <w:t>.</w:t>
      </w:r>
    </w:p>
    <w:p w14:paraId="2D8E61AE" w14:textId="5C756714" w:rsidR="00146CEE" w:rsidRDefault="00FE2E9E" w:rsidP="00616876">
      <w:pPr>
        <w:pStyle w:val="ListParagraph"/>
        <w:numPr>
          <w:ilvl w:val="0"/>
          <w:numId w:val="12"/>
        </w:numPr>
        <w:shd w:val="clear" w:color="auto" w:fill="FFFFFF"/>
        <w:ind w:left="714" w:hanging="357"/>
        <w:contextualSpacing w:val="0"/>
      </w:pPr>
      <w:r w:rsidRPr="004563C5">
        <w:rPr>
          <w:b/>
          <w:bCs/>
        </w:rPr>
        <w:t xml:space="preserve">Expand the CBD </w:t>
      </w:r>
      <w:r w:rsidR="00987161" w:rsidRPr="004563C5">
        <w:rPr>
          <w:b/>
          <w:bCs/>
        </w:rPr>
        <w:t>P</w:t>
      </w:r>
      <w:r w:rsidRPr="004563C5">
        <w:rPr>
          <w:b/>
          <w:bCs/>
        </w:rPr>
        <w:t>rogram to different ownership</w:t>
      </w:r>
      <w:r>
        <w:t xml:space="preserve"> structures such as trusts, </w:t>
      </w:r>
      <w:proofErr w:type="gramStart"/>
      <w:r>
        <w:t>partnerships</w:t>
      </w:r>
      <w:proofErr w:type="gramEnd"/>
      <w:r>
        <w:t xml:space="preserve"> and individuals.</w:t>
      </w:r>
      <w:r w:rsidR="00D73F0C">
        <w:t xml:space="preserve"> Currently, the Program is limited in scope to constitutional corporations.</w:t>
      </w:r>
    </w:p>
    <w:p w14:paraId="6B996202" w14:textId="27CD1707" w:rsidR="0032633C" w:rsidRPr="00A63232" w:rsidRDefault="0032633C" w:rsidP="00616876">
      <w:pPr>
        <w:pStyle w:val="ListParagraph"/>
        <w:numPr>
          <w:ilvl w:val="0"/>
          <w:numId w:val="12"/>
        </w:numPr>
        <w:shd w:val="clear" w:color="auto" w:fill="FFFFFF"/>
        <w:ind w:left="714" w:hanging="357"/>
        <w:contextualSpacing w:val="0"/>
      </w:pPr>
      <w:r w:rsidRPr="00A63232">
        <w:rPr>
          <w:b/>
        </w:rPr>
        <w:t>Investig</w:t>
      </w:r>
      <w:r w:rsidR="00CF0F22" w:rsidRPr="00A63232">
        <w:rPr>
          <w:b/>
        </w:rPr>
        <w:t>ate what energy and emissions information should be disclosed</w:t>
      </w:r>
      <w:r w:rsidR="00911CE4">
        <w:t>. Currently</w:t>
      </w:r>
      <w:r w:rsidR="008241DE">
        <w:t xml:space="preserve">, BEECs include </w:t>
      </w:r>
      <w:r w:rsidR="00530D17">
        <w:t>the building's NABERS energy rating and a tenancy lighting assessment (TLA) of the relevant area of the building.</w:t>
      </w:r>
      <w:r w:rsidR="008241DE">
        <w:t xml:space="preserve"> </w:t>
      </w:r>
      <w:r w:rsidR="00530D17">
        <w:t xml:space="preserve">The department is interested in </w:t>
      </w:r>
      <w:r w:rsidR="009974CF">
        <w:t xml:space="preserve">the usefulness and necessity of </w:t>
      </w:r>
      <w:r w:rsidR="005B7FED">
        <w:t>a</w:t>
      </w:r>
      <w:r w:rsidR="009974CF">
        <w:t xml:space="preserve"> TLA in other building types, and </w:t>
      </w:r>
      <w:r w:rsidR="00283F40">
        <w:t xml:space="preserve">the benefits of requiring disclosure of any </w:t>
      </w:r>
      <w:r w:rsidR="009974CF">
        <w:t xml:space="preserve">other </w:t>
      </w:r>
      <w:r w:rsidR="00105CC2">
        <w:t xml:space="preserve">energy or emissions </w:t>
      </w:r>
      <w:r w:rsidR="009974CF">
        <w:t>information</w:t>
      </w:r>
      <w:r w:rsidR="00C538E1">
        <w:t>. Examples include</w:t>
      </w:r>
      <w:r w:rsidR="00241CAD">
        <w:t xml:space="preserve"> scope one emissions (from on-site activities such as gas </w:t>
      </w:r>
      <w:r w:rsidR="000C38DB">
        <w:t>use</w:t>
      </w:r>
      <w:r w:rsidR="00C967D2">
        <w:t>,</w:t>
      </w:r>
      <w:r w:rsidR="00241CAD">
        <w:t xml:space="preserve"> diesel use</w:t>
      </w:r>
      <w:r w:rsidR="00C967D2">
        <w:t xml:space="preserve"> or refrigerants)</w:t>
      </w:r>
      <w:r w:rsidR="00B951B8">
        <w:t xml:space="preserve"> </w:t>
      </w:r>
      <w:r w:rsidR="0060483E">
        <w:t>and renewable energy</w:t>
      </w:r>
      <w:r w:rsidR="006A0BFD">
        <w:t xml:space="preserve"> use</w:t>
      </w:r>
      <w:r w:rsidR="00283F40">
        <w:t>.</w:t>
      </w:r>
    </w:p>
    <w:p w14:paraId="197E7D04" w14:textId="1113E6B5" w:rsidR="00FE2E9E" w:rsidRDefault="00210A42" w:rsidP="00616876">
      <w:pPr>
        <w:pStyle w:val="ListParagraph"/>
        <w:numPr>
          <w:ilvl w:val="0"/>
          <w:numId w:val="12"/>
        </w:numPr>
        <w:shd w:val="clear" w:color="auto" w:fill="FFFFFF"/>
        <w:ind w:left="714" w:hanging="357"/>
        <w:contextualSpacing w:val="0"/>
      </w:pPr>
      <w:r w:rsidRPr="004563C5">
        <w:rPr>
          <w:b/>
          <w:bCs/>
        </w:rPr>
        <w:t>Investigate the future u</w:t>
      </w:r>
      <w:r w:rsidR="00955244" w:rsidRPr="004563C5">
        <w:rPr>
          <w:b/>
          <w:bCs/>
        </w:rPr>
        <w:t>se</w:t>
      </w:r>
      <w:r w:rsidRPr="004563C5">
        <w:rPr>
          <w:b/>
          <w:bCs/>
        </w:rPr>
        <w:t xml:space="preserve"> of</w:t>
      </w:r>
      <w:r w:rsidR="00955244" w:rsidRPr="004563C5">
        <w:rPr>
          <w:b/>
          <w:bCs/>
        </w:rPr>
        <w:t xml:space="preserve"> minimum energy performance standards</w:t>
      </w:r>
      <w:r w:rsidR="00955244">
        <w:t xml:space="preserve"> to </w:t>
      </w:r>
      <w:r w:rsidR="00234E2D">
        <w:t xml:space="preserve">improve the </w:t>
      </w:r>
      <w:r w:rsidR="00376D03">
        <w:t xml:space="preserve">energy </w:t>
      </w:r>
      <w:r w:rsidR="00234E2D">
        <w:t>efficiency of any commercial buildings that do not respond to disclosure.</w:t>
      </w:r>
      <w:r w:rsidR="0072697F">
        <w:t xml:space="preserve"> Minimum </w:t>
      </w:r>
      <w:r w:rsidR="00404F1E">
        <w:t>e</w:t>
      </w:r>
      <w:r w:rsidR="0072697F">
        <w:t xml:space="preserve">nergy </w:t>
      </w:r>
      <w:r w:rsidR="00404F1E">
        <w:t>p</w:t>
      </w:r>
      <w:r w:rsidR="0072697F">
        <w:t xml:space="preserve">erformance </w:t>
      </w:r>
      <w:r w:rsidR="00404F1E">
        <w:t>s</w:t>
      </w:r>
      <w:r w:rsidR="0072697F">
        <w:t xml:space="preserve">tandards </w:t>
      </w:r>
      <w:r w:rsidR="00404F1E">
        <w:t xml:space="preserve">(MEPS) </w:t>
      </w:r>
      <w:r w:rsidR="002C5BD2">
        <w:t xml:space="preserve">could </w:t>
      </w:r>
      <w:r w:rsidR="00FC33D8" w:rsidRPr="00FC33D8">
        <w:t>require specific buildings to meet</w:t>
      </w:r>
      <w:r w:rsidR="00505B29">
        <w:t xml:space="preserve"> base level</w:t>
      </w:r>
      <w:r w:rsidR="00FC33D8" w:rsidRPr="00FC33D8">
        <w:t xml:space="preserve"> requirements, such as a </w:t>
      </w:r>
      <w:r w:rsidR="00FC33D8">
        <w:t xml:space="preserve">particular </w:t>
      </w:r>
      <w:r w:rsidR="00FC33D8" w:rsidRPr="00FC33D8">
        <w:t>star rating, by a specified date in the future.</w:t>
      </w:r>
      <w:r w:rsidR="008168F4">
        <w:t xml:space="preserve"> </w:t>
      </w:r>
    </w:p>
    <w:p w14:paraId="0ACCAF6D" w14:textId="6BF57545" w:rsidR="00852282" w:rsidRPr="00BE345B" w:rsidRDefault="00852282" w:rsidP="008F08C6">
      <w:pPr>
        <w:shd w:val="clear" w:color="auto" w:fill="FFFFFF"/>
      </w:pPr>
      <w:r>
        <w:t>Th</w:t>
      </w:r>
      <w:r w:rsidR="0014314C">
        <w:t>ese</w:t>
      </w:r>
      <w:r>
        <w:t xml:space="preserve"> </w:t>
      </w:r>
      <w:r w:rsidR="00100B4F">
        <w:t xml:space="preserve">options </w:t>
      </w:r>
      <w:r>
        <w:t>require amendments to the legislative framework underpinning the CBD Program, including the BEED Act.</w:t>
      </w:r>
    </w:p>
    <w:p w14:paraId="6DFB6459" w14:textId="77777777" w:rsidR="00C8521C" w:rsidRDefault="00C8521C" w:rsidP="00236D08">
      <w:pPr>
        <w:pStyle w:val="Heading3"/>
        <w:spacing w:line="276" w:lineRule="auto"/>
      </w:pPr>
    </w:p>
    <w:p w14:paraId="1DEA06CB" w14:textId="50EB4D25" w:rsidR="00BF10C7" w:rsidRDefault="00BF10C7" w:rsidP="008F08C6">
      <w:pPr>
        <w:pStyle w:val="Heading3"/>
        <w:spacing w:after="120" w:line="276" w:lineRule="auto"/>
      </w:pPr>
      <w:r>
        <w:t>Consultation</w:t>
      </w:r>
    </w:p>
    <w:p w14:paraId="3D9D6DE1" w14:textId="0ADFDB69" w:rsidR="00D520C0" w:rsidRPr="00D520C0" w:rsidRDefault="00D520C0" w:rsidP="008F08C6">
      <w:pPr>
        <w:rPr>
          <w:rFonts w:cstheme="minorHAnsi"/>
        </w:rPr>
      </w:pPr>
      <w:r>
        <w:rPr>
          <w:rFonts w:cstheme="minorHAnsi"/>
        </w:rPr>
        <w:t>The department has gathered a considerable amount of information from stakeholders about the CBD Program through the 2019 review and, more recently, through the National Energy Performance Strategy consultations. This consultation does not seek to duplicate this work</w:t>
      </w:r>
      <w:r w:rsidR="00AE795E">
        <w:rPr>
          <w:rFonts w:cstheme="minorHAnsi"/>
        </w:rPr>
        <w:t xml:space="preserve">. </w:t>
      </w:r>
      <w:r w:rsidR="00B15E29">
        <w:rPr>
          <w:rFonts w:cstheme="minorHAnsi"/>
        </w:rPr>
        <w:t>The department is</w:t>
      </w:r>
      <w:r w:rsidR="00AE795E">
        <w:rPr>
          <w:rFonts w:cstheme="minorHAnsi"/>
        </w:rPr>
        <w:t xml:space="preserve"> seeking feedback on </w:t>
      </w:r>
      <w:r w:rsidR="007911C3">
        <w:rPr>
          <w:rFonts w:cstheme="minorHAnsi"/>
        </w:rPr>
        <w:t>the road map approach as contained in the KPMG feasibility report</w:t>
      </w:r>
      <w:r w:rsidR="00E40574">
        <w:rPr>
          <w:rFonts w:cstheme="minorHAnsi"/>
        </w:rPr>
        <w:t>, an</w:t>
      </w:r>
      <w:r w:rsidR="00A76F5A">
        <w:rPr>
          <w:rFonts w:cstheme="minorHAnsi"/>
        </w:rPr>
        <w:t xml:space="preserve">d </w:t>
      </w:r>
      <w:r w:rsidR="00E96574">
        <w:rPr>
          <w:rFonts w:cstheme="minorHAnsi"/>
        </w:rPr>
        <w:t xml:space="preserve">specific </w:t>
      </w:r>
      <w:r w:rsidR="00A76F5A">
        <w:rPr>
          <w:rFonts w:cstheme="minorHAnsi"/>
        </w:rPr>
        <w:t xml:space="preserve">impacts </w:t>
      </w:r>
      <w:r w:rsidR="00652B59">
        <w:rPr>
          <w:rFonts w:cstheme="minorHAnsi"/>
        </w:rPr>
        <w:t xml:space="preserve">of expanding the CBD Program </w:t>
      </w:r>
      <w:r w:rsidR="00A76F5A">
        <w:rPr>
          <w:rFonts w:cstheme="minorHAnsi"/>
        </w:rPr>
        <w:t xml:space="preserve">on </w:t>
      </w:r>
      <w:proofErr w:type="gramStart"/>
      <w:r w:rsidR="00E96574">
        <w:rPr>
          <w:rFonts w:cstheme="minorHAnsi"/>
        </w:rPr>
        <w:t xml:space="preserve">particular </w:t>
      </w:r>
      <w:r w:rsidR="00652B59">
        <w:rPr>
          <w:rFonts w:cstheme="minorHAnsi"/>
        </w:rPr>
        <w:t>building</w:t>
      </w:r>
      <w:proofErr w:type="gramEnd"/>
      <w:r w:rsidR="00652B59">
        <w:rPr>
          <w:rFonts w:cstheme="minorHAnsi"/>
        </w:rPr>
        <w:t xml:space="preserve"> types covered by the </w:t>
      </w:r>
      <w:r w:rsidR="00F85A45">
        <w:rPr>
          <w:rFonts w:cstheme="minorHAnsi"/>
        </w:rPr>
        <w:t>suggested road map.</w:t>
      </w:r>
    </w:p>
    <w:p w14:paraId="2F30BBBC" w14:textId="36E43CFF" w:rsidR="00C669F2" w:rsidRPr="00E80F3B" w:rsidRDefault="00C110FC" w:rsidP="008F08C6">
      <w:r>
        <w:t>T</w:t>
      </w:r>
      <w:r w:rsidR="00C669F2">
        <w:t xml:space="preserve">o have your say, please go to </w:t>
      </w:r>
      <w:r w:rsidR="00C669F2" w:rsidRPr="00E80F3B">
        <w:t>consult.dcceew.gov.au</w:t>
      </w:r>
      <w:r w:rsidR="00542AF7">
        <w:t xml:space="preserve"> </w:t>
      </w:r>
      <w:r w:rsidRPr="00E80F3B">
        <w:t xml:space="preserve">and complete the survey. An opportunity to attach a written submission </w:t>
      </w:r>
      <w:r w:rsidR="004344C7" w:rsidRPr="00E80F3B">
        <w:t>will be available at the end of the survey</w:t>
      </w:r>
      <w:r w:rsidR="00033765" w:rsidRPr="00E80F3B">
        <w:t>.</w:t>
      </w:r>
      <w:r w:rsidR="00C669F2" w:rsidRPr="00E80F3B">
        <w:t xml:space="preserve"> </w:t>
      </w:r>
    </w:p>
    <w:p w14:paraId="6EA882B3" w14:textId="3B9D5D1E" w:rsidR="00C669F2" w:rsidRDefault="00C669F2" w:rsidP="008F08C6">
      <w:r>
        <w:t>Submission</w:t>
      </w:r>
      <w:r w:rsidR="00616876">
        <w:t>s</w:t>
      </w:r>
      <w:r>
        <w:t xml:space="preserve"> will close </w:t>
      </w:r>
      <w:r w:rsidR="00F50721">
        <w:t>at</w:t>
      </w:r>
      <w:r>
        <w:t xml:space="preserve"> 5pm </w:t>
      </w:r>
      <w:r w:rsidR="00CC1784">
        <w:t xml:space="preserve">AEST </w:t>
      </w:r>
      <w:r w:rsidR="002629C3">
        <w:t>Friday 13</w:t>
      </w:r>
      <w:r w:rsidR="00DD7200">
        <w:t xml:space="preserve"> September</w:t>
      </w:r>
      <w:r w:rsidR="00CC1784">
        <w:t xml:space="preserve"> </w:t>
      </w:r>
      <w:r>
        <w:t>2024</w:t>
      </w:r>
      <w:r w:rsidR="00A87F07">
        <w:t>.</w:t>
      </w:r>
    </w:p>
    <w:p w14:paraId="44555CD1" w14:textId="77777777" w:rsidR="00CC1E55" w:rsidRDefault="00CC1E55" w:rsidP="00236D08">
      <w:pPr>
        <w:pStyle w:val="Heading4"/>
        <w:spacing w:line="276" w:lineRule="auto"/>
        <w:rPr>
          <w:sz w:val="24"/>
        </w:rPr>
      </w:pPr>
    </w:p>
    <w:p w14:paraId="788CDB7C" w14:textId="4DF8294D" w:rsidR="00BF10C7" w:rsidRPr="00E76F27" w:rsidRDefault="00BF10C7" w:rsidP="008F08C6">
      <w:pPr>
        <w:pStyle w:val="Heading4"/>
        <w:spacing w:after="120" w:line="276" w:lineRule="auto"/>
        <w:rPr>
          <w:sz w:val="24"/>
        </w:rPr>
      </w:pPr>
      <w:r w:rsidRPr="00E76F27">
        <w:rPr>
          <w:sz w:val="24"/>
        </w:rPr>
        <w:t xml:space="preserve">Who do we hope to hear from? </w:t>
      </w:r>
    </w:p>
    <w:p w14:paraId="4ECD1483" w14:textId="788EB716" w:rsidR="00BF10C7" w:rsidRDefault="00BF10C7" w:rsidP="00674848">
      <w:pPr>
        <w:pStyle w:val="ListParagraph"/>
        <w:numPr>
          <w:ilvl w:val="0"/>
          <w:numId w:val="9"/>
        </w:numPr>
        <w:spacing w:after="0"/>
        <w:ind w:left="714" w:hanging="357"/>
        <w:contextualSpacing w:val="0"/>
      </w:pPr>
      <w:r>
        <w:t>Owners and tenants of commercial buildings.</w:t>
      </w:r>
    </w:p>
    <w:p w14:paraId="2C98D828" w14:textId="77777777" w:rsidR="00BF10C7" w:rsidRDefault="00BF10C7" w:rsidP="00674848">
      <w:pPr>
        <w:pStyle w:val="ListParagraph"/>
        <w:numPr>
          <w:ilvl w:val="0"/>
          <w:numId w:val="9"/>
        </w:numPr>
        <w:spacing w:after="0"/>
        <w:ind w:left="714" w:hanging="357"/>
        <w:contextualSpacing w:val="0"/>
      </w:pPr>
      <w:r>
        <w:t>Members of the energy efficiency industry such as energy assessors.</w:t>
      </w:r>
    </w:p>
    <w:p w14:paraId="7EA945F4" w14:textId="77777777" w:rsidR="00BF10C7" w:rsidRDefault="00BF10C7" w:rsidP="00674848">
      <w:pPr>
        <w:pStyle w:val="ListParagraph"/>
        <w:numPr>
          <w:ilvl w:val="0"/>
          <w:numId w:val="9"/>
        </w:numPr>
        <w:spacing w:after="0"/>
        <w:ind w:left="714" w:hanging="357"/>
        <w:contextualSpacing w:val="0"/>
      </w:pPr>
      <w:r>
        <w:t>Investors and others who might use energy efficiency information about buildings.</w:t>
      </w:r>
    </w:p>
    <w:p w14:paraId="70210233" w14:textId="48CFF252" w:rsidR="00BB21A9" w:rsidRDefault="00BB21A9" w:rsidP="00674848">
      <w:pPr>
        <w:pStyle w:val="ListParagraph"/>
        <w:numPr>
          <w:ilvl w:val="0"/>
          <w:numId w:val="9"/>
        </w:numPr>
        <w:spacing w:after="0"/>
        <w:ind w:left="714" w:hanging="357"/>
        <w:contextualSpacing w:val="0"/>
      </w:pPr>
      <w:r>
        <w:t>Anyone interested in using</w:t>
      </w:r>
      <w:r w:rsidR="002B5FAD">
        <w:t xml:space="preserve"> or </w:t>
      </w:r>
      <w:r>
        <w:t xml:space="preserve">publishing </w:t>
      </w:r>
      <w:r w:rsidR="002B5FAD">
        <w:t>the energy rating of buildings, for example hotel booking sites</w:t>
      </w:r>
      <w:r w:rsidR="00325C51">
        <w:t>.</w:t>
      </w:r>
    </w:p>
    <w:p w14:paraId="3F994F9E" w14:textId="05CF10C3" w:rsidR="00E31D44" w:rsidRPr="009D15E9" w:rsidRDefault="00E31D44" w:rsidP="003F6416">
      <w:pPr>
        <w:pStyle w:val="ListParagraph"/>
        <w:numPr>
          <w:ilvl w:val="0"/>
          <w:numId w:val="9"/>
        </w:numPr>
        <w:ind w:left="714" w:hanging="357"/>
        <w:contextualSpacing w:val="0"/>
      </w:pPr>
      <w:r>
        <w:t>Anyone with an interest in the CBD Program.</w:t>
      </w:r>
    </w:p>
    <w:p w14:paraId="1D1BC8EF" w14:textId="77777777" w:rsidR="00CC1E55" w:rsidRDefault="00CC1E55" w:rsidP="00236D08">
      <w:pPr>
        <w:spacing w:after="0"/>
        <w:rPr>
          <w:b/>
          <w:bCs/>
          <w:sz w:val="24"/>
          <w:szCs w:val="24"/>
        </w:rPr>
      </w:pPr>
    </w:p>
    <w:p w14:paraId="68488786" w14:textId="6F369C6C" w:rsidR="008C70E1" w:rsidRPr="00E76F27" w:rsidRDefault="00587E68" w:rsidP="00E201C9">
      <w:pPr>
        <w:rPr>
          <w:b/>
          <w:sz w:val="24"/>
          <w:szCs w:val="24"/>
        </w:rPr>
      </w:pPr>
      <w:r w:rsidRPr="00E76F27">
        <w:rPr>
          <w:b/>
          <w:sz w:val="24"/>
          <w:szCs w:val="24"/>
        </w:rPr>
        <w:lastRenderedPageBreak/>
        <w:t xml:space="preserve">Consultation </w:t>
      </w:r>
      <w:r w:rsidR="00A27A3D" w:rsidRPr="00E76F27">
        <w:rPr>
          <w:b/>
          <w:sz w:val="24"/>
          <w:szCs w:val="24"/>
        </w:rPr>
        <w:t>questions</w:t>
      </w:r>
    </w:p>
    <w:p w14:paraId="795FAA9D" w14:textId="02FC8A93" w:rsidR="002242D2" w:rsidRDefault="00C9130C" w:rsidP="00311C03">
      <w:pPr>
        <w:pStyle w:val="ListParagraph"/>
        <w:numPr>
          <w:ilvl w:val="0"/>
          <w:numId w:val="8"/>
        </w:numPr>
        <w:contextualSpacing w:val="0"/>
      </w:pPr>
      <w:r w:rsidRPr="00D73F0C">
        <w:t>What are your views on expanding the CBD Program to different types of commercial buildings in line with the suggested road map?</w:t>
      </w:r>
    </w:p>
    <w:p w14:paraId="2F6C2D6A" w14:textId="6F38ED3C" w:rsidR="00F607F5" w:rsidRDefault="00F62A47" w:rsidP="00311C03">
      <w:pPr>
        <w:pStyle w:val="ListParagraph"/>
        <w:numPr>
          <w:ilvl w:val="0"/>
          <w:numId w:val="8"/>
        </w:numPr>
        <w:contextualSpacing w:val="0"/>
      </w:pPr>
      <w:r>
        <w:t>W</w:t>
      </w:r>
      <w:r w:rsidR="00F15ED2">
        <w:t xml:space="preserve">here should </w:t>
      </w:r>
      <w:r w:rsidR="00680F92">
        <w:t xml:space="preserve">disclosure information (e.g. </w:t>
      </w:r>
      <w:r w:rsidR="00F15ED2">
        <w:t>energy rating</w:t>
      </w:r>
      <w:r>
        <w:t>s</w:t>
      </w:r>
      <w:r w:rsidR="00680F92">
        <w:t>)</w:t>
      </w:r>
      <w:r w:rsidR="00F15ED2">
        <w:t xml:space="preserve"> be displayed?</w:t>
      </w:r>
      <w:r w:rsidR="00631DA0">
        <w:t xml:space="preserve"> Some examples include on advertising</w:t>
      </w:r>
      <w:r w:rsidR="00297CDE">
        <w:t xml:space="preserve"> (including online advertising</w:t>
      </w:r>
      <w:r w:rsidR="001C3FDD">
        <w:t>)</w:t>
      </w:r>
      <w:r w:rsidR="00631DA0">
        <w:t>, on your business website, in the foyer</w:t>
      </w:r>
      <w:r w:rsidR="001F4AAA">
        <w:t>.</w:t>
      </w:r>
    </w:p>
    <w:p w14:paraId="442A590C" w14:textId="4BADD7BC" w:rsidR="00F15ED2" w:rsidRDefault="00F62A47" w:rsidP="00311C03">
      <w:pPr>
        <w:pStyle w:val="ListParagraph"/>
        <w:numPr>
          <w:ilvl w:val="0"/>
          <w:numId w:val="8"/>
        </w:numPr>
        <w:contextualSpacing w:val="0"/>
      </w:pPr>
      <w:r>
        <w:t>W</w:t>
      </w:r>
      <w:r w:rsidR="00F27E0F">
        <w:t>hat should trigger disclosure?</w:t>
      </w:r>
      <w:r w:rsidR="001F4AAA">
        <w:t xml:space="preserve"> Some examples include on sale or lease, or </w:t>
      </w:r>
      <w:r w:rsidR="00F61DCF">
        <w:t>a periodic trigger such as yearly</w:t>
      </w:r>
      <w:r w:rsidR="007D3829">
        <w:t xml:space="preserve"> or once every two years</w:t>
      </w:r>
      <w:r w:rsidR="00F61DCF">
        <w:t>.</w:t>
      </w:r>
    </w:p>
    <w:p w14:paraId="1A481ED1" w14:textId="797F31C3" w:rsidR="00F27E0F" w:rsidRDefault="00F27E0F" w:rsidP="00311C03">
      <w:pPr>
        <w:pStyle w:val="ListParagraph"/>
        <w:numPr>
          <w:ilvl w:val="0"/>
          <w:numId w:val="8"/>
        </w:numPr>
        <w:contextualSpacing w:val="0"/>
      </w:pPr>
      <w:r>
        <w:t xml:space="preserve">Who would be most interested in </w:t>
      </w:r>
      <w:r w:rsidR="00AC0CA9">
        <w:t>your energy use?</w:t>
      </w:r>
    </w:p>
    <w:p w14:paraId="6F3DD9ED" w14:textId="20964531" w:rsidR="00F1140F" w:rsidRDefault="00A875E1" w:rsidP="00311C03">
      <w:pPr>
        <w:pStyle w:val="ListParagraph"/>
        <w:numPr>
          <w:ilvl w:val="0"/>
          <w:numId w:val="8"/>
        </w:numPr>
        <w:contextualSpacing w:val="0"/>
      </w:pPr>
      <w:r>
        <w:t>W</w:t>
      </w:r>
      <w:r w:rsidR="0026163F">
        <w:t xml:space="preserve">hat are the barriers to you </w:t>
      </w:r>
      <w:r>
        <w:t>getting and disclosing your building’s energy rating?</w:t>
      </w:r>
      <w:r w:rsidR="00F1140F">
        <w:t xml:space="preserve"> What might be needed to help you overcome those barriers?</w:t>
      </w:r>
    </w:p>
    <w:p w14:paraId="5E15C2A1" w14:textId="16508E3C" w:rsidR="00E67786" w:rsidRDefault="00E67786" w:rsidP="00311C03">
      <w:pPr>
        <w:pStyle w:val="ListParagraph"/>
        <w:numPr>
          <w:ilvl w:val="0"/>
          <w:numId w:val="8"/>
        </w:numPr>
        <w:contextualSpacing w:val="0"/>
      </w:pPr>
      <w:r>
        <w:t xml:space="preserve">Should other information also be disclosed in addition to the NABERS energy rating? </w:t>
      </w:r>
      <w:r w:rsidR="00D96BD8">
        <w:t>Possibilities include Scope 1 emissions</w:t>
      </w:r>
      <w:r w:rsidR="00E519A1">
        <w:t xml:space="preserve"> from on-site activities</w:t>
      </w:r>
      <w:r w:rsidR="003F571C" w:rsidRPr="003F571C">
        <w:rPr>
          <w:rFonts w:eastAsia="Times New Roman"/>
        </w:rPr>
        <w:t xml:space="preserve"> </w:t>
      </w:r>
      <w:r w:rsidR="003F571C">
        <w:rPr>
          <w:rFonts w:eastAsia="Times New Roman"/>
        </w:rPr>
        <w:t>(for example gas use, diesel use and refrigerants)</w:t>
      </w:r>
      <w:r w:rsidR="00E519A1">
        <w:t xml:space="preserve"> or the NABERS Renewable Energy Indic</w:t>
      </w:r>
      <w:r w:rsidR="00F06BFB">
        <w:t>a</w:t>
      </w:r>
      <w:r w:rsidR="00E519A1">
        <w:t>tor</w:t>
      </w:r>
      <w:r w:rsidR="00CD4AD0">
        <w:t xml:space="preserve"> </w:t>
      </w:r>
      <w:r w:rsidR="00CD4AD0">
        <w:rPr>
          <w:rFonts w:eastAsia="Times New Roman"/>
        </w:rPr>
        <w:t>which displays the proportion of the building’s energy that comes from on-site renewable energy generated and off-site renewable energy procured</w:t>
      </w:r>
      <w:r w:rsidR="00673E54">
        <w:t>.</w:t>
      </w:r>
    </w:p>
    <w:p w14:paraId="420FCD36" w14:textId="6480A03D" w:rsidR="00EE5CC3" w:rsidRDefault="00EE5CC3" w:rsidP="00EE5CC3">
      <w:pPr>
        <w:pStyle w:val="ListParagraph"/>
        <w:numPr>
          <w:ilvl w:val="0"/>
          <w:numId w:val="8"/>
        </w:numPr>
        <w:contextualSpacing w:val="0"/>
      </w:pPr>
      <w:r w:rsidRPr="003E19F0">
        <w:t>Wha</w:t>
      </w:r>
      <w:r>
        <w:t>t</w:t>
      </w:r>
      <w:r w:rsidRPr="003E19F0">
        <w:t xml:space="preserve"> are your views on the use of minimum energy performance standards to improve the </w:t>
      </w:r>
      <w:r>
        <w:t xml:space="preserve">energy </w:t>
      </w:r>
      <w:r w:rsidRPr="003E19F0">
        <w:t>efficiency of commercial buildings</w:t>
      </w:r>
      <w:r>
        <w:t>?</w:t>
      </w:r>
    </w:p>
    <w:p w14:paraId="4C2CD6BB" w14:textId="77777777" w:rsidR="00CC1E55" w:rsidRDefault="00CC1E55" w:rsidP="001B5D1C">
      <w:pPr>
        <w:pStyle w:val="Heading3"/>
      </w:pPr>
    </w:p>
    <w:p w14:paraId="1C15550C" w14:textId="513A7F27" w:rsidR="00B82095" w:rsidRPr="0080517C" w:rsidRDefault="000913B5" w:rsidP="001B5D1C">
      <w:pPr>
        <w:pStyle w:val="Heading3"/>
      </w:pPr>
      <w:r>
        <w:t>More</w:t>
      </w:r>
      <w:r w:rsidR="00B82095" w:rsidRPr="0080517C">
        <w:t xml:space="preserve"> information</w:t>
      </w:r>
    </w:p>
    <w:p w14:paraId="386FBA6F" w14:textId="3DB1C6FF" w:rsidR="00B82095" w:rsidRDefault="000E7803" w:rsidP="00203059">
      <w:r>
        <w:rPr>
          <w:lang w:eastAsia="ja-JP"/>
        </w:rPr>
        <w:t xml:space="preserve">Learn more </w:t>
      </w:r>
      <w:r w:rsidR="00DD480D">
        <w:rPr>
          <w:lang w:eastAsia="ja-JP"/>
        </w:rPr>
        <w:t xml:space="preserve">about the </w:t>
      </w:r>
      <w:r w:rsidR="00DD480D" w:rsidRPr="36FD8164">
        <w:rPr>
          <w:lang w:eastAsia="ja-JP"/>
        </w:rPr>
        <w:t>Commercial Building Disclosure Program</w:t>
      </w:r>
      <w:r w:rsidR="00124F4E">
        <w:rPr>
          <w:lang w:eastAsia="ja-JP"/>
        </w:rPr>
        <w:t xml:space="preserve"> at</w:t>
      </w:r>
      <w:r w:rsidR="004C4212">
        <w:rPr>
          <w:lang w:eastAsia="ja-JP"/>
        </w:rPr>
        <w:t xml:space="preserve"> </w:t>
      </w:r>
      <w:hyperlink r:id="rId16" w:history="1">
        <w:r w:rsidR="004C4212" w:rsidRPr="00667E5D">
          <w:rPr>
            <w:rStyle w:val="Hyperlink"/>
            <w:lang w:eastAsia="ja-JP"/>
          </w:rPr>
          <w:t>www.cbd.gov.au</w:t>
        </w:r>
      </w:hyperlink>
      <w:r w:rsidR="004C4212">
        <w:rPr>
          <w:rStyle w:val="Hyperlink"/>
          <w:color w:val="auto"/>
          <w:u w:val="none"/>
          <w:lang w:eastAsia="ja-JP"/>
        </w:rPr>
        <w:t xml:space="preserve"> or </w:t>
      </w:r>
      <w:r w:rsidR="004C4212">
        <w:rPr>
          <w:lang w:eastAsia="ja-JP"/>
        </w:rPr>
        <w:t>e</w:t>
      </w:r>
      <w:r w:rsidR="00B82095" w:rsidRPr="00CD6263">
        <w:rPr>
          <w:lang w:eastAsia="ja-JP"/>
        </w:rPr>
        <w:t>mail</w:t>
      </w:r>
      <w:r w:rsidR="00BC0EE1">
        <w:rPr>
          <w:lang w:eastAsia="ja-JP"/>
        </w:rPr>
        <w:t xml:space="preserve"> </w:t>
      </w:r>
      <w:hyperlink r:id="rId17" w:history="1">
        <w:r w:rsidR="001C629A" w:rsidRPr="00036BE6">
          <w:rPr>
            <w:rStyle w:val="Hyperlink"/>
            <w:lang w:eastAsia="ja-JP"/>
          </w:rPr>
          <w:t>commercial.buildings.team@dcceew.gov.au</w:t>
        </w:r>
      </w:hyperlink>
      <w:r w:rsidR="001C629A">
        <w:rPr>
          <w:lang w:eastAsia="ja-JP"/>
        </w:rPr>
        <w:t xml:space="preserve">. </w:t>
      </w:r>
    </w:p>
    <w:p w14:paraId="43E7257B" w14:textId="1F37FA2D" w:rsidR="004C4212" w:rsidRDefault="00124F4E" w:rsidP="00203059">
      <w:r>
        <w:t>Read the CBD Program expansion feasibility study</w:t>
      </w:r>
      <w:r w:rsidR="00AD6E00">
        <w:t xml:space="preserve"> at: consult.dcceew.gov.au. </w:t>
      </w:r>
    </w:p>
    <w:p w14:paraId="7531901F" w14:textId="33EE16C8" w:rsidR="00124F4E" w:rsidRDefault="00124F4E" w:rsidP="00203059">
      <w:r>
        <w:t xml:space="preserve">Read </w:t>
      </w:r>
      <w:r w:rsidR="003F7F3D">
        <w:t>about the legal framework underpinning the current C</w:t>
      </w:r>
      <w:r w:rsidR="00F50A8C">
        <w:t>BD</w:t>
      </w:r>
      <w:r w:rsidR="003F7F3D">
        <w:t xml:space="preserve"> Program</w:t>
      </w:r>
      <w:r w:rsidR="00F50A8C">
        <w:t xml:space="preserve">, including </w:t>
      </w:r>
      <w:r w:rsidRPr="002E4361">
        <w:t xml:space="preserve">the </w:t>
      </w:r>
      <w:r w:rsidR="002E4361" w:rsidRPr="002E4361">
        <w:t>BEED Act</w:t>
      </w:r>
      <w:r w:rsidR="009F1E8D">
        <w:t xml:space="preserve"> here: </w:t>
      </w:r>
      <w:hyperlink r:id="rId18" w:history="1">
        <w:r w:rsidR="003F7F3D" w:rsidRPr="00667E5D">
          <w:rPr>
            <w:rStyle w:val="Hyperlink"/>
          </w:rPr>
          <w:t>www.cbd.gov.au/program/overview/legal-framework</w:t>
        </w:r>
      </w:hyperlink>
      <w:r w:rsidR="003F7F3D">
        <w:t xml:space="preserve"> </w:t>
      </w:r>
    </w:p>
    <w:p w14:paraId="6B7BBF41" w14:textId="07B0CB6C" w:rsidR="005A550F" w:rsidRPr="004149FC" w:rsidRDefault="00E22ECF" w:rsidP="00203059">
      <w:r>
        <w:t xml:space="preserve">Further stakeholder engagement opportunities will be communicated through </w:t>
      </w:r>
      <w:r w:rsidRPr="004149FC">
        <w:t>consult.dcceew.gov.au.</w:t>
      </w:r>
    </w:p>
    <w:p w14:paraId="7BBC0C19" w14:textId="77777777" w:rsidR="00B44EDF" w:rsidRDefault="00B44EDF" w:rsidP="001B25FA">
      <w:pPr>
        <w:pStyle w:val="Normalsmall"/>
        <w:rPr>
          <w:rStyle w:val="Strong"/>
        </w:rPr>
      </w:pPr>
    </w:p>
    <w:p w14:paraId="6BCA8077" w14:textId="00774C70" w:rsidR="001B25FA" w:rsidRDefault="001B25FA" w:rsidP="001B25FA">
      <w:pPr>
        <w:pStyle w:val="Normalsmall"/>
      </w:pPr>
      <w:r>
        <w:rPr>
          <w:rStyle w:val="Strong"/>
        </w:rPr>
        <w:t>Acknowledgement of Country</w:t>
      </w:r>
    </w:p>
    <w:p w14:paraId="52AF4F83" w14:textId="77777777" w:rsidR="001B25FA" w:rsidRPr="000A5BA0" w:rsidRDefault="001B25FA" w:rsidP="001B25FA">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2A8A3F37" w14:textId="77777777" w:rsidR="001B25FA" w:rsidRDefault="001B25FA" w:rsidP="001B25FA">
      <w:pPr>
        <w:pStyle w:val="Normalsmall"/>
        <w:spacing w:before="360"/>
      </w:pPr>
      <w:r>
        <w:t>© Commonwealth of Australia 2024</w:t>
      </w:r>
    </w:p>
    <w:p w14:paraId="14A7E6AB" w14:textId="77777777" w:rsidR="001B25FA" w:rsidRDefault="001B25FA" w:rsidP="001B25FA">
      <w:pPr>
        <w:pStyle w:val="Normalsmall"/>
      </w:pPr>
      <w:r>
        <w:t>Unless otherwise noted, copyright (and any other intellectual property rights) in this publication is owned by the Commonwealth of Australia (referred to as the Commonwealth).</w:t>
      </w:r>
    </w:p>
    <w:p w14:paraId="0848DEC1" w14:textId="77777777" w:rsidR="001B25FA" w:rsidRDefault="001B25FA" w:rsidP="001B25FA">
      <w:pPr>
        <w:pStyle w:val="Normalsmall"/>
      </w:pPr>
      <w:r>
        <w:t xml:space="preserve">All material in this publication is licensed under a </w:t>
      </w:r>
      <w:hyperlink r:id="rId19" w:history="1">
        <w:r>
          <w:rPr>
            <w:rStyle w:val="Hyperlink"/>
          </w:rPr>
          <w:t>Creative Commons Attribution 4.0 International Licence</w:t>
        </w:r>
      </w:hyperlink>
      <w:r>
        <w:t xml:space="preserve"> except content supplied by third parties, logos and the Commonwealth Coat of Arms.</w:t>
      </w:r>
    </w:p>
    <w:p w14:paraId="6E96412A" w14:textId="77777777" w:rsidR="001B25FA" w:rsidRDefault="001B25FA" w:rsidP="001B25FA">
      <w:pPr>
        <w:pStyle w:val="Normalsmall"/>
      </w:pPr>
      <w:r>
        <w:t xml:space="preserve">The Australian Government acting through the </w:t>
      </w:r>
      <w:r w:rsidRPr="00D86640">
        <w:t>Department of Climate Change, Energy, the Environment and Water</w:t>
      </w:r>
      <w:r>
        <w:t xml:space="preserve"> has exercised due care and skill in preparing and compiling the information and data in this publication. Notwithstanding, the </w:t>
      </w:r>
      <w:r w:rsidRPr="00D86640">
        <w:t>Department of Climate Change, Energy, the Environment and Water</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24789533" w14:textId="77777777" w:rsidR="005A550F" w:rsidRPr="004149FC" w:rsidRDefault="005A550F">
      <w:pPr>
        <w:spacing w:after="0" w:line="240" w:lineRule="auto"/>
      </w:pPr>
      <w:r w:rsidRPr="004149FC">
        <w:br w:type="page"/>
      </w:r>
    </w:p>
    <w:p w14:paraId="5806607F" w14:textId="77777777" w:rsidR="00E22ECF" w:rsidRPr="004149FC" w:rsidRDefault="00E22ECF" w:rsidP="00203059"/>
    <w:p w14:paraId="6A9F5ADA" w14:textId="099E0564" w:rsidR="00A01F61" w:rsidRPr="004149FC" w:rsidRDefault="00633028" w:rsidP="00203059">
      <w:pPr>
        <w:rPr>
          <w:b/>
          <w:bCs/>
        </w:rPr>
      </w:pPr>
      <w:r w:rsidRPr="004149FC">
        <w:rPr>
          <w:b/>
          <w:bCs/>
        </w:rPr>
        <w:t>Appendix 1</w:t>
      </w:r>
      <w:r w:rsidR="0036603E" w:rsidRPr="004149FC">
        <w:rPr>
          <w:b/>
          <w:bCs/>
        </w:rPr>
        <w:t xml:space="preserve">: </w:t>
      </w:r>
      <w:r w:rsidRPr="004149FC">
        <w:rPr>
          <w:b/>
          <w:bCs/>
        </w:rPr>
        <w:t xml:space="preserve">Text for </w:t>
      </w:r>
      <w:r w:rsidR="0036603E" w:rsidRPr="004149FC">
        <w:rPr>
          <w:b/>
          <w:bCs/>
        </w:rPr>
        <w:t xml:space="preserve">high level </w:t>
      </w:r>
      <w:r w:rsidR="00FE3136" w:rsidRPr="004149FC">
        <w:rPr>
          <w:b/>
          <w:bCs/>
        </w:rPr>
        <w:t>roadmap for how CBD program could be expanded between 2025 and 2035.</w:t>
      </w:r>
    </w:p>
    <w:tbl>
      <w:tblPr>
        <w:tblStyle w:val="PlainTable1"/>
        <w:tblW w:w="0" w:type="auto"/>
        <w:tblLook w:val="04A0" w:firstRow="1" w:lastRow="0" w:firstColumn="1" w:lastColumn="0" w:noHBand="0" w:noVBand="1"/>
      </w:tblPr>
      <w:tblGrid>
        <w:gridCol w:w="1859"/>
        <w:gridCol w:w="2040"/>
        <w:gridCol w:w="1377"/>
        <w:gridCol w:w="2006"/>
        <w:gridCol w:w="2120"/>
      </w:tblGrid>
      <w:tr w:rsidR="00A01F61" w:rsidRPr="005D05E2" w14:paraId="33CD5F59" w14:textId="77777777" w:rsidTr="00414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Pr>
          <w:p w14:paraId="5E4401D0" w14:textId="77777777" w:rsidR="00A01F61" w:rsidRPr="005D05E2" w:rsidRDefault="00A01F61">
            <w:pPr>
              <w:pStyle w:val="BodyText"/>
              <w:rPr>
                <w:rFonts w:asciiTheme="minorHAnsi" w:hAnsiTheme="minorHAnsi" w:cstheme="minorHAnsi"/>
                <w:szCs w:val="20"/>
                <w:lang w:val="en-GB"/>
              </w:rPr>
            </w:pPr>
            <w:r w:rsidRPr="005D05E2">
              <w:rPr>
                <w:rFonts w:asciiTheme="minorHAnsi" w:hAnsiTheme="minorHAnsi" w:cstheme="minorHAnsi"/>
                <w:szCs w:val="20"/>
                <w:lang w:val="en-GB"/>
              </w:rPr>
              <w:t>Category</w:t>
            </w:r>
            <w:r>
              <w:rPr>
                <w:rFonts w:asciiTheme="minorHAnsi" w:hAnsiTheme="minorHAnsi" w:cstheme="minorHAnsi"/>
                <w:szCs w:val="20"/>
                <w:lang w:val="en-GB"/>
              </w:rPr>
              <w:t xml:space="preserve"> </w:t>
            </w:r>
          </w:p>
        </w:tc>
        <w:tc>
          <w:tcPr>
            <w:tcW w:w="2040" w:type="dxa"/>
          </w:tcPr>
          <w:p w14:paraId="72066326" w14:textId="77777777" w:rsidR="00A01F61" w:rsidRPr="005D05E2" w:rsidRDefault="00A01F61">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5D05E2">
              <w:rPr>
                <w:rFonts w:asciiTheme="minorHAnsi" w:hAnsiTheme="minorHAnsi" w:cstheme="minorHAnsi"/>
                <w:szCs w:val="20"/>
                <w:lang w:val="en-GB"/>
              </w:rPr>
              <w:t>Phase 1</w:t>
            </w:r>
          </w:p>
        </w:tc>
        <w:tc>
          <w:tcPr>
            <w:tcW w:w="1377" w:type="dxa"/>
          </w:tcPr>
          <w:p w14:paraId="7A1699CB" w14:textId="77777777" w:rsidR="00A01F61" w:rsidRPr="005D05E2" w:rsidRDefault="00A01F61">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5D05E2">
              <w:rPr>
                <w:rFonts w:asciiTheme="minorHAnsi" w:hAnsiTheme="minorHAnsi" w:cstheme="minorHAnsi"/>
                <w:szCs w:val="20"/>
                <w:lang w:val="en-GB"/>
              </w:rPr>
              <w:t>Phase 2</w:t>
            </w:r>
          </w:p>
        </w:tc>
        <w:tc>
          <w:tcPr>
            <w:tcW w:w="2006" w:type="dxa"/>
          </w:tcPr>
          <w:p w14:paraId="5016FDA7" w14:textId="77777777" w:rsidR="00A01F61" w:rsidRPr="005D05E2" w:rsidRDefault="00A01F61">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5D05E2">
              <w:rPr>
                <w:rFonts w:asciiTheme="minorHAnsi" w:hAnsiTheme="minorHAnsi" w:cstheme="minorHAnsi"/>
                <w:szCs w:val="20"/>
                <w:lang w:val="en-GB"/>
              </w:rPr>
              <w:t>Phase 3</w:t>
            </w:r>
          </w:p>
        </w:tc>
        <w:tc>
          <w:tcPr>
            <w:tcW w:w="2120" w:type="dxa"/>
          </w:tcPr>
          <w:p w14:paraId="1D0DC1B8" w14:textId="77777777" w:rsidR="00A01F61" w:rsidRPr="005D05E2" w:rsidRDefault="00A01F61">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5D05E2">
              <w:rPr>
                <w:rFonts w:asciiTheme="minorHAnsi" w:hAnsiTheme="minorHAnsi" w:cstheme="minorHAnsi"/>
                <w:szCs w:val="20"/>
                <w:lang w:val="en-GB"/>
              </w:rPr>
              <w:t>Phase 4</w:t>
            </w:r>
          </w:p>
        </w:tc>
      </w:tr>
      <w:tr w:rsidR="00A01F61" w:rsidRPr="005D05E2" w14:paraId="26932179" w14:textId="77777777" w:rsidTr="00414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shd w:val="clear" w:color="auto" w:fill="F5FFF5" w:themeFill="background1"/>
          </w:tcPr>
          <w:p w14:paraId="68CFB950" w14:textId="77777777" w:rsidR="00A01F61" w:rsidRPr="005D05E2" w:rsidRDefault="00A01F61">
            <w:pPr>
              <w:pStyle w:val="BodyText"/>
              <w:rPr>
                <w:rFonts w:asciiTheme="minorHAnsi" w:hAnsiTheme="minorHAnsi" w:cstheme="minorHAnsi"/>
                <w:szCs w:val="20"/>
                <w:lang w:val="en-GB"/>
              </w:rPr>
            </w:pPr>
            <w:r w:rsidRPr="005D05E2">
              <w:rPr>
                <w:rFonts w:asciiTheme="minorHAnsi" w:hAnsiTheme="minorHAnsi" w:cstheme="minorHAnsi"/>
                <w:szCs w:val="20"/>
                <w:lang w:val="en-GB"/>
              </w:rPr>
              <w:t>Overall Building regulation</w:t>
            </w:r>
          </w:p>
        </w:tc>
        <w:tc>
          <w:tcPr>
            <w:tcW w:w="2040" w:type="dxa"/>
            <w:shd w:val="clear" w:color="auto" w:fill="F5FFF5" w:themeFill="background1"/>
          </w:tcPr>
          <w:p w14:paraId="0405260E" w14:textId="7369BF97" w:rsidR="00A01F61" w:rsidRPr="005D05E2" w:rsidRDefault="005A41C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Develop sectoral emissions pathway, including cost benefit analysis</w:t>
            </w:r>
          </w:p>
        </w:tc>
        <w:tc>
          <w:tcPr>
            <w:tcW w:w="1377" w:type="dxa"/>
            <w:shd w:val="clear" w:color="auto" w:fill="F5FFF5" w:themeFill="background1"/>
          </w:tcPr>
          <w:p w14:paraId="71EBCC15" w14:textId="37A34359" w:rsidR="00A01F61" w:rsidRPr="007F025C" w:rsidRDefault="005A41C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P</w:t>
            </w:r>
            <w:r w:rsidR="00245BB4">
              <w:rPr>
                <w:rFonts w:asciiTheme="minorHAnsi" w:hAnsiTheme="minorHAnsi" w:cstheme="minorHAnsi"/>
                <w:szCs w:val="20"/>
              </w:rPr>
              <w:t>eriodic review of sectoral pathway</w:t>
            </w:r>
          </w:p>
          <w:p w14:paraId="7E0145E0" w14:textId="77777777" w:rsidR="00A01F61" w:rsidRPr="005D05E2"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2006" w:type="dxa"/>
            <w:shd w:val="clear" w:color="auto" w:fill="F5FFF5" w:themeFill="background1"/>
          </w:tcPr>
          <w:p w14:paraId="11E29325" w14:textId="74083E9C" w:rsidR="00A01F61" w:rsidRPr="005D05E2"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F539BE">
              <w:rPr>
                <w:rFonts w:asciiTheme="minorHAnsi" w:hAnsiTheme="minorHAnsi" w:cstheme="minorHAnsi"/>
                <w:szCs w:val="20"/>
              </w:rPr>
              <w:t xml:space="preserve">Disclosure covers 80% </w:t>
            </w:r>
            <w:r w:rsidR="00245BB4">
              <w:rPr>
                <w:rFonts w:asciiTheme="minorHAnsi" w:hAnsiTheme="minorHAnsi" w:cstheme="minorHAnsi"/>
                <w:szCs w:val="20"/>
              </w:rPr>
              <w:t>of all floor area across all commercial buildings</w:t>
            </w:r>
          </w:p>
        </w:tc>
        <w:tc>
          <w:tcPr>
            <w:tcW w:w="2120" w:type="dxa"/>
            <w:shd w:val="clear" w:color="auto" w:fill="F5FFF5" w:themeFill="background1"/>
          </w:tcPr>
          <w:p w14:paraId="3C33B427" w14:textId="77777777" w:rsidR="00A01F61" w:rsidRPr="005D05E2"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r w:rsidR="00A01F61" w:rsidRPr="005D05E2" w14:paraId="0F1B467B" w14:textId="77777777" w:rsidTr="004149FC">
        <w:tc>
          <w:tcPr>
            <w:cnfStyle w:val="001000000000" w:firstRow="0" w:lastRow="0" w:firstColumn="1" w:lastColumn="0" w:oddVBand="0" w:evenVBand="0" w:oddHBand="0" w:evenHBand="0" w:firstRowFirstColumn="0" w:firstRowLastColumn="0" w:lastRowFirstColumn="0" w:lastRowLastColumn="0"/>
            <w:tcW w:w="1859" w:type="dxa"/>
            <w:shd w:val="clear" w:color="auto" w:fill="F5FFF5" w:themeFill="background1"/>
          </w:tcPr>
          <w:p w14:paraId="7577E89C" w14:textId="77777777" w:rsidR="00A01F61" w:rsidRPr="005D05E2" w:rsidRDefault="00A01F61">
            <w:pPr>
              <w:pStyle w:val="BodyText"/>
              <w:rPr>
                <w:rFonts w:asciiTheme="minorHAnsi" w:hAnsiTheme="minorHAnsi" w:cstheme="minorHAnsi"/>
                <w:szCs w:val="20"/>
                <w:lang w:val="en-GB"/>
              </w:rPr>
            </w:pPr>
            <w:r w:rsidRPr="005D05E2">
              <w:rPr>
                <w:rFonts w:asciiTheme="minorHAnsi" w:hAnsiTheme="minorHAnsi" w:cstheme="minorHAnsi"/>
                <w:szCs w:val="20"/>
                <w:lang w:val="en-GB"/>
              </w:rPr>
              <w:t>Group 1 buildings: Offices</w:t>
            </w:r>
          </w:p>
        </w:tc>
        <w:tc>
          <w:tcPr>
            <w:tcW w:w="2040" w:type="dxa"/>
            <w:shd w:val="clear" w:color="auto" w:fill="F5FFF5" w:themeFill="background1"/>
          </w:tcPr>
          <w:p w14:paraId="142397B8" w14:textId="3FCF1CF9" w:rsidR="00A01F61" w:rsidRPr="005D05E2" w:rsidRDefault="008A5DB8">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Reduce the floor area threshold</w:t>
            </w:r>
          </w:p>
        </w:tc>
        <w:tc>
          <w:tcPr>
            <w:tcW w:w="1377" w:type="dxa"/>
            <w:shd w:val="clear" w:color="auto" w:fill="F5FFF5" w:themeFill="background1"/>
          </w:tcPr>
          <w:p w14:paraId="348028D0" w14:textId="5B1C1442" w:rsidR="00A01F61" w:rsidRPr="005D05E2" w:rsidRDefault="008A5DB8">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Introduce minimum energy performance standards (MEPS) for large buildings</w:t>
            </w:r>
          </w:p>
        </w:tc>
        <w:tc>
          <w:tcPr>
            <w:tcW w:w="2006" w:type="dxa"/>
            <w:shd w:val="clear" w:color="auto" w:fill="F5FFF5" w:themeFill="background1"/>
          </w:tcPr>
          <w:p w14:paraId="33AA8B88" w14:textId="0DE1D827" w:rsidR="00A01F61" w:rsidRPr="005D05E2" w:rsidRDefault="0065040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 xml:space="preserve">Reduce the threshold </w:t>
            </w:r>
            <w:r w:rsidR="0041522C">
              <w:rPr>
                <w:rFonts w:asciiTheme="minorHAnsi" w:hAnsiTheme="minorHAnsi" w:cstheme="minorHAnsi"/>
                <w:szCs w:val="20"/>
              </w:rPr>
              <w:t>for MEPS if required</w:t>
            </w:r>
          </w:p>
        </w:tc>
        <w:tc>
          <w:tcPr>
            <w:tcW w:w="2120" w:type="dxa"/>
            <w:shd w:val="clear" w:color="auto" w:fill="F5FFF5" w:themeFill="background1"/>
          </w:tcPr>
          <w:p w14:paraId="4137ABCC" w14:textId="77777777" w:rsidR="00A01F61" w:rsidRDefault="0041522C">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Progressively reduce disclosure and MEPS threshold</w:t>
            </w:r>
          </w:p>
          <w:p w14:paraId="5DC3438C" w14:textId="77777777" w:rsidR="0041522C" w:rsidRDefault="0041522C">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30B79D53" w14:textId="3A8E412E" w:rsidR="0041522C" w:rsidRPr="005D05E2" w:rsidRDefault="0041522C">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CBD covers more than 9</w:t>
            </w:r>
            <w:r w:rsidR="006340C2">
              <w:rPr>
                <w:rFonts w:asciiTheme="minorHAnsi" w:hAnsiTheme="minorHAnsi" w:cstheme="minorHAnsi"/>
                <w:szCs w:val="20"/>
              </w:rPr>
              <w:t xml:space="preserve">0% </w:t>
            </w:r>
            <w:r w:rsidR="00AA77DB">
              <w:rPr>
                <w:rFonts w:asciiTheme="minorHAnsi" w:hAnsiTheme="minorHAnsi" w:cstheme="minorHAnsi"/>
                <w:szCs w:val="20"/>
              </w:rPr>
              <w:t>of floor area</w:t>
            </w:r>
          </w:p>
        </w:tc>
      </w:tr>
      <w:tr w:rsidR="00A01F61" w:rsidRPr="005D05E2" w14:paraId="40C4474E" w14:textId="77777777" w:rsidTr="00414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shd w:val="clear" w:color="auto" w:fill="F5FFF5" w:themeFill="background1"/>
          </w:tcPr>
          <w:p w14:paraId="246BA18B" w14:textId="77777777" w:rsidR="00A01F61" w:rsidRPr="005D05E2" w:rsidRDefault="00A01F61">
            <w:pPr>
              <w:pStyle w:val="BodyText"/>
              <w:rPr>
                <w:rFonts w:asciiTheme="minorHAnsi" w:hAnsiTheme="minorHAnsi" w:cstheme="minorHAnsi"/>
                <w:szCs w:val="20"/>
                <w:lang w:val="en-GB"/>
              </w:rPr>
            </w:pPr>
            <w:r w:rsidRPr="005D05E2">
              <w:rPr>
                <w:rFonts w:asciiTheme="minorHAnsi" w:hAnsiTheme="minorHAnsi" w:cstheme="minorHAnsi"/>
                <w:szCs w:val="20"/>
                <w:lang w:val="en-GB"/>
              </w:rPr>
              <w:t>Group 2 buildings: Hotels, Shopping Centres, Data Centres, Public Hospitals</w:t>
            </w:r>
          </w:p>
        </w:tc>
        <w:tc>
          <w:tcPr>
            <w:tcW w:w="2040" w:type="dxa"/>
            <w:shd w:val="clear" w:color="auto" w:fill="F5FFF5" w:themeFill="background1"/>
          </w:tcPr>
          <w:p w14:paraId="50212890" w14:textId="614F56A4" w:rsidR="00A01F61" w:rsidRPr="00CC5B7E"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C5B7E">
              <w:rPr>
                <w:rFonts w:asciiTheme="minorHAnsi" w:hAnsiTheme="minorHAnsi" w:cstheme="minorHAnsi"/>
                <w:szCs w:val="20"/>
              </w:rPr>
              <w:t xml:space="preserve">Introduce mandatory disclosure for large </w:t>
            </w:r>
            <w:proofErr w:type="gramStart"/>
            <w:r w:rsidR="00AF7265">
              <w:rPr>
                <w:rFonts w:asciiTheme="minorHAnsi" w:hAnsiTheme="minorHAnsi" w:cstheme="minorHAnsi"/>
                <w:szCs w:val="20"/>
              </w:rPr>
              <w:t>buildings</w:t>
            </w:r>
            <w:proofErr w:type="gramEnd"/>
          </w:p>
          <w:p w14:paraId="231DF8B4" w14:textId="77777777" w:rsidR="00A01F61" w:rsidRPr="005D05E2"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377" w:type="dxa"/>
            <w:shd w:val="clear" w:color="auto" w:fill="F5FFF5" w:themeFill="background1"/>
          </w:tcPr>
          <w:p w14:paraId="4FDAC371" w14:textId="19176F1C" w:rsidR="00A01F61" w:rsidRPr="00CC5B7E"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C5B7E">
              <w:rPr>
                <w:rFonts w:asciiTheme="minorHAnsi" w:hAnsiTheme="minorHAnsi" w:cstheme="minorHAnsi"/>
                <w:szCs w:val="20"/>
              </w:rPr>
              <w:t xml:space="preserve">Reduce threshold </w:t>
            </w:r>
            <w:r w:rsidR="00AF7265">
              <w:rPr>
                <w:rFonts w:asciiTheme="minorHAnsi" w:hAnsiTheme="minorHAnsi" w:cstheme="minorHAnsi"/>
                <w:szCs w:val="20"/>
              </w:rPr>
              <w:t xml:space="preserve">floor area for CBD </w:t>
            </w:r>
            <w:proofErr w:type="gramStart"/>
            <w:r w:rsidR="00AF7265">
              <w:rPr>
                <w:rFonts w:asciiTheme="minorHAnsi" w:hAnsiTheme="minorHAnsi" w:cstheme="minorHAnsi"/>
                <w:szCs w:val="20"/>
              </w:rPr>
              <w:t>compliance</w:t>
            </w:r>
            <w:proofErr w:type="gramEnd"/>
          </w:p>
          <w:p w14:paraId="1688ACC8" w14:textId="77777777" w:rsidR="00A01F61" w:rsidRPr="005D05E2"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2006" w:type="dxa"/>
            <w:shd w:val="clear" w:color="auto" w:fill="F5FFF5" w:themeFill="background1"/>
          </w:tcPr>
          <w:p w14:paraId="14592942" w14:textId="5974EEF6" w:rsidR="00A01F61" w:rsidRPr="00CC5B7E"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C5B7E">
              <w:rPr>
                <w:rFonts w:asciiTheme="minorHAnsi" w:hAnsiTheme="minorHAnsi" w:cstheme="minorHAnsi"/>
                <w:szCs w:val="20"/>
              </w:rPr>
              <w:t xml:space="preserve">Introduce MEPS for large </w:t>
            </w:r>
            <w:proofErr w:type="gramStart"/>
            <w:r w:rsidR="00B224D6">
              <w:rPr>
                <w:rFonts w:asciiTheme="minorHAnsi" w:hAnsiTheme="minorHAnsi" w:cstheme="minorHAnsi"/>
                <w:szCs w:val="20"/>
              </w:rPr>
              <w:t>buildings</w:t>
            </w:r>
            <w:proofErr w:type="gramEnd"/>
          </w:p>
          <w:p w14:paraId="3B909016" w14:textId="77777777" w:rsidR="00A01F61" w:rsidRPr="005D05E2"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2120" w:type="dxa"/>
            <w:shd w:val="clear" w:color="auto" w:fill="F5FFF5" w:themeFill="background1"/>
          </w:tcPr>
          <w:p w14:paraId="5F1CB0A1" w14:textId="77777777" w:rsidR="00A01F61" w:rsidRDefault="00A01F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C5B7E">
              <w:rPr>
                <w:rFonts w:asciiTheme="minorHAnsi" w:hAnsiTheme="minorHAnsi" w:cstheme="minorHAnsi"/>
                <w:szCs w:val="20"/>
              </w:rPr>
              <w:t xml:space="preserve">Progressively reduce disclosure and MEPS threshold </w:t>
            </w:r>
          </w:p>
          <w:p w14:paraId="5156E5B8" w14:textId="77777777" w:rsidR="00B224D6" w:rsidRDefault="00B224D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33F45DEE" w14:textId="4F4372DB" w:rsidR="00B224D6" w:rsidRPr="005D05E2" w:rsidRDefault="00B224D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 xml:space="preserve">CBD covers </w:t>
            </w:r>
            <w:r w:rsidR="00AC48F4">
              <w:rPr>
                <w:rFonts w:asciiTheme="minorHAnsi" w:hAnsiTheme="minorHAnsi" w:cstheme="minorHAnsi"/>
                <w:szCs w:val="20"/>
              </w:rPr>
              <w:t>more than 80% of floor area</w:t>
            </w:r>
          </w:p>
        </w:tc>
      </w:tr>
      <w:tr w:rsidR="00A01F61" w:rsidRPr="005D05E2" w14:paraId="0D1BEF8A" w14:textId="77777777" w:rsidTr="004149FC">
        <w:tc>
          <w:tcPr>
            <w:cnfStyle w:val="001000000000" w:firstRow="0" w:lastRow="0" w:firstColumn="1" w:lastColumn="0" w:oddVBand="0" w:evenVBand="0" w:oddHBand="0" w:evenHBand="0" w:firstRowFirstColumn="0" w:firstRowLastColumn="0" w:lastRowFirstColumn="0" w:lastRowLastColumn="0"/>
            <w:tcW w:w="1859" w:type="dxa"/>
            <w:shd w:val="clear" w:color="auto" w:fill="F5FFF5" w:themeFill="background1"/>
          </w:tcPr>
          <w:p w14:paraId="44F05EFE" w14:textId="77777777" w:rsidR="00A01F61" w:rsidRPr="005D05E2" w:rsidRDefault="00A01F61">
            <w:pPr>
              <w:pStyle w:val="BodyText"/>
              <w:rPr>
                <w:rFonts w:asciiTheme="minorHAnsi" w:hAnsiTheme="minorHAnsi" w:cstheme="minorHAnsi"/>
                <w:szCs w:val="20"/>
                <w:lang w:val="en-GB"/>
              </w:rPr>
            </w:pPr>
            <w:r w:rsidRPr="005D05E2">
              <w:rPr>
                <w:rFonts w:asciiTheme="minorHAnsi" w:hAnsiTheme="minorHAnsi" w:cstheme="minorHAnsi"/>
                <w:szCs w:val="20"/>
                <w:lang w:val="en-GB"/>
              </w:rPr>
              <w:t>Group 3 buildings: Residential Aged Care, Retirement Living, Warehouses, Cold Stores, Schools, Retail stores</w:t>
            </w:r>
          </w:p>
        </w:tc>
        <w:tc>
          <w:tcPr>
            <w:tcW w:w="2040" w:type="dxa"/>
            <w:shd w:val="clear" w:color="auto" w:fill="F5FFF5" w:themeFill="background1"/>
          </w:tcPr>
          <w:p w14:paraId="54790014" w14:textId="0E8D7070" w:rsidR="00A01F61" w:rsidRPr="00522A0E" w:rsidRDefault="00A01F6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522A0E">
              <w:rPr>
                <w:rFonts w:asciiTheme="minorHAnsi" w:hAnsiTheme="minorHAnsi" w:cstheme="minorHAnsi"/>
                <w:szCs w:val="20"/>
              </w:rPr>
              <w:t xml:space="preserve">Increase NABERS </w:t>
            </w:r>
            <w:proofErr w:type="gramStart"/>
            <w:r w:rsidRPr="00522A0E">
              <w:rPr>
                <w:rFonts w:asciiTheme="minorHAnsi" w:hAnsiTheme="minorHAnsi" w:cstheme="minorHAnsi"/>
                <w:szCs w:val="20"/>
              </w:rPr>
              <w:t>participation</w:t>
            </w:r>
            <w:proofErr w:type="gramEnd"/>
            <w:r w:rsidRPr="00522A0E">
              <w:rPr>
                <w:rFonts w:asciiTheme="minorHAnsi" w:hAnsiTheme="minorHAnsi" w:cstheme="minorHAnsi"/>
                <w:szCs w:val="20"/>
              </w:rPr>
              <w:t xml:space="preserve"> </w:t>
            </w:r>
          </w:p>
          <w:p w14:paraId="4104D5E2" w14:textId="77777777" w:rsidR="00A01F61" w:rsidRPr="005D05E2" w:rsidRDefault="00A01F6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p>
        </w:tc>
        <w:tc>
          <w:tcPr>
            <w:tcW w:w="1377" w:type="dxa"/>
            <w:shd w:val="clear" w:color="auto" w:fill="F5FFF5" w:themeFill="background1"/>
          </w:tcPr>
          <w:p w14:paraId="718E180A" w14:textId="53629054" w:rsidR="00A01F61" w:rsidRPr="00522A0E" w:rsidRDefault="00A01F6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522A0E">
              <w:rPr>
                <w:rFonts w:asciiTheme="minorHAnsi" w:hAnsiTheme="minorHAnsi" w:cstheme="minorHAnsi"/>
                <w:szCs w:val="20"/>
              </w:rPr>
              <w:t xml:space="preserve">Introduce </w:t>
            </w:r>
            <w:r w:rsidR="00C74BB0">
              <w:rPr>
                <w:rFonts w:asciiTheme="minorHAnsi" w:hAnsiTheme="minorHAnsi" w:cstheme="minorHAnsi"/>
                <w:szCs w:val="20"/>
              </w:rPr>
              <w:t xml:space="preserve">CBD for large </w:t>
            </w:r>
            <w:proofErr w:type="gramStart"/>
            <w:r w:rsidR="00C74BB0">
              <w:rPr>
                <w:rFonts w:asciiTheme="minorHAnsi" w:hAnsiTheme="minorHAnsi" w:cstheme="minorHAnsi"/>
                <w:szCs w:val="20"/>
              </w:rPr>
              <w:t>buildings</w:t>
            </w:r>
            <w:proofErr w:type="gramEnd"/>
          </w:p>
          <w:p w14:paraId="733D28C6" w14:textId="77777777" w:rsidR="00A01F61" w:rsidRPr="005D05E2" w:rsidRDefault="00A01F6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p>
        </w:tc>
        <w:tc>
          <w:tcPr>
            <w:tcW w:w="2006" w:type="dxa"/>
            <w:shd w:val="clear" w:color="auto" w:fill="F5FFF5" w:themeFill="background1"/>
          </w:tcPr>
          <w:p w14:paraId="0C521890" w14:textId="0FDDCD6E" w:rsidR="00A01F61" w:rsidRPr="00994DBC" w:rsidRDefault="00A01F6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94DBC">
              <w:rPr>
                <w:rFonts w:asciiTheme="minorHAnsi" w:hAnsiTheme="minorHAnsi" w:cstheme="minorHAnsi"/>
                <w:szCs w:val="20"/>
              </w:rPr>
              <w:t xml:space="preserve">Introduce MEPS for large </w:t>
            </w:r>
            <w:proofErr w:type="gramStart"/>
            <w:r w:rsidRPr="00994DBC">
              <w:rPr>
                <w:rFonts w:asciiTheme="minorHAnsi" w:hAnsiTheme="minorHAnsi" w:cstheme="minorHAnsi"/>
                <w:szCs w:val="20"/>
              </w:rPr>
              <w:t>buildings</w:t>
            </w:r>
            <w:proofErr w:type="gramEnd"/>
          </w:p>
          <w:p w14:paraId="4484FDB1" w14:textId="77777777" w:rsidR="00A01F61" w:rsidRPr="005D05E2" w:rsidRDefault="00A01F6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p>
        </w:tc>
        <w:tc>
          <w:tcPr>
            <w:tcW w:w="2120" w:type="dxa"/>
            <w:shd w:val="clear" w:color="auto" w:fill="F5FFF5" w:themeFill="background1"/>
          </w:tcPr>
          <w:p w14:paraId="4F76E6DC" w14:textId="77777777" w:rsidR="00C74BB0" w:rsidRDefault="00C74BB0" w:rsidP="00C74BB0">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C5B7E">
              <w:rPr>
                <w:rFonts w:asciiTheme="minorHAnsi" w:hAnsiTheme="minorHAnsi" w:cstheme="minorHAnsi"/>
                <w:szCs w:val="20"/>
              </w:rPr>
              <w:t xml:space="preserve">Progressively reduce disclosure and MEPS threshold </w:t>
            </w:r>
          </w:p>
          <w:p w14:paraId="421578BD" w14:textId="77777777" w:rsidR="00A01F61" w:rsidRDefault="00A01F6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3D053DAD" w14:textId="39F984ED" w:rsidR="00C74BB0" w:rsidRPr="005D05E2" w:rsidRDefault="00C74BB0">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CBD covers more than 70% of floor area</w:t>
            </w:r>
          </w:p>
        </w:tc>
      </w:tr>
      <w:tr w:rsidR="008F0361" w:rsidRPr="005D05E2" w14:paraId="23F1047B" w14:textId="77777777" w:rsidTr="00414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shd w:val="clear" w:color="auto" w:fill="F5FFF5" w:themeFill="background1"/>
          </w:tcPr>
          <w:p w14:paraId="03C144DF" w14:textId="77777777" w:rsidR="008F0361" w:rsidRPr="005D05E2" w:rsidRDefault="008F0361" w:rsidP="008F0361">
            <w:pPr>
              <w:pStyle w:val="BodyText"/>
              <w:rPr>
                <w:rFonts w:asciiTheme="minorHAnsi" w:hAnsiTheme="minorHAnsi" w:cstheme="minorHAnsi"/>
                <w:szCs w:val="20"/>
              </w:rPr>
            </w:pPr>
            <w:r w:rsidRPr="00994DBC">
              <w:rPr>
                <w:rFonts w:asciiTheme="minorHAnsi" w:hAnsiTheme="minorHAnsi" w:cstheme="minorHAnsi"/>
                <w:szCs w:val="20"/>
              </w:rPr>
              <w:t>Group 4 buildings: Higher Education, Supermarkets, Private Hospitals, Medical centres, Other (e.g. galleries, sport facilities)</w:t>
            </w:r>
          </w:p>
        </w:tc>
        <w:tc>
          <w:tcPr>
            <w:tcW w:w="2040" w:type="dxa"/>
            <w:shd w:val="clear" w:color="auto" w:fill="F5FFF5" w:themeFill="background1"/>
          </w:tcPr>
          <w:p w14:paraId="287BDA48" w14:textId="339A1F86" w:rsidR="008F0361" w:rsidRPr="004149FC" w:rsidRDefault="008F0361" w:rsidP="008F03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522A0E">
              <w:rPr>
                <w:rFonts w:asciiTheme="minorHAnsi" w:hAnsiTheme="minorHAnsi" w:cstheme="minorHAnsi"/>
                <w:szCs w:val="20"/>
              </w:rPr>
              <w:t xml:space="preserve">Increase NABERS participation </w:t>
            </w:r>
          </w:p>
        </w:tc>
        <w:tc>
          <w:tcPr>
            <w:tcW w:w="1377" w:type="dxa"/>
            <w:shd w:val="clear" w:color="auto" w:fill="F5FFF5" w:themeFill="background1"/>
          </w:tcPr>
          <w:p w14:paraId="52511EA6" w14:textId="3606D59E" w:rsidR="008F0361" w:rsidRPr="004149FC" w:rsidRDefault="008F0361" w:rsidP="008F03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522A0E">
              <w:rPr>
                <w:rFonts w:asciiTheme="minorHAnsi" w:hAnsiTheme="minorHAnsi" w:cstheme="minorHAnsi"/>
                <w:szCs w:val="20"/>
              </w:rPr>
              <w:t xml:space="preserve">Introduce </w:t>
            </w:r>
            <w:r>
              <w:rPr>
                <w:rFonts w:asciiTheme="minorHAnsi" w:hAnsiTheme="minorHAnsi" w:cstheme="minorHAnsi"/>
                <w:szCs w:val="20"/>
              </w:rPr>
              <w:t>CBD for large buildings</w:t>
            </w:r>
          </w:p>
        </w:tc>
        <w:tc>
          <w:tcPr>
            <w:tcW w:w="2006" w:type="dxa"/>
            <w:shd w:val="clear" w:color="auto" w:fill="F5FFF5" w:themeFill="background1"/>
          </w:tcPr>
          <w:p w14:paraId="7692F01F" w14:textId="0B07C8DE" w:rsidR="008F0361" w:rsidRPr="004149FC" w:rsidRDefault="008F0361" w:rsidP="008F03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94DBC">
              <w:rPr>
                <w:rFonts w:asciiTheme="minorHAnsi" w:hAnsiTheme="minorHAnsi" w:cstheme="minorHAnsi"/>
                <w:szCs w:val="20"/>
              </w:rPr>
              <w:t>Introduce MEPS for large buildings</w:t>
            </w:r>
          </w:p>
        </w:tc>
        <w:tc>
          <w:tcPr>
            <w:tcW w:w="2120" w:type="dxa"/>
            <w:shd w:val="clear" w:color="auto" w:fill="F5FFF5" w:themeFill="background1"/>
          </w:tcPr>
          <w:p w14:paraId="19032C6C" w14:textId="77777777" w:rsidR="008F0361" w:rsidRDefault="008F0361" w:rsidP="008F03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C5B7E">
              <w:rPr>
                <w:rFonts w:asciiTheme="minorHAnsi" w:hAnsiTheme="minorHAnsi" w:cstheme="minorHAnsi"/>
                <w:szCs w:val="20"/>
              </w:rPr>
              <w:t xml:space="preserve">Progressively reduce disclosure and MEPS threshold </w:t>
            </w:r>
          </w:p>
          <w:p w14:paraId="29CBF245" w14:textId="77777777" w:rsidR="008F0361" w:rsidRDefault="008F0361" w:rsidP="008F03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324F36AB" w14:textId="2D6D068A" w:rsidR="008F0361" w:rsidRPr="005D05E2" w:rsidRDefault="008F0361" w:rsidP="008F036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r>
              <w:rPr>
                <w:rFonts w:asciiTheme="minorHAnsi" w:hAnsiTheme="minorHAnsi" w:cstheme="minorHAnsi"/>
                <w:szCs w:val="20"/>
              </w:rPr>
              <w:t>CBD covers more than 60% of floor area</w:t>
            </w:r>
          </w:p>
        </w:tc>
      </w:tr>
    </w:tbl>
    <w:p w14:paraId="41C75CCA" w14:textId="77777777" w:rsidR="00236D08" w:rsidRDefault="00236D08" w:rsidP="000A5BA0">
      <w:pPr>
        <w:pStyle w:val="Normalsmall"/>
        <w:rPr>
          <w:rStyle w:val="Strong"/>
        </w:rPr>
      </w:pPr>
    </w:p>
    <w:p w14:paraId="44BE0A73" w14:textId="77777777" w:rsidR="007C0DF3" w:rsidRDefault="007C0DF3" w:rsidP="00E9781D">
      <w:pPr>
        <w:pStyle w:val="Normalsmall"/>
      </w:pPr>
    </w:p>
    <w:sectPr w:rsidR="007C0DF3" w:rsidSect="00C05764">
      <w:headerReference w:type="default" r:id="rId20"/>
      <w:footerReference w:type="default" r:id="rId21"/>
      <w:headerReference w:type="first" r:id="rId22"/>
      <w:footerReference w:type="first" r:id="rId23"/>
      <w:pgSz w:w="11906" w:h="16838" w:code="9"/>
      <w:pgMar w:top="1247" w:right="1247" w:bottom="1134" w:left="1247" w:header="73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1E76F" w14:textId="77777777" w:rsidR="00061818" w:rsidRDefault="00061818">
      <w:r>
        <w:separator/>
      </w:r>
    </w:p>
    <w:p w14:paraId="0AD86645" w14:textId="77777777" w:rsidR="00061818" w:rsidRDefault="00061818"/>
    <w:p w14:paraId="2AD8097C" w14:textId="77777777" w:rsidR="00061818" w:rsidRDefault="00061818"/>
  </w:endnote>
  <w:endnote w:type="continuationSeparator" w:id="0">
    <w:p w14:paraId="750A4CFC" w14:textId="77777777" w:rsidR="00061818" w:rsidRDefault="00061818">
      <w:r>
        <w:continuationSeparator/>
      </w:r>
    </w:p>
    <w:p w14:paraId="27385590" w14:textId="77777777" w:rsidR="00061818" w:rsidRDefault="00061818"/>
    <w:p w14:paraId="37372C16" w14:textId="77777777" w:rsidR="00061818" w:rsidRDefault="00061818"/>
  </w:endnote>
  <w:endnote w:type="continuationNotice" w:id="1">
    <w:p w14:paraId="3E10E8AA" w14:textId="77777777" w:rsidR="00061818" w:rsidRDefault="00061818">
      <w:pPr>
        <w:pStyle w:val="Footer"/>
      </w:pPr>
    </w:p>
    <w:p w14:paraId="29BAA078" w14:textId="77777777" w:rsidR="00061818" w:rsidRDefault="00061818"/>
    <w:p w14:paraId="77AAE5D8" w14:textId="77777777" w:rsidR="00061818" w:rsidRDefault="00061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90E2" w14:textId="77777777" w:rsidR="000542B4" w:rsidRPr="007C0DF3" w:rsidRDefault="000542B4" w:rsidP="00CE0C2C">
    <w:pPr>
      <w:pStyle w:val="Footer"/>
      <w:pBdr>
        <w:top w:val="single" w:sz="8" w:space="1" w:color="197C7D" w:themeColor="text2"/>
      </w:pBdr>
      <w:rPr>
        <w:sz w:val="18"/>
        <w:szCs w:val="20"/>
      </w:rPr>
    </w:pPr>
    <w:r w:rsidRPr="007C0DF3">
      <w:rPr>
        <w:sz w:val="18"/>
        <w:szCs w:val="20"/>
      </w:rPr>
      <w:t xml:space="preserve">Department of </w:t>
    </w:r>
    <w:r w:rsidR="00EC4447" w:rsidRPr="007C0DF3">
      <w:rPr>
        <w:sz w:val="18"/>
        <w:szCs w:val="20"/>
      </w:rPr>
      <w:t>Climate Change, Energy, the Environment and Water</w:t>
    </w:r>
  </w:p>
  <w:p w14:paraId="0316FCC8" w14:textId="77777777"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20"/>
      </w:rPr>
      <w:id w:val="-858040093"/>
      <w:docPartObj>
        <w:docPartGallery w:val="Page Numbers (Bottom of Page)"/>
        <w:docPartUnique/>
      </w:docPartObj>
    </w:sdtPr>
    <w:sdtEndPr>
      <w:rPr>
        <w:noProof/>
        <w:sz w:val="20"/>
        <w:szCs w:val="22"/>
      </w:rPr>
    </w:sdtEndPr>
    <w:sdtContent>
      <w:p w14:paraId="20C8DFC5" w14:textId="77777777" w:rsidR="000542B4" w:rsidRPr="007C0DF3" w:rsidRDefault="009C37F9" w:rsidP="00CE0C2C">
        <w:pPr>
          <w:pStyle w:val="Footer"/>
          <w:pBdr>
            <w:top w:val="single" w:sz="8" w:space="1" w:color="197C7D" w:themeColor="text2"/>
          </w:pBdr>
          <w:rPr>
            <w:sz w:val="18"/>
            <w:szCs w:val="20"/>
          </w:rPr>
        </w:pPr>
        <w:r w:rsidRPr="007C0DF3">
          <w:rPr>
            <w:sz w:val="18"/>
            <w:szCs w:val="20"/>
          </w:rPr>
          <w:t xml:space="preserve">Department of </w:t>
        </w:r>
        <w:r w:rsidR="006371B7" w:rsidRPr="007C0DF3">
          <w:rPr>
            <w:sz w:val="18"/>
            <w:szCs w:val="20"/>
          </w:rPr>
          <w:t>Climate Change, Energy, the Environment and Water</w:t>
        </w:r>
      </w:p>
      <w:p w14:paraId="553D567E"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3FAC" w14:textId="77777777" w:rsidR="00061818" w:rsidRDefault="00061818">
      <w:r>
        <w:separator/>
      </w:r>
    </w:p>
    <w:p w14:paraId="6AFC5D1C" w14:textId="77777777" w:rsidR="00061818" w:rsidRDefault="00061818"/>
    <w:p w14:paraId="6E8CDAC7" w14:textId="77777777" w:rsidR="00061818" w:rsidRDefault="00061818"/>
  </w:footnote>
  <w:footnote w:type="continuationSeparator" w:id="0">
    <w:p w14:paraId="4315DCE3" w14:textId="77777777" w:rsidR="00061818" w:rsidRDefault="00061818">
      <w:r>
        <w:continuationSeparator/>
      </w:r>
    </w:p>
    <w:p w14:paraId="38C7BC25" w14:textId="77777777" w:rsidR="00061818" w:rsidRDefault="00061818"/>
    <w:p w14:paraId="61899C73" w14:textId="77777777" w:rsidR="00061818" w:rsidRDefault="00061818"/>
  </w:footnote>
  <w:footnote w:type="continuationNotice" w:id="1">
    <w:p w14:paraId="7F13E8CC" w14:textId="77777777" w:rsidR="00061818" w:rsidRDefault="00061818">
      <w:pPr>
        <w:pStyle w:val="Footer"/>
      </w:pPr>
    </w:p>
    <w:p w14:paraId="39D6D9B7" w14:textId="77777777" w:rsidR="00061818" w:rsidRDefault="00061818"/>
    <w:p w14:paraId="026B01D9" w14:textId="77777777" w:rsidR="00061818" w:rsidRDefault="00061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0DB7" w14:textId="44E0A387" w:rsidR="000542B4" w:rsidRPr="009446FB" w:rsidRDefault="009446FB" w:rsidP="009446FB">
    <w:pPr>
      <w:pStyle w:val="Header"/>
    </w:pPr>
    <w:r>
      <w:t>Commercial Building Disclosure (CBD) Program Expansion Public Consultation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1464" w14:textId="2F4A20F3" w:rsidR="000E455C" w:rsidRDefault="001B25FA" w:rsidP="007C0DF3">
    <w:pPr>
      <w:pStyle w:val="Footer"/>
      <w:jc w:val="left"/>
    </w:pPr>
    <w:r>
      <w:rPr>
        <w:noProof/>
      </w:rPr>
      <w:drawing>
        <wp:anchor distT="0" distB="0" distL="114300" distR="114300" simplePos="0" relativeHeight="251660288" behindDoc="0" locked="0" layoutInCell="1" allowOverlap="1" wp14:anchorId="3F32141B" wp14:editId="13C07DCB">
          <wp:simplePos x="0" y="0"/>
          <wp:positionH relativeFrom="margin">
            <wp:posOffset>-610870</wp:posOffset>
          </wp:positionH>
          <wp:positionV relativeFrom="paragraph">
            <wp:posOffset>8255</wp:posOffset>
          </wp:positionV>
          <wp:extent cx="3858332" cy="809625"/>
          <wp:effectExtent l="0" t="0" r="8890" b="0"/>
          <wp:wrapNone/>
          <wp:docPr id="1272659442" name="Picture 2" descr="Australian Government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59442" name="Picture 2" descr="Australian Government Department of Climate Change, Energy, the Environment and Wa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58332"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4939764" wp14:editId="49AF07D4">
          <wp:simplePos x="0" y="0"/>
          <wp:positionH relativeFrom="page">
            <wp:align>right</wp:align>
          </wp:positionH>
          <wp:positionV relativeFrom="paragraph">
            <wp:posOffset>-467995</wp:posOffset>
          </wp:positionV>
          <wp:extent cx="7682865" cy="1847850"/>
          <wp:effectExtent l="0" t="0" r="0" b="0"/>
          <wp:wrapSquare wrapText="bothSides"/>
          <wp:docPr id="1442829307" name="Picture 1442829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29307" name="Picture 144282930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682865" cy="1847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5BFF"/>
    <w:multiLevelType w:val="hybridMultilevel"/>
    <w:tmpl w:val="FA52B3B8"/>
    <w:lvl w:ilvl="0" w:tplc="39FCE382">
      <w:start w:val="1"/>
      <w:numFmt w:val="decimal"/>
      <w:lvlText w:val="%1."/>
      <w:lvlJc w:val="left"/>
      <w:pPr>
        <w:ind w:left="1020" w:hanging="360"/>
      </w:pPr>
    </w:lvl>
    <w:lvl w:ilvl="1" w:tplc="7438070A">
      <w:start w:val="1"/>
      <w:numFmt w:val="decimal"/>
      <w:lvlText w:val="%2."/>
      <w:lvlJc w:val="left"/>
      <w:pPr>
        <w:ind w:left="1020" w:hanging="360"/>
      </w:pPr>
    </w:lvl>
    <w:lvl w:ilvl="2" w:tplc="86AA9E64">
      <w:start w:val="1"/>
      <w:numFmt w:val="decimal"/>
      <w:lvlText w:val="%3."/>
      <w:lvlJc w:val="left"/>
      <w:pPr>
        <w:ind w:left="1020" w:hanging="360"/>
      </w:pPr>
    </w:lvl>
    <w:lvl w:ilvl="3" w:tplc="F0CEB09A">
      <w:start w:val="1"/>
      <w:numFmt w:val="decimal"/>
      <w:lvlText w:val="%4."/>
      <w:lvlJc w:val="left"/>
      <w:pPr>
        <w:ind w:left="1020" w:hanging="360"/>
      </w:pPr>
    </w:lvl>
    <w:lvl w:ilvl="4" w:tplc="7BC6FFBC">
      <w:start w:val="1"/>
      <w:numFmt w:val="decimal"/>
      <w:lvlText w:val="%5."/>
      <w:lvlJc w:val="left"/>
      <w:pPr>
        <w:ind w:left="1020" w:hanging="360"/>
      </w:pPr>
    </w:lvl>
    <w:lvl w:ilvl="5" w:tplc="57C805AC">
      <w:start w:val="1"/>
      <w:numFmt w:val="decimal"/>
      <w:lvlText w:val="%6."/>
      <w:lvlJc w:val="left"/>
      <w:pPr>
        <w:ind w:left="1020" w:hanging="360"/>
      </w:pPr>
    </w:lvl>
    <w:lvl w:ilvl="6" w:tplc="D8AE4420">
      <w:start w:val="1"/>
      <w:numFmt w:val="decimal"/>
      <w:lvlText w:val="%7."/>
      <w:lvlJc w:val="left"/>
      <w:pPr>
        <w:ind w:left="1020" w:hanging="360"/>
      </w:pPr>
    </w:lvl>
    <w:lvl w:ilvl="7" w:tplc="D302AE6A">
      <w:start w:val="1"/>
      <w:numFmt w:val="decimal"/>
      <w:lvlText w:val="%8."/>
      <w:lvlJc w:val="left"/>
      <w:pPr>
        <w:ind w:left="1020" w:hanging="360"/>
      </w:pPr>
    </w:lvl>
    <w:lvl w:ilvl="8" w:tplc="C9544D2E">
      <w:start w:val="1"/>
      <w:numFmt w:val="decimal"/>
      <w:lvlText w:val="%9."/>
      <w:lvlJc w:val="left"/>
      <w:pPr>
        <w:ind w:left="1020" w:hanging="360"/>
      </w:pPr>
    </w:lvl>
  </w:abstractNum>
  <w:abstractNum w:abstractNumId="1" w15:restartNumberingAfterBreak="0">
    <w:nsid w:val="0DC861FA"/>
    <w:multiLevelType w:val="hybridMultilevel"/>
    <w:tmpl w:val="EA4E4FB2"/>
    <w:lvl w:ilvl="0" w:tplc="C876EC4A">
      <w:start w:val="1"/>
      <w:numFmt w:val="decimal"/>
      <w:lvlText w:val="%1."/>
      <w:lvlJc w:val="left"/>
      <w:pPr>
        <w:ind w:left="1020" w:hanging="360"/>
      </w:pPr>
    </w:lvl>
    <w:lvl w:ilvl="1" w:tplc="67B87FBA">
      <w:start w:val="1"/>
      <w:numFmt w:val="decimal"/>
      <w:lvlText w:val="%2."/>
      <w:lvlJc w:val="left"/>
      <w:pPr>
        <w:ind w:left="1020" w:hanging="360"/>
      </w:pPr>
    </w:lvl>
    <w:lvl w:ilvl="2" w:tplc="848EAB50">
      <w:start w:val="1"/>
      <w:numFmt w:val="decimal"/>
      <w:lvlText w:val="%3."/>
      <w:lvlJc w:val="left"/>
      <w:pPr>
        <w:ind w:left="1020" w:hanging="360"/>
      </w:pPr>
    </w:lvl>
    <w:lvl w:ilvl="3" w:tplc="B9A69F48">
      <w:start w:val="1"/>
      <w:numFmt w:val="decimal"/>
      <w:lvlText w:val="%4."/>
      <w:lvlJc w:val="left"/>
      <w:pPr>
        <w:ind w:left="1020" w:hanging="360"/>
      </w:pPr>
    </w:lvl>
    <w:lvl w:ilvl="4" w:tplc="3B78F6D4">
      <w:start w:val="1"/>
      <w:numFmt w:val="decimal"/>
      <w:lvlText w:val="%5."/>
      <w:lvlJc w:val="left"/>
      <w:pPr>
        <w:ind w:left="1020" w:hanging="360"/>
      </w:pPr>
    </w:lvl>
    <w:lvl w:ilvl="5" w:tplc="EBA832C0">
      <w:start w:val="1"/>
      <w:numFmt w:val="decimal"/>
      <w:lvlText w:val="%6."/>
      <w:lvlJc w:val="left"/>
      <w:pPr>
        <w:ind w:left="1020" w:hanging="360"/>
      </w:pPr>
    </w:lvl>
    <w:lvl w:ilvl="6" w:tplc="492A341A">
      <w:start w:val="1"/>
      <w:numFmt w:val="decimal"/>
      <w:lvlText w:val="%7."/>
      <w:lvlJc w:val="left"/>
      <w:pPr>
        <w:ind w:left="1020" w:hanging="360"/>
      </w:pPr>
    </w:lvl>
    <w:lvl w:ilvl="7" w:tplc="2C6CB006">
      <w:start w:val="1"/>
      <w:numFmt w:val="decimal"/>
      <w:lvlText w:val="%8."/>
      <w:lvlJc w:val="left"/>
      <w:pPr>
        <w:ind w:left="1020" w:hanging="360"/>
      </w:pPr>
    </w:lvl>
    <w:lvl w:ilvl="8" w:tplc="5720C92A">
      <w:start w:val="1"/>
      <w:numFmt w:val="decimal"/>
      <w:lvlText w:val="%9."/>
      <w:lvlJc w:val="left"/>
      <w:pPr>
        <w:ind w:left="1020" w:hanging="360"/>
      </w:p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6F59BC"/>
    <w:multiLevelType w:val="hybridMultilevel"/>
    <w:tmpl w:val="A0D0F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194DE4"/>
    <w:multiLevelType w:val="hybridMultilevel"/>
    <w:tmpl w:val="EA36DD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BB37E5"/>
    <w:multiLevelType w:val="hybridMultilevel"/>
    <w:tmpl w:val="3968A24C"/>
    <w:lvl w:ilvl="0" w:tplc="CB1A4902">
      <w:start w:val="1"/>
      <w:numFmt w:val="decimal"/>
      <w:lvlText w:val="%1."/>
      <w:lvlJc w:val="left"/>
      <w:pPr>
        <w:ind w:left="1020" w:hanging="360"/>
      </w:pPr>
    </w:lvl>
    <w:lvl w:ilvl="1" w:tplc="5F9E865A">
      <w:start w:val="1"/>
      <w:numFmt w:val="decimal"/>
      <w:lvlText w:val="%2."/>
      <w:lvlJc w:val="left"/>
      <w:pPr>
        <w:ind w:left="1020" w:hanging="360"/>
      </w:pPr>
    </w:lvl>
    <w:lvl w:ilvl="2" w:tplc="91A85D4A">
      <w:start w:val="1"/>
      <w:numFmt w:val="decimal"/>
      <w:lvlText w:val="%3."/>
      <w:lvlJc w:val="left"/>
      <w:pPr>
        <w:ind w:left="1020" w:hanging="360"/>
      </w:pPr>
    </w:lvl>
    <w:lvl w:ilvl="3" w:tplc="62E200EC">
      <w:start w:val="1"/>
      <w:numFmt w:val="decimal"/>
      <w:lvlText w:val="%4."/>
      <w:lvlJc w:val="left"/>
      <w:pPr>
        <w:ind w:left="1020" w:hanging="360"/>
      </w:pPr>
    </w:lvl>
    <w:lvl w:ilvl="4" w:tplc="962693BC">
      <w:start w:val="1"/>
      <w:numFmt w:val="decimal"/>
      <w:lvlText w:val="%5."/>
      <w:lvlJc w:val="left"/>
      <w:pPr>
        <w:ind w:left="1020" w:hanging="360"/>
      </w:pPr>
    </w:lvl>
    <w:lvl w:ilvl="5" w:tplc="FE1E6706">
      <w:start w:val="1"/>
      <w:numFmt w:val="decimal"/>
      <w:lvlText w:val="%6."/>
      <w:lvlJc w:val="left"/>
      <w:pPr>
        <w:ind w:left="1020" w:hanging="360"/>
      </w:pPr>
    </w:lvl>
    <w:lvl w:ilvl="6" w:tplc="C3FC5004">
      <w:start w:val="1"/>
      <w:numFmt w:val="decimal"/>
      <w:lvlText w:val="%7."/>
      <w:lvlJc w:val="left"/>
      <w:pPr>
        <w:ind w:left="1020" w:hanging="360"/>
      </w:pPr>
    </w:lvl>
    <w:lvl w:ilvl="7" w:tplc="2D58FF38">
      <w:start w:val="1"/>
      <w:numFmt w:val="decimal"/>
      <w:lvlText w:val="%8."/>
      <w:lvlJc w:val="left"/>
      <w:pPr>
        <w:ind w:left="1020" w:hanging="360"/>
      </w:pPr>
    </w:lvl>
    <w:lvl w:ilvl="8" w:tplc="AB7A1952">
      <w:start w:val="1"/>
      <w:numFmt w:val="decimal"/>
      <w:lvlText w:val="%9."/>
      <w:lvlJc w:val="left"/>
      <w:pPr>
        <w:ind w:left="1020" w:hanging="360"/>
      </w:pPr>
    </w:lvl>
  </w:abstractNum>
  <w:abstractNum w:abstractNumId="7" w15:restartNumberingAfterBreak="0">
    <w:nsid w:val="3CA249C3"/>
    <w:multiLevelType w:val="singleLevel"/>
    <w:tmpl w:val="31A87D84"/>
    <w:lvl w:ilvl="0">
      <w:start w:val="1"/>
      <w:numFmt w:val="bullet"/>
      <w:lvlText w:val="•"/>
      <w:lvlJc w:val="left"/>
      <w:pPr>
        <w:tabs>
          <w:tab w:val="num" w:pos="340"/>
        </w:tabs>
        <w:ind w:left="340" w:hanging="340"/>
      </w:pPr>
      <w:rPr>
        <w:rFonts w:ascii="CG Times (W1)" w:hAnsi="CG Times (W1)" w:cs="CG Times (W1)" w:hint="default"/>
        <w:color w:val="auto"/>
        <w:sz w:val="24"/>
      </w:rPr>
    </w:lvl>
  </w:abstractNum>
  <w:abstractNum w:abstractNumId="8" w15:restartNumberingAfterBreak="0">
    <w:nsid w:val="3ECC59FA"/>
    <w:multiLevelType w:val="hybridMultilevel"/>
    <w:tmpl w:val="3E686DBA"/>
    <w:lvl w:ilvl="0" w:tplc="D78E0B70">
      <w:start w:val="1"/>
      <w:numFmt w:val="decimal"/>
      <w:lvlText w:val="%1."/>
      <w:lvlJc w:val="left"/>
      <w:pPr>
        <w:ind w:left="1020" w:hanging="360"/>
      </w:pPr>
    </w:lvl>
    <w:lvl w:ilvl="1" w:tplc="39167910">
      <w:start w:val="1"/>
      <w:numFmt w:val="decimal"/>
      <w:lvlText w:val="%2."/>
      <w:lvlJc w:val="left"/>
      <w:pPr>
        <w:ind w:left="1020" w:hanging="360"/>
      </w:pPr>
    </w:lvl>
    <w:lvl w:ilvl="2" w:tplc="F6826764">
      <w:start w:val="1"/>
      <w:numFmt w:val="decimal"/>
      <w:lvlText w:val="%3."/>
      <w:lvlJc w:val="left"/>
      <w:pPr>
        <w:ind w:left="1020" w:hanging="360"/>
      </w:pPr>
    </w:lvl>
    <w:lvl w:ilvl="3" w:tplc="ED1CE32C">
      <w:start w:val="1"/>
      <w:numFmt w:val="decimal"/>
      <w:lvlText w:val="%4."/>
      <w:lvlJc w:val="left"/>
      <w:pPr>
        <w:ind w:left="1020" w:hanging="360"/>
      </w:pPr>
    </w:lvl>
    <w:lvl w:ilvl="4" w:tplc="9098A120">
      <w:start w:val="1"/>
      <w:numFmt w:val="decimal"/>
      <w:lvlText w:val="%5."/>
      <w:lvlJc w:val="left"/>
      <w:pPr>
        <w:ind w:left="1020" w:hanging="360"/>
      </w:pPr>
    </w:lvl>
    <w:lvl w:ilvl="5" w:tplc="F080F874">
      <w:start w:val="1"/>
      <w:numFmt w:val="decimal"/>
      <w:lvlText w:val="%6."/>
      <w:lvlJc w:val="left"/>
      <w:pPr>
        <w:ind w:left="1020" w:hanging="360"/>
      </w:pPr>
    </w:lvl>
    <w:lvl w:ilvl="6" w:tplc="15A6C1D2">
      <w:start w:val="1"/>
      <w:numFmt w:val="decimal"/>
      <w:lvlText w:val="%7."/>
      <w:lvlJc w:val="left"/>
      <w:pPr>
        <w:ind w:left="1020" w:hanging="360"/>
      </w:pPr>
    </w:lvl>
    <w:lvl w:ilvl="7" w:tplc="283017B4">
      <w:start w:val="1"/>
      <w:numFmt w:val="decimal"/>
      <w:lvlText w:val="%8."/>
      <w:lvlJc w:val="left"/>
      <w:pPr>
        <w:ind w:left="1020" w:hanging="360"/>
      </w:pPr>
    </w:lvl>
    <w:lvl w:ilvl="8" w:tplc="C11AAEDE">
      <w:start w:val="1"/>
      <w:numFmt w:val="decimal"/>
      <w:lvlText w:val="%9."/>
      <w:lvlJc w:val="left"/>
      <w:pPr>
        <w:ind w:left="1020" w:hanging="360"/>
      </w:p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9237805"/>
    <w:multiLevelType w:val="multilevel"/>
    <w:tmpl w:val="5736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334CFC"/>
    <w:multiLevelType w:val="hybridMultilevel"/>
    <w:tmpl w:val="283261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7AAA7EE"/>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619144A"/>
    <w:multiLevelType w:val="hybridMultilevel"/>
    <w:tmpl w:val="FF3E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3E00C4"/>
    <w:multiLevelType w:val="multilevel"/>
    <w:tmpl w:val="0E4E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76839"/>
    <w:multiLevelType w:val="hybridMultilevel"/>
    <w:tmpl w:val="27320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5934C1"/>
    <w:multiLevelType w:val="hybridMultilevel"/>
    <w:tmpl w:val="30CECC8E"/>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75CA2114"/>
    <w:multiLevelType w:val="hybridMultilevel"/>
    <w:tmpl w:val="4BA09AE4"/>
    <w:lvl w:ilvl="0" w:tplc="9CC0FEC4">
      <w:start w:val="1"/>
      <w:numFmt w:val="bullet"/>
      <w:lvlText w:val="•"/>
      <w:lvlJc w:val="left"/>
      <w:pPr>
        <w:ind w:left="720" w:hanging="360"/>
      </w:pPr>
      <w:rPr>
        <w:rFonts w:ascii="CG Times (W1)" w:hAnsi="CG Times (W1)" w:cs="CG Times (W1)" w:hint="default"/>
        <w:color w:val="auto"/>
        <w:sz w:val="24"/>
      </w:rPr>
    </w:lvl>
    <w:lvl w:ilvl="1" w:tplc="0C090003" w:tentative="1">
      <w:start w:val="1"/>
      <w:numFmt w:val="bullet"/>
      <w:lvlText w:val="o"/>
      <w:lvlJc w:val="left"/>
      <w:pPr>
        <w:ind w:left="1440" w:hanging="360"/>
      </w:pPr>
      <w:rPr>
        <w:rFonts w:ascii="DengXian" w:hAnsi="DengXian" w:cs="DengXian" w:hint="default"/>
      </w:rPr>
    </w:lvl>
    <w:lvl w:ilvl="2" w:tplc="0C090005" w:tentative="1">
      <w:start w:val="1"/>
      <w:numFmt w:val="bullet"/>
      <w:lvlText w:val=""/>
      <w:lvlJc w:val="left"/>
      <w:pPr>
        <w:ind w:left="2160" w:hanging="360"/>
      </w:pPr>
      <w:rPr>
        <w:rFonts w:ascii="DengXian" w:hAnsi="DengXian" w:hint="default"/>
      </w:rPr>
    </w:lvl>
    <w:lvl w:ilvl="3" w:tplc="0C090001" w:tentative="1">
      <w:start w:val="1"/>
      <w:numFmt w:val="bullet"/>
      <w:lvlText w:val=""/>
      <w:lvlJc w:val="left"/>
      <w:pPr>
        <w:ind w:left="2880" w:hanging="360"/>
      </w:pPr>
      <w:rPr>
        <w:rFonts w:ascii="CG Times (W1)" w:hAnsi="CG Times (W1)" w:hint="default"/>
      </w:rPr>
    </w:lvl>
    <w:lvl w:ilvl="4" w:tplc="0C090003" w:tentative="1">
      <w:start w:val="1"/>
      <w:numFmt w:val="bullet"/>
      <w:lvlText w:val="o"/>
      <w:lvlJc w:val="left"/>
      <w:pPr>
        <w:ind w:left="3600" w:hanging="360"/>
      </w:pPr>
      <w:rPr>
        <w:rFonts w:ascii="DengXian" w:hAnsi="DengXian" w:cs="DengXian" w:hint="default"/>
      </w:rPr>
    </w:lvl>
    <w:lvl w:ilvl="5" w:tplc="0C090005" w:tentative="1">
      <w:start w:val="1"/>
      <w:numFmt w:val="bullet"/>
      <w:lvlText w:val=""/>
      <w:lvlJc w:val="left"/>
      <w:pPr>
        <w:ind w:left="4320" w:hanging="360"/>
      </w:pPr>
      <w:rPr>
        <w:rFonts w:ascii="DengXian" w:hAnsi="DengXian" w:hint="default"/>
      </w:rPr>
    </w:lvl>
    <w:lvl w:ilvl="6" w:tplc="0C090001" w:tentative="1">
      <w:start w:val="1"/>
      <w:numFmt w:val="bullet"/>
      <w:lvlText w:val=""/>
      <w:lvlJc w:val="left"/>
      <w:pPr>
        <w:ind w:left="5040" w:hanging="360"/>
      </w:pPr>
      <w:rPr>
        <w:rFonts w:ascii="CG Times (W1)" w:hAnsi="CG Times (W1)" w:hint="default"/>
      </w:rPr>
    </w:lvl>
    <w:lvl w:ilvl="7" w:tplc="0C090003" w:tentative="1">
      <w:start w:val="1"/>
      <w:numFmt w:val="bullet"/>
      <w:lvlText w:val="o"/>
      <w:lvlJc w:val="left"/>
      <w:pPr>
        <w:ind w:left="5760" w:hanging="360"/>
      </w:pPr>
      <w:rPr>
        <w:rFonts w:ascii="DengXian" w:hAnsi="DengXian" w:cs="DengXian" w:hint="default"/>
      </w:rPr>
    </w:lvl>
    <w:lvl w:ilvl="8" w:tplc="0C090005" w:tentative="1">
      <w:start w:val="1"/>
      <w:numFmt w:val="bullet"/>
      <w:lvlText w:val=""/>
      <w:lvlJc w:val="left"/>
      <w:pPr>
        <w:ind w:left="6480" w:hanging="360"/>
      </w:pPr>
      <w:rPr>
        <w:rFonts w:ascii="DengXian" w:hAnsi="DengXian" w:hint="default"/>
      </w:rPr>
    </w:lvl>
  </w:abstractNum>
  <w:abstractNum w:abstractNumId="21" w15:restartNumberingAfterBreak="0">
    <w:nsid w:val="7DB60012"/>
    <w:multiLevelType w:val="hybridMultilevel"/>
    <w:tmpl w:val="AC12AF56"/>
    <w:lvl w:ilvl="0" w:tplc="259AE6EE">
      <w:start w:val="1"/>
      <w:numFmt w:val="decimal"/>
      <w:lvlText w:val="%1."/>
      <w:lvlJc w:val="left"/>
      <w:pPr>
        <w:ind w:left="1020" w:hanging="360"/>
      </w:pPr>
    </w:lvl>
    <w:lvl w:ilvl="1" w:tplc="F126F24A">
      <w:start w:val="1"/>
      <w:numFmt w:val="decimal"/>
      <w:lvlText w:val="%2."/>
      <w:lvlJc w:val="left"/>
      <w:pPr>
        <w:ind w:left="1020" w:hanging="360"/>
      </w:pPr>
    </w:lvl>
    <w:lvl w:ilvl="2" w:tplc="BF98D68C">
      <w:start w:val="1"/>
      <w:numFmt w:val="decimal"/>
      <w:lvlText w:val="%3."/>
      <w:lvlJc w:val="left"/>
      <w:pPr>
        <w:ind w:left="1020" w:hanging="360"/>
      </w:pPr>
    </w:lvl>
    <w:lvl w:ilvl="3" w:tplc="4AFAB98E">
      <w:start w:val="1"/>
      <w:numFmt w:val="decimal"/>
      <w:lvlText w:val="%4."/>
      <w:lvlJc w:val="left"/>
      <w:pPr>
        <w:ind w:left="1020" w:hanging="360"/>
      </w:pPr>
    </w:lvl>
    <w:lvl w:ilvl="4" w:tplc="FFE6A688">
      <w:start w:val="1"/>
      <w:numFmt w:val="decimal"/>
      <w:lvlText w:val="%5."/>
      <w:lvlJc w:val="left"/>
      <w:pPr>
        <w:ind w:left="1020" w:hanging="360"/>
      </w:pPr>
    </w:lvl>
    <w:lvl w:ilvl="5" w:tplc="48CC3C16">
      <w:start w:val="1"/>
      <w:numFmt w:val="decimal"/>
      <w:lvlText w:val="%6."/>
      <w:lvlJc w:val="left"/>
      <w:pPr>
        <w:ind w:left="1020" w:hanging="360"/>
      </w:pPr>
    </w:lvl>
    <w:lvl w:ilvl="6" w:tplc="73086CA4">
      <w:start w:val="1"/>
      <w:numFmt w:val="decimal"/>
      <w:lvlText w:val="%7."/>
      <w:lvlJc w:val="left"/>
      <w:pPr>
        <w:ind w:left="1020" w:hanging="360"/>
      </w:pPr>
    </w:lvl>
    <w:lvl w:ilvl="7" w:tplc="3EAEF61E">
      <w:start w:val="1"/>
      <w:numFmt w:val="decimal"/>
      <w:lvlText w:val="%8."/>
      <w:lvlJc w:val="left"/>
      <w:pPr>
        <w:ind w:left="1020" w:hanging="360"/>
      </w:pPr>
    </w:lvl>
    <w:lvl w:ilvl="8" w:tplc="8FE4ACE2">
      <w:start w:val="1"/>
      <w:numFmt w:val="decimal"/>
      <w:lvlText w:val="%9."/>
      <w:lvlJc w:val="left"/>
      <w:pPr>
        <w:ind w:left="1020" w:hanging="360"/>
      </w:pPr>
    </w:lvl>
  </w:abstractNum>
  <w:num w:numId="1" w16cid:durableId="1391002950">
    <w:abstractNumId w:val="9"/>
  </w:num>
  <w:num w:numId="2" w16cid:durableId="1905025752">
    <w:abstractNumId w:val="14"/>
  </w:num>
  <w:num w:numId="3" w16cid:durableId="320934746">
    <w:abstractNumId w:val="15"/>
  </w:num>
  <w:num w:numId="4" w16cid:durableId="1728845122">
    <w:abstractNumId w:val="3"/>
  </w:num>
  <w:num w:numId="5" w16cid:durableId="595596255">
    <w:abstractNumId w:val="13"/>
  </w:num>
  <w:num w:numId="6" w16cid:durableId="1821801649">
    <w:abstractNumId w:val="11"/>
  </w:num>
  <w:num w:numId="7" w16cid:durableId="735130269">
    <w:abstractNumId w:val="2"/>
  </w:num>
  <w:num w:numId="8" w16cid:durableId="934286408">
    <w:abstractNumId w:val="12"/>
  </w:num>
  <w:num w:numId="9" w16cid:durableId="1289238360">
    <w:abstractNumId w:val="16"/>
  </w:num>
  <w:num w:numId="10" w16cid:durableId="917053891">
    <w:abstractNumId w:val="10"/>
  </w:num>
  <w:num w:numId="11" w16cid:durableId="981275991">
    <w:abstractNumId w:val="17"/>
  </w:num>
  <w:num w:numId="12" w16cid:durableId="101152968">
    <w:abstractNumId w:val="18"/>
  </w:num>
  <w:num w:numId="13" w16cid:durableId="1661301830">
    <w:abstractNumId w:val="19"/>
  </w:num>
  <w:num w:numId="14" w16cid:durableId="2079009682">
    <w:abstractNumId w:val="21"/>
  </w:num>
  <w:num w:numId="15" w16cid:durableId="1672368653">
    <w:abstractNumId w:val="6"/>
  </w:num>
  <w:num w:numId="16" w16cid:durableId="2142570037">
    <w:abstractNumId w:val="1"/>
  </w:num>
  <w:num w:numId="17" w16cid:durableId="583759098">
    <w:abstractNumId w:val="0"/>
  </w:num>
  <w:num w:numId="18" w16cid:durableId="216162486">
    <w:abstractNumId w:val="8"/>
  </w:num>
  <w:num w:numId="19" w16cid:durableId="1711883781">
    <w:abstractNumId w:val="7"/>
  </w:num>
  <w:num w:numId="20" w16cid:durableId="23948893">
    <w:abstractNumId w:val="4"/>
  </w:num>
  <w:num w:numId="21" w16cid:durableId="1280144379">
    <w:abstractNumId w:val="5"/>
  </w:num>
  <w:num w:numId="22" w16cid:durableId="96177028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DF"/>
    <w:rsid w:val="0000030C"/>
    <w:rsid w:val="0000059E"/>
    <w:rsid w:val="0000066F"/>
    <w:rsid w:val="0000358E"/>
    <w:rsid w:val="00005433"/>
    <w:rsid w:val="00005865"/>
    <w:rsid w:val="00010264"/>
    <w:rsid w:val="00014E37"/>
    <w:rsid w:val="0002047C"/>
    <w:rsid w:val="00021011"/>
    <w:rsid w:val="00021590"/>
    <w:rsid w:val="00025D1B"/>
    <w:rsid w:val="000266C4"/>
    <w:rsid w:val="00033765"/>
    <w:rsid w:val="00035F9C"/>
    <w:rsid w:val="00036819"/>
    <w:rsid w:val="00040CD8"/>
    <w:rsid w:val="000412F4"/>
    <w:rsid w:val="00041AEA"/>
    <w:rsid w:val="00047150"/>
    <w:rsid w:val="00052043"/>
    <w:rsid w:val="0005308D"/>
    <w:rsid w:val="000542B4"/>
    <w:rsid w:val="00055D52"/>
    <w:rsid w:val="00055EB8"/>
    <w:rsid w:val="000602D4"/>
    <w:rsid w:val="00061818"/>
    <w:rsid w:val="000618F3"/>
    <w:rsid w:val="000652D5"/>
    <w:rsid w:val="00066D0B"/>
    <w:rsid w:val="00070DDA"/>
    <w:rsid w:val="000717D2"/>
    <w:rsid w:val="00071D8C"/>
    <w:rsid w:val="00074A56"/>
    <w:rsid w:val="00074F3B"/>
    <w:rsid w:val="00080827"/>
    <w:rsid w:val="0008277A"/>
    <w:rsid w:val="0008504C"/>
    <w:rsid w:val="000861AB"/>
    <w:rsid w:val="000904C1"/>
    <w:rsid w:val="000913B5"/>
    <w:rsid w:val="000948C4"/>
    <w:rsid w:val="00094A4C"/>
    <w:rsid w:val="000968D4"/>
    <w:rsid w:val="000A441F"/>
    <w:rsid w:val="000A5BA0"/>
    <w:rsid w:val="000B24BA"/>
    <w:rsid w:val="000B3924"/>
    <w:rsid w:val="000B3C44"/>
    <w:rsid w:val="000B6451"/>
    <w:rsid w:val="000B6B6F"/>
    <w:rsid w:val="000B6C47"/>
    <w:rsid w:val="000C0412"/>
    <w:rsid w:val="000C245D"/>
    <w:rsid w:val="000C38DB"/>
    <w:rsid w:val="000C38FF"/>
    <w:rsid w:val="000C4558"/>
    <w:rsid w:val="000C5ECE"/>
    <w:rsid w:val="000C7D73"/>
    <w:rsid w:val="000D736D"/>
    <w:rsid w:val="000E455C"/>
    <w:rsid w:val="000E4E2C"/>
    <w:rsid w:val="000E5045"/>
    <w:rsid w:val="000E666C"/>
    <w:rsid w:val="000E7803"/>
    <w:rsid w:val="000E7909"/>
    <w:rsid w:val="000F0491"/>
    <w:rsid w:val="000F0EFE"/>
    <w:rsid w:val="000F1DD7"/>
    <w:rsid w:val="000F3E67"/>
    <w:rsid w:val="00100B4F"/>
    <w:rsid w:val="00102F47"/>
    <w:rsid w:val="00104F25"/>
    <w:rsid w:val="00105CC2"/>
    <w:rsid w:val="00106467"/>
    <w:rsid w:val="00106B7A"/>
    <w:rsid w:val="001133CF"/>
    <w:rsid w:val="0011357E"/>
    <w:rsid w:val="0011577E"/>
    <w:rsid w:val="001164CA"/>
    <w:rsid w:val="0012194A"/>
    <w:rsid w:val="001233A8"/>
    <w:rsid w:val="001237B6"/>
    <w:rsid w:val="00124EEF"/>
    <w:rsid w:val="00124F4E"/>
    <w:rsid w:val="001271B6"/>
    <w:rsid w:val="00130CB6"/>
    <w:rsid w:val="0013173D"/>
    <w:rsid w:val="00134EDE"/>
    <w:rsid w:val="00137D3B"/>
    <w:rsid w:val="0014314C"/>
    <w:rsid w:val="001432D9"/>
    <w:rsid w:val="00146CEE"/>
    <w:rsid w:val="00152164"/>
    <w:rsid w:val="00156CEA"/>
    <w:rsid w:val="00156F87"/>
    <w:rsid w:val="00160B9A"/>
    <w:rsid w:val="00161B0B"/>
    <w:rsid w:val="00163C89"/>
    <w:rsid w:val="0016445C"/>
    <w:rsid w:val="001656BC"/>
    <w:rsid w:val="0017006C"/>
    <w:rsid w:val="00176B66"/>
    <w:rsid w:val="00180889"/>
    <w:rsid w:val="00180DCE"/>
    <w:rsid w:val="00182606"/>
    <w:rsid w:val="00190D7E"/>
    <w:rsid w:val="001929D2"/>
    <w:rsid w:val="0019475F"/>
    <w:rsid w:val="00197ED9"/>
    <w:rsid w:val="001A14AE"/>
    <w:rsid w:val="001A1ED3"/>
    <w:rsid w:val="001A5F19"/>
    <w:rsid w:val="001A61C2"/>
    <w:rsid w:val="001A6968"/>
    <w:rsid w:val="001B25FA"/>
    <w:rsid w:val="001B443E"/>
    <w:rsid w:val="001B4C5D"/>
    <w:rsid w:val="001B5AE0"/>
    <w:rsid w:val="001B5D1C"/>
    <w:rsid w:val="001B6FC8"/>
    <w:rsid w:val="001C3FDD"/>
    <w:rsid w:val="001C629A"/>
    <w:rsid w:val="001C6BD8"/>
    <w:rsid w:val="001D0EF3"/>
    <w:rsid w:val="001D1571"/>
    <w:rsid w:val="001D1A9B"/>
    <w:rsid w:val="001D34FD"/>
    <w:rsid w:val="001D6373"/>
    <w:rsid w:val="001E3AB8"/>
    <w:rsid w:val="001F2D67"/>
    <w:rsid w:val="001F3C5D"/>
    <w:rsid w:val="001F4AAA"/>
    <w:rsid w:val="001F659C"/>
    <w:rsid w:val="001F6C6E"/>
    <w:rsid w:val="00201288"/>
    <w:rsid w:val="00203059"/>
    <w:rsid w:val="002039AF"/>
    <w:rsid w:val="00203DE1"/>
    <w:rsid w:val="00204CEC"/>
    <w:rsid w:val="0020679C"/>
    <w:rsid w:val="00210A42"/>
    <w:rsid w:val="0021150B"/>
    <w:rsid w:val="00220618"/>
    <w:rsid w:val="002242D2"/>
    <w:rsid w:val="00231B1C"/>
    <w:rsid w:val="00233DCA"/>
    <w:rsid w:val="00234E2D"/>
    <w:rsid w:val="00235347"/>
    <w:rsid w:val="00236D08"/>
    <w:rsid w:val="00237A69"/>
    <w:rsid w:val="00241BFB"/>
    <w:rsid w:val="00241CAD"/>
    <w:rsid w:val="00245BB4"/>
    <w:rsid w:val="0024613F"/>
    <w:rsid w:val="0025113D"/>
    <w:rsid w:val="0025522E"/>
    <w:rsid w:val="0026163F"/>
    <w:rsid w:val="002629C3"/>
    <w:rsid w:val="00267A6A"/>
    <w:rsid w:val="00271CC7"/>
    <w:rsid w:val="00272D04"/>
    <w:rsid w:val="00273745"/>
    <w:rsid w:val="00275B58"/>
    <w:rsid w:val="00283F40"/>
    <w:rsid w:val="00284B53"/>
    <w:rsid w:val="00285C56"/>
    <w:rsid w:val="002961C3"/>
    <w:rsid w:val="0029778E"/>
    <w:rsid w:val="00297CDE"/>
    <w:rsid w:val="002B1FAF"/>
    <w:rsid w:val="002B2450"/>
    <w:rsid w:val="002B49EE"/>
    <w:rsid w:val="002B5ABA"/>
    <w:rsid w:val="002B5FAD"/>
    <w:rsid w:val="002C5BD2"/>
    <w:rsid w:val="002C5C1C"/>
    <w:rsid w:val="002D3C22"/>
    <w:rsid w:val="002D7755"/>
    <w:rsid w:val="002E3144"/>
    <w:rsid w:val="002E3FD4"/>
    <w:rsid w:val="002E4361"/>
    <w:rsid w:val="002E6E8E"/>
    <w:rsid w:val="002E70B5"/>
    <w:rsid w:val="002F2799"/>
    <w:rsid w:val="002F4595"/>
    <w:rsid w:val="00300AFD"/>
    <w:rsid w:val="003022C7"/>
    <w:rsid w:val="003032C0"/>
    <w:rsid w:val="00303FA5"/>
    <w:rsid w:val="00311C03"/>
    <w:rsid w:val="0031212E"/>
    <w:rsid w:val="003147B0"/>
    <w:rsid w:val="003176CE"/>
    <w:rsid w:val="00325C51"/>
    <w:rsid w:val="0032633C"/>
    <w:rsid w:val="00326B50"/>
    <w:rsid w:val="00336B60"/>
    <w:rsid w:val="0034659A"/>
    <w:rsid w:val="00346FC9"/>
    <w:rsid w:val="00347B01"/>
    <w:rsid w:val="0035108D"/>
    <w:rsid w:val="00351F11"/>
    <w:rsid w:val="003539D8"/>
    <w:rsid w:val="0035588F"/>
    <w:rsid w:val="003569F9"/>
    <w:rsid w:val="00357937"/>
    <w:rsid w:val="0036603E"/>
    <w:rsid w:val="00366721"/>
    <w:rsid w:val="00370990"/>
    <w:rsid w:val="0037698A"/>
    <w:rsid w:val="00376D03"/>
    <w:rsid w:val="00382B2F"/>
    <w:rsid w:val="00386161"/>
    <w:rsid w:val="00387168"/>
    <w:rsid w:val="00387B22"/>
    <w:rsid w:val="00387EA2"/>
    <w:rsid w:val="00392124"/>
    <w:rsid w:val="0039237C"/>
    <w:rsid w:val="003937B8"/>
    <w:rsid w:val="00394D94"/>
    <w:rsid w:val="00397C6A"/>
    <w:rsid w:val="003A660C"/>
    <w:rsid w:val="003A7558"/>
    <w:rsid w:val="003B2227"/>
    <w:rsid w:val="003B3265"/>
    <w:rsid w:val="003C083D"/>
    <w:rsid w:val="003C095D"/>
    <w:rsid w:val="003C35C2"/>
    <w:rsid w:val="003C600B"/>
    <w:rsid w:val="003D1754"/>
    <w:rsid w:val="003D3A68"/>
    <w:rsid w:val="003E0788"/>
    <w:rsid w:val="003E19F0"/>
    <w:rsid w:val="003E3EE8"/>
    <w:rsid w:val="003E6FBB"/>
    <w:rsid w:val="003F259E"/>
    <w:rsid w:val="003F280C"/>
    <w:rsid w:val="003F44D5"/>
    <w:rsid w:val="003F5007"/>
    <w:rsid w:val="003F571C"/>
    <w:rsid w:val="003F6416"/>
    <w:rsid w:val="003F73D7"/>
    <w:rsid w:val="003F7F3D"/>
    <w:rsid w:val="004014B3"/>
    <w:rsid w:val="004015AF"/>
    <w:rsid w:val="00404F1E"/>
    <w:rsid w:val="004053D4"/>
    <w:rsid w:val="00406017"/>
    <w:rsid w:val="00411260"/>
    <w:rsid w:val="00412491"/>
    <w:rsid w:val="0041312A"/>
    <w:rsid w:val="004149FC"/>
    <w:rsid w:val="00414CF8"/>
    <w:rsid w:val="0041522C"/>
    <w:rsid w:val="00420160"/>
    <w:rsid w:val="00421EB8"/>
    <w:rsid w:val="004304D8"/>
    <w:rsid w:val="004336AD"/>
    <w:rsid w:val="004344C7"/>
    <w:rsid w:val="00434843"/>
    <w:rsid w:val="00437BC8"/>
    <w:rsid w:val="00440344"/>
    <w:rsid w:val="00442630"/>
    <w:rsid w:val="0044304D"/>
    <w:rsid w:val="004445DA"/>
    <w:rsid w:val="00446CB3"/>
    <w:rsid w:val="0045259A"/>
    <w:rsid w:val="0045614A"/>
    <w:rsid w:val="004563C5"/>
    <w:rsid w:val="00456C5F"/>
    <w:rsid w:val="004607B1"/>
    <w:rsid w:val="004624A6"/>
    <w:rsid w:val="004637DC"/>
    <w:rsid w:val="00474BB1"/>
    <w:rsid w:val="00480C1E"/>
    <w:rsid w:val="00481082"/>
    <w:rsid w:val="00490909"/>
    <w:rsid w:val="004923DE"/>
    <w:rsid w:val="00495068"/>
    <w:rsid w:val="004A21CB"/>
    <w:rsid w:val="004A2BB0"/>
    <w:rsid w:val="004A3A2D"/>
    <w:rsid w:val="004B148B"/>
    <w:rsid w:val="004B5BBD"/>
    <w:rsid w:val="004C0104"/>
    <w:rsid w:val="004C2DA2"/>
    <w:rsid w:val="004C3F1B"/>
    <w:rsid w:val="004C4212"/>
    <w:rsid w:val="004D0888"/>
    <w:rsid w:val="004D41BE"/>
    <w:rsid w:val="004E147F"/>
    <w:rsid w:val="004E21DE"/>
    <w:rsid w:val="004E3BD6"/>
    <w:rsid w:val="004E66D1"/>
    <w:rsid w:val="004F1B69"/>
    <w:rsid w:val="005019C1"/>
    <w:rsid w:val="00502A7A"/>
    <w:rsid w:val="00503E8C"/>
    <w:rsid w:val="00504257"/>
    <w:rsid w:val="00504556"/>
    <w:rsid w:val="00505B29"/>
    <w:rsid w:val="00510FCC"/>
    <w:rsid w:val="00512EB9"/>
    <w:rsid w:val="00515287"/>
    <w:rsid w:val="005157CF"/>
    <w:rsid w:val="005166DF"/>
    <w:rsid w:val="0052463D"/>
    <w:rsid w:val="00524F80"/>
    <w:rsid w:val="00525881"/>
    <w:rsid w:val="00525D2D"/>
    <w:rsid w:val="00525DDF"/>
    <w:rsid w:val="00530D17"/>
    <w:rsid w:val="00530EAD"/>
    <w:rsid w:val="00531B5A"/>
    <w:rsid w:val="00537363"/>
    <w:rsid w:val="00542AF7"/>
    <w:rsid w:val="005445B1"/>
    <w:rsid w:val="005457EA"/>
    <w:rsid w:val="0055109D"/>
    <w:rsid w:val="00552394"/>
    <w:rsid w:val="00553E9D"/>
    <w:rsid w:val="00554294"/>
    <w:rsid w:val="0055447F"/>
    <w:rsid w:val="0055475F"/>
    <w:rsid w:val="00556930"/>
    <w:rsid w:val="00562266"/>
    <w:rsid w:val="00563F46"/>
    <w:rsid w:val="005661E5"/>
    <w:rsid w:val="00566D37"/>
    <w:rsid w:val="00567DFC"/>
    <w:rsid w:val="005726B9"/>
    <w:rsid w:val="00577F29"/>
    <w:rsid w:val="005834E7"/>
    <w:rsid w:val="0058662A"/>
    <w:rsid w:val="00587E68"/>
    <w:rsid w:val="00591227"/>
    <w:rsid w:val="00593B8F"/>
    <w:rsid w:val="00593C1C"/>
    <w:rsid w:val="005A0553"/>
    <w:rsid w:val="005A41C1"/>
    <w:rsid w:val="005A48A6"/>
    <w:rsid w:val="005A550F"/>
    <w:rsid w:val="005A7941"/>
    <w:rsid w:val="005B613F"/>
    <w:rsid w:val="005B7FED"/>
    <w:rsid w:val="005C2BFD"/>
    <w:rsid w:val="005C30BF"/>
    <w:rsid w:val="005C37B7"/>
    <w:rsid w:val="005D0122"/>
    <w:rsid w:val="005D130F"/>
    <w:rsid w:val="005D3CEA"/>
    <w:rsid w:val="005E38FE"/>
    <w:rsid w:val="005E7FCB"/>
    <w:rsid w:val="005F4EDA"/>
    <w:rsid w:val="005F5224"/>
    <w:rsid w:val="005F5992"/>
    <w:rsid w:val="006010BF"/>
    <w:rsid w:val="0060483E"/>
    <w:rsid w:val="00606384"/>
    <w:rsid w:val="00607A21"/>
    <w:rsid w:val="00607A36"/>
    <w:rsid w:val="00611867"/>
    <w:rsid w:val="00614083"/>
    <w:rsid w:val="00614FC7"/>
    <w:rsid w:val="006153EF"/>
    <w:rsid w:val="006156DF"/>
    <w:rsid w:val="00616876"/>
    <w:rsid w:val="006219F2"/>
    <w:rsid w:val="00621B8E"/>
    <w:rsid w:val="00622674"/>
    <w:rsid w:val="00625BB5"/>
    <w:rsid w:val="00625D8D"/>
    <w:rsid w:val="006279DE"/>
    <w:rsid w:val="00630452"/>
    <w:rsid w:val="00631DA0"/>
    <w:rsid w:val="00633028"/>
    <w:rsid w:val="006340C2"/>
    <w:rsid w:val="0063534C"/>
    <w:rsid w:val="006360F9"/>
    <w:rsid w:val="006371B7"/>
    <w:rsid w:val="00637A38"/>
    <w:rsid w:val="006424DE"/>
    <w:rsid w:val="00642F36"/>
    <w:rsid w:val="006433DF"/>
    <w:rsid w:val="006442C3"/>
    <w:rsid w:val="00645121"/>
    <w:rsid w:val="00646917"/>
    <w:rsid w:val="00647148"/>
    <w:rsid w:val="00650401"/>
    <w:rsid w:val="00652B59"/>
    <w:rsid w:val="006533BA"/>
    <w:rsid w:val="00656587"/>
    <w:rsid w:val="00656684"/>
    <w:rsid w:val="00656C1B"/>
    <w:rsid w:val="00657261"/>
    <w:rsid w:val="00657A1E"/>
    <w:rsid w:val="00660B1A"/>
    <w:rsid w:val="0066522D"/>
    <w:rsid w:val="0066621A"/>
    <w:rsid w:val="006709C2"/>
    <w:rsid w:val="00671720"/>
    <w:rsid w:val="006737FD"/>
    <w:rsid w:val="00673E54"/>
    <w:rsid w:val="00673EB8"/>
    <w:rsid w:val="00674848"/>
    <w:rsid w:val="00680F92"/>
    <w:rsid w:val="00683270"/>
    <w:rsid w:val="00686E77"/>
    <w:rsid w:val="006875D6"/>
    <w:rsid w:val="00693D0E"/>
    <w:rsid w:val="00695051"/>
    <w:rsid w:val="00696682"/>
    <w:rsid w:val="00696D07"/>
    <w:rsid w:val="006A0BFD"/>
    <w:rsid w:val="006A1F20"/>
    <w:rsid w:val="006A33A1"/>
    <w:rsid w:val="006A3575"/>
    <w:rsid w:val="006A5887"/>
    <w:rsid w:val="006A7C7D"/>
    <w:rsid w:val="006B0030"/>
    <w:rsid w:val="006B45AA"/>
    <w:rsid w:val="006B7DD5"/>
    <w:rsid w:val="006C1C67"/>
    <w:rsid w:val="006C546A"/>
    <w:rsid w:val="006D413F"/>
    <w:rsid w:val="006D435A"/>
    <w:rsid w:val="006E2DBF"/>
    <w:rsid w:val="006E3C8C"/>
    <w:rsid w:val="006F1A5C"/>
    <w:rsid w:val="006F6AB7"/>
    <w:rsid w:val="006F6FE8"/>
    <w:rsid w:val="00700AAC"/>
    <w:rsid w:val="00702EA5"/>
    <w:rsid w:val="0070345E"/>
    <w:rsid w:val="00703DA0"/>
    <w:rsid w:val="0070443E"/>
    <w:rsid w:val="0070451D"/>
    <w:rsid w:val="0070464B"/>
    <w:rsid w:val="00710162"/>
    <w:rsid w:val="00712176"/>
    <w:rsid w:val="007158A6"/>
    <w:rsid w:val="00721291"/>
    <w:rsid w:val="007237A3"/>
    <w:rsid w:val="00724BEE"/>
    <w:rsid w:val="007258B1"/>
    <w:rsid w:val="00725C8B"/>
    <w:rsid w:val="0072697F"/>
    <w:rsid w:val="00731EF3"/>
    <w:rsid w:val="00733959"/>
    <w:rsid w:val="00742E26"/>
    <w:rsid w:val="0074462C"/>
    <w:rsid w:val="00753901"/>
    <w:rsid w:val="00754CA3"/>
    <w:rsid w:val="00755EC5"/>
    <w:rsid w:val="007577F9"/>
    <w:rsid w:val="0076000F"/>
    <w:rsid w:val="00762A0F"/>
    <w:rsid w:val="00762CEC"/>
    <w:rsid w:val="00762F0A"/>
    <w:rsid w:val="00763DB4"/>
    <w:rsid w:val="00765076"/>
    <w:rsid w:val="0076549B"/>
    <w:rsid w:val="007665CC"/>
    <w:rsid w:val="00772D70"/>
    <w:rsid w:val="007737CB"/>
    <w:rsid w:val="007750BF"/>
    <w:rsid w:val="007862CB"/>
    <w:rsid w:val="00790091"/>
    <w:rsid w:val="007911C3"/>
    <w:rsid w:val="00793E18"/>
    <w:rsid w:val="0079414C"/>
    <w:rsid w:val="007946F6"/>
    <w:rsid w:val="007A6DA8"/>
    <w:rsid w:val="007A71D1"/>
    <w:rsid w:val="007B3835"/>
    <w:rsid w:val="007C0010"/>
    <w:rsid w:val="007C0DF3"/>
    <w:rsid w:val="007C2065"/>
    <w:rsid w:val="007C480D"/>
    <w:rsid w:val="007C4B42"/>
    <w:rsid w:val="007C7DDF"/>
    <w:rsid w:val="007D1E11"/>
    <w:rsid w:val="007D3829"/>
    <w:rsid w:val="007E0FCB"/>
    <w:rsid w:val="007E1F14"/>
    <w:rsid w:val="007E291A"/>
    <w:rsid w:val="007E69AF"/>
    <w:rsid w:val="007E74E3"/>
    <w:rsid w:val="007F1E5F"/>
    <w:rsid w:val="007F4201"/>
    <w:rsid w:val="007F696D"/>
    <w:rsid w:val="008004E5"/>
    <w:rsid w:val="008044FC"/>
    <w:rsid w:val="0080517C"/>
    <w:rsid w:val="00806968"/>
    <w:rsid w:val="0081201C"/>
    <w:rsid w:val="00812612"/>
    <w:rsid w:val="00812731"/>
    <w:rsid w:val="0081358E"/>
    <w:rsid w:val="00814F8F"/>
    <w:rsid w:val="008168F4"/>
    <w:rsid w:val="008233CB"/>
    <w:rsid w:val="008241DE"/>
    <w:rsid w:val="0082551A"/>
    <w:rsid w:val="00832638"/>
    <w:rsid w:val="00833976"/>
    <w:rsid w:val="00837225"/>
    <w:rsid w:val="00840788"/>
    <w:rsid w:val="00845DE0"/>
    <w:rsid w:val="008505CB"/>
    <w:rsid w:val="00850BB3"/>
    <w:rsid w:val="00852282"/>
    <w:rsid w:val="0085493B"/>
    <w:rsid w:val="00854DC8"/>
    <w:rsid w:val="00857494"/>
    <w:rsid w:val="00864414"/>
    <w:rsid w:val="00865130"/>
    <w:rsid w:val="00866484"/>
    <w:rsid w:val="00870BBC"/>
    <w:rsid w:val="00871F92"/>
    <w:rsid w:val="00876AD3"/>
    <w:rsid w:val="00880FB5"/>
    <w:rsid w:val="00881B80"/>
    <w:rsid w:val="00881F5B"/>
    <w:rsid w:val="00885256"/>
    <w:rsid w:val="00885499"/>
    <w:rsid w:val="00886E1A"/>
    <w:rsid w:val="00887510"/>
    <w:rsid w:val="008908BB"/>
    <w:rsid w:val="00892D4E"/>
    <w:rsid w:val="00892F53"/>
    <w:rsid w:val="00894C37"/>
    <w:rsid w:val="00895341"/>
    <w:rsid w:val="00895E1B"/>
    <w:rsid w:val="00897BE1"/>
    <w:rsid w:val="008A0149"/>
    <w:rsid w:val="008A3767"/>
    <w:rsid w:val="008A5DB8"/>
    <w:rsid w:val="008B34B8"/>
    <w:rsid w:val="008B6C55"/>
    <w:rsid w:val="008C30B5"/>
    <w:rsid w:val="008C70E1"/>
    <w:rsid w:val="008D12B4"/>
    <w:rsid w:val="008D1C89"/>
    <w:rsid w:val="008D5FAA"/>
    <w:rsid w:val="008E07A3"/>
    <w:rsid w:val="008E3B54"/>
    <w:rsid w:val="008F0361"/>
    <w:rsid w:val="008F08C6"/>
    <w:rsid w:val="008F1712"/>
    <w:rsid w:val="008F1A9F"/>
    <w:rsid w:val="008F382A"/>
    <w:rsid w:val="00902E92"/>
    <w:rsid w:val="00906286"/>
    <w:rsid w:val="0090743D"/>
    <w:rsid w:val="00907833"/>
    <w:rsid w:val="00910D66"/>
    <w:rsid w:val="00911CE4"/>
    <w:rsid w:val="00911F4A"/>
    <w:rsid w:val="00913B94"/>
    <w:rsid w:val="0091478A"/>
    <w:rsid w:val="009166D8"/>
    <w:rsid w:val="00916FC3"/>
    <w:rsid w:val="00921883"/>
    <w:rsid w:val="00922495"/>
    <w:rsid w:val="009226D2"/>
    <w:rsid w:val="00932C7B"/>
    <w:rsid w:val="00933632"/>
    <w:rsid w:val="009364D9"/>
    <w:rsid w:val="00940F4B"/>
    <w:rsid w:val="009433FE"/>
    <w:rsid w:val="009436B7"/>
    <w:rsid w:val="00943779"/>
    <w:rsid w:val="009446FB"/>
    <w:rsid w:val="009459A4"/>
    <w:rsid w:val="0095089C"/>
    <w:rsid w:val="00951D5F"/>
    <w:rsid w:val="009538CB"/>
    <w:rsid w:val="00955244"/>
    <w:rsid w:val="00957B7E"/>
    <w:rsid w:val="00965E02"/>
    <w:rsid w:val="00970743"/>
    <w:rsid w:val="00974CD6"/>
    <w:rsid w:val="00974F1E"/>
    <w:rsid w:val="00975EC6"/>
    <w:rsid w:val="00981992"/>
    <w:rsid w:val="009831A6"/>
    <w:rsid w:val="0098358C"/>
    <w:rsid w:val="00983C28"/>
    <w:rsid w:val="009844EA"/>
    <w:rsid w:val="00987161"/>
    <w:rsid w:val="00993387"/>
    <w:rsid w:val="009962C1"/>
    <w:rsid w:val="00996EC4"/>
    <w:rsid w:val="009974CF"/>
    <w:rsid w:val="009A042D"/>
    <w:rsid w:val="009B2C90"/>
    <w:rsid w:val="009B621A"/>
    <w:rsid w:val="009C206F"/>
    <w:rsid w:val="009C37F9"/>
    <w:rsid w:val="009C3FA3"/>
    <w:rsid w:val="009C4BD3"/>
    <w:rsid w:val="009C5A19"/>
    <w:rsid w:val="009C5CE4"/>
    <w:rsid w:val="009C7946"/>
    <w:rsid w:val="009D0F0E"/>
    <w:rsid w:val="009D15E9"/>
    <w:rsid w:val="009D33E0"/>
    <w:rsid w:val="009D41D3"/>
    <w:rsid w:val="009D7044"/>
    <w:rsid w:val="009D7393"/>
    <w:rsid w:val="009E42BB"/>
    <w:rsid w:val="009E4F87"/>
    <w:rsid w:val="009E75A7"/>
    <w:rsid w:val="009E7A3D"/>
    <w:rsid w:val="009F1E8D"/>
    <w:rsid w:val="009F3A3E"/>
    <w:rsid w:val="009F4F12"/>
    <w:rsid w:val="00A01C05"/>
    <w:rsid w:val="00A01F61"/>
    <w:rsid w:val="00A022A9"/>
    <w:rsid w:val="00A04AFD"/>
    <w:rsid w:val="00A07C27"/>
    <w:rsid w:val="00A1093C"/>
    <w:rsid w:val="00A1128B"/>
    <w:rsid w:val="00A130F7"/>
    <w:rsid w:val="00A17A36"/>
    <w:rsid w:val="00A22647"/>
    <w:rsid w:val="00A2678C"/>
    <w:rsid w:val="00A27A3D"/>
    <w:rsid w:val="00A27DD5"/>
    <w:rsid w:val="00A32860"/>
    <w:rsid w:val="00A40655"/>
    <w:rsid w:val="00A44777"/>
    <w:rsid w:val="00A56DDA"/>
    <w:rsid w:val="00A613D0"/>
    <w:rsid w:val="00A62F99"/>
    <w:rsid w:val="00A63232"/>
    <w:rsid w:val="00A63C3D"/>
    <w:rsid w:val="00A64CAB"/>
    <w:rsid w:val="00A65D84"/>
    <w:rsid w:val="00A65ED0"/>
    <w:rsid w:val="00A670E9"/>
    <w:rsid w:val="00A76F5A"/>
    <w:rsid w:val="00A77E8E"/>
    <w:rsid w:val="00A8157A"/>
    <w:rsid w:val="00A818ED"/>
    <w:rsid w:val="00A827AE"/>
    <w:rsid w:val="00A853F8"/>
    <w:rsid w:val="00A875E1"/>
    <w:rsid w:val="00A87F07"/>
    <w:rsid w:val="00A91E1A"/>
    <w:rsid w:val="00A92A03"/>
    <w:rsid w:val="00AA1D89"/>
    <w:rsid w:val="00AA653D"/>
    <w:rsid w:val="00AA77DB"/>
    <w:rsid w:val="00AB3BE0"/>
    <w:rsid w:val="00AB3E6F"/>
    <w:rsid w:val="00AC0CA9"/>
    <w:rsid w:val="00AC48F4"/>
    <w:rsid w:val="00AC4DEE"/>
    <w:rsid w:val="00AC731A"/>
    <w:rsid w:val="00AD0DB0"/>
    <w:rsid w:val="00AD6E00"/>
    <w:rsid w:val="00AD6FAF"/>
    <w:rsid w:val="00AD72C6"/>
    <w:rsid w:val="00AD7B34"/>
    <w:rsid w:val="00AE1E6E"/>
    <w:rsid w:val="00AE361F"/>
    <w:rsid w:val="00AE4150"/>
    <w:rsid w:val="00AE4763"/>
    <w:rsid w:val="00AE6A67"/>
    <w:rsid w:val="00AE795E"/>
    <w:rsid w:val="00AF372E"/>
    <w:rsid w:val="00AF6436"/>
    <w:rsid w:val="00AF64B5"/>
    <w:rsid w:val="00AF7265"/>
    <w:rsid w:val="00B00E30"/>
    <w:rsid w:val="00B0121B"/>
    <w:rsid w:val="00B0272C"/>
    <w:rsid w:val="00B0455B"/>
    <w:rsid w:val="00B05A8C"/>
    <w:rsid w:val="00B11E02"/>
    <w:rsid w:val="00B14687"/>
    <w:rsid w:val="00B155AF"/>
    <w:rsid w:val="00B15999"/>
    <w:rsid w:val="00B15E29"/>
    <w:rsid w:val="00B17104"/>
    <w:rsid w:val="00B171EC"/>
    <w:rsid w:val="00B224D6"/>
    <w:rsid w:val="00B237E7"/>
    <w:rsid w:val="00B24BA2"/>
    <w:rsid w:val="00B2506E"/>
    <w:rsid w:val="00B269F1"/>
    <w:rsid w:val="00B27B03"/>
    <w:rsid w:val="00B322C8"/>
    <w:rsid w:val="00B3476F"/>
    <w:rsid w:val="00B43568"/>
    <w:rsid w:val="00B44EDF"/>
    <w:rsid w:val="00B45EAA"/>
    <w:rsid w:val="00B46DA3"/>
    <w:rsid w:val="00B473FD"/>
    <w:rsid w:val="00B54F23"/>
    <w:rsid w:val="00B562E0"/>
    <w:rsid w:val="00B63D94"/>
    <w:rsid w:val="00B641DA"/>
    <w:rsid w:val="00B67A9F"/>
    <w:rsid w:val="00B762D3"/>
    <w:rsid w:val="00B77168"/>
    <w:rsid w:val="00B77781"/>
    <w:rsid w:val="00B8043D"/>
    <w:rsid w:val="00B82095"/>
    <w:rsid w:val="00B84CF3"/>
    <w:rsid w:val="00B85DCF"/>
    <w:rsid w:val="00B87717"/>
    <w:rsid w:val="00B87DEB"/>
    <w:rsid w:val="00B90798"/>
    <w:rsid w:val="00B90975"/>
    <w:rsid w:val="00B90C93"/>
    <w:rsid w:val="00B931B5"/>
    <w:rsid w:val="00B9352F"/>
    <w:rsid w:val="00B93571"/>
    <w:rsid w:val="00B94CBD"/>
    <w:rsid w:val="00B951B8"/>
    <w:rsid w:val="00B95242"/>
    <w:rsid w:val="00BA2806"/>
    <w:rsid w:val="00BA391D"/>
    <w:rsid w:val="00BA3F34"/>
    <w:rsid w:val="00BA79B8"/>
    <w:rsid w:val="00BB02E8"/>
    <w:rsid w:val="00BB0ADB"/>
    <w:rsid w:val="00BB21A9"/>
    <w:rsid w:val="00BB31F1"/>
    <w:rsid w:val="00BB61E7"/>
    <w:rsid w:val="00BB6CD9"/>
    <w:rsid w:val="00BC0D7D"/>
    <w:rsid w:val="00BC0EE1"/>
    <w:rsid w:val="00BC1F3B"/>
    <w:rsid w:val="00BC321A"/>
    <w:rsid w:val="00BC3512"/>
    <w:rsid w:val="00BC7423"/>
    <w:rsid w:val="00BD101F"/>
    <w:rsid w:val="00BD1870"/>
    <w:rsid w:val="00BD21AE"/>
    <w:rsid w:val="00BD31D2"/>
    <w:rsid w:val="00BD32FE"/>
    <w:rsid w:val="00BD33F6"/>
    <w:rsid w:val="00BD4F8E"/>
    <w:rsid w:val="00BD6768"/>
    <w:rsid w:val="00BD7AD5"/>
    <w:rsid w:val="00BE0CFA"/>
    <w:rsid w:val="00BE0E07"/>
    <w:rsid w:val="00BE345B"/>
    <w:rsid w:val="00BF10C7"/>
    <w:rsid w:val="00BF1A2A"/>
    <w:rsid w:val="00BF1AE6"/>
    <w:rsid w:val="00BF3DB3"/>
    <w:rsid w:val="00BF49BB"/>
    <w:rsid w:val="00C030C5"/>
    <w:rsid w:val="00C049D8"/>
    <w:rsid w:val="00C05764"/>
    <w:rsid w:val="00C110FC"/>
    <w:rsid w:val="00C218F8"/>
    <w:rsid w:val="00C231D8"/>
    <w:rsid w:val="00C266A6"/>
    <w:rsid w:val="00C31255"/>
    <w:rsid w:val="00C31C00"/>
    <w:rsid w:val="00C32F67"/>
    <w:rsid w:val="00C33518"/>
    <w:rsid w:val="00C34408"/>
    <w:rsid w:val="00C40149"/>
    <w:rsid w:val="00C40B6C"/>
    <w:rsid w:val="00C41507"/>
    <w:rsid w:val="00C43B13"/>
    <w:rsid w:val="00C51BA6"/>
    <w:rsid w:val="00C538E1"/>
    <w:rsid w:val="00C55CEA"/>
    <w:rsid w:val="00C6128D"/>
    <w:rsid w:val="00C6695B"/>
    <w:rsid w:val="00C669F2"/>
    <w:rsid w:val="00C73278"/>
    <w:rsid w:val="00C74797"/>
    <w:rsid w:val="00C74BB0"/>
    <w:rsid w:val="00C765C8"/>
    <w:rsid w:val="00C77024"/>
    <w:rsid w:val="00C82029"/>
    <w:rsid w:val="00C82E66"/>
    <w:rsid w:val="00C84494"/>
    <w:rsid w:val="00C8492C"/>
    <w:rsid w:val="00C8521C"/>
    <w:rsid w:val="00C85987"/>
    <w:rsid w:val="00C86F07"/>
    <w:rsid w:val="00C9130C"/>
    <w:rsid w:val="00C9283A"/>
    <w:rsid w:val="00C935D3"/>
    <w:rsid w:val="00C944D1"/>
    <w:rsid w:val="00C95039"/>
    <w:rsid w:val="00C9649F"/>
    <w:rsid w:val="00C967D2"/>
    <w:rsid w:val="00CA0325"/>
    <w:rsid w:val="00CA16AC"/>
    <w:rsid w:val="00CA4615"/>
    <w:rsid w:val="00CA50D0"/>
    <w:rsid w:val="00CA7C6F"/>
    <w:rsid w:val="00CB08D8"/>
    <w:rsid w:val="00CB7005"/>
    <w:rsid w:val="00CB7069"/>
    <w:rsid w:val="00CC0F27"/>
    <w:rsid w:val="00CC1784"/>
    <w:rsid w:val="00CC1E55"/>
    <w:rsid w:val="00CC20F8"/>
    <w:rsid w:val="00CC45EF"/>
    <w:rsid w:val="00CC670F"/>
    <w:rsid w:val="00CC71BE"/>
    <w:rsid w:val="00CD0343"/>
    <w:rsid w:val="00CD3A6F"/>
    <w:rsid w:val="00CD4AD0"/>
    <w:rsid w:val="00CD61D0"/>
    <w:rsid w:val="00CD6263"/>
    <w:rsid w:val="00CE00CE"/>
    <w:rsid w:val="00CE0C2C"/>
    <w:rsid w:val="00CE36B2"/>
    <w:rsid w:val="00CE37B1"/>
    <w:rsid w:val="00CE502F"/>
    <w:rsid w:val="00CE623D"/>
    <w:rsid w:val="00CE7F36"/>
    <w:rsid w:val="00CF0F22"/>
    <w:rsid w:val="00CF7D08"/>
    <w:rsid w:val="00D0209E"/>
    <w:rsid w:val="00D03D89"/>
    <w:rsid w:val="00D04A3C"/>
    <w:rsid w:val="00D06145"/>
    <w:rsid w:val="00D075D6"/>
    <w:rsid w:val="00D11E92"/>
    <w:rsid w:val="00D1271B"/>
    <w:rsid w:val="00D157FF"/>
    <w:rsid w:val="00D1639C"/>
    <w:rsid w:val="00D16ABD"/>
    <w:rsid w:val="00D22097"/>
    <w:rsid w:val="00D2485F"/>
    <w:rsid w:val="00D31157"/>
    <w:rsid w:val="00D31770"/>
    <w:rsid w:val="00D33091"/>
    <w:rsid w:val="00D33FC6"/>
    <w:rsid w:val="00D36C41"/>
    <w:rsid w:val="00D37934"/>
    <w:rsid w:val="00D4039B"/>
    <w:rsid w:val="00D44804"/>
    <w:rsid w:val="00D47D00"/>
    <w:rsid w:val="00D51302"/>
    <w:rsid w:val="00D520C0"/>
    <w:rsid w:val="00D55A85"/>
    <w:rsid w:val="00D56F18"/>
    <w:rsid w:val="00D6243F"/>
    <w:rsid w:val="00D73F0C"/>
    <w:rsid w:val="00D750D0"/>
    <w:rsid w:val="00D75540"/>
    <w:rsid w:val="00D770B9"/>
    <w:rsid w:val="00D8025C"/>
    <w:rsid w:val="00D81999"/>
    <w:rsid w:val="00D83606"/>
    <w:rsid w:val="00D841D1"/>
    <w:rsid w:val="00D85306"/>
    <w:rsid w:val="00D86963"/>
    <w:rsid w:val="00D86CFF"/>
    <w:rsid w:val="00D87480"/>
    <w:rsid w:val="00D914C2"/>
    <w:rsid w:val="00D92BEC"/>
    <w:rsid w:val="00D9301C"/>
    <w:rsid w:val="00D96BD8"/>
    <w:rsid w:val="00D97BBE"/>
    <w:rsid w:val="00DA0BF4"/>
    <w:rsid w:val="00DA4F46"/>
    <w:rsid w:val="00DA652B"/>
    <w:rsid w:val="00DB0A37"/>
    <w:rsid w:val="00DB363F"/>
    <w:rsid w:val="00DB71FD"/>
    <w:rsid w:val="00DB78C1"/>
    <w:rsid w:val="00DC0B1A"/>
    <w:rsid w:val="00DC440A"/>
    <w:rsid w:val="00DC453F"/>
    <w:rsid w:val="00DC49F2"/>
    <w:rsid w:val="00DC57F0"/>
    <w:rsid w:val="00DC7DED"/>
    <w:rsid w:val="00DC7DF2"/>
    <w:rsid w:val="00DD277F"/>
    <w:rsid w:val="00DD480D"/>
    <w:rsid w:val="00DD598D"/>
    <w:rsid w:val="00DD7122"/>
    <w:rsid w:val="00DD7200"/>
    <w:rsid w:val="00DE010A"/>
    <w:rsid w:val="00DE546F"/>
    <w:rsid w:val="00DE5793"/>
    <w:rsid w:val="00DE7078"/>
    <w:rsid w:val="00DF241E"/>
    <w:rsid w:val="00DF5B61"/>
    <w:rsid w:val="00E00734"/>
    <w:rsid w:val="00E00D6C"/>
    <w:rsid w:val="00E0580A"/>
    <w:rsid w:val="00E064DF"/>
    <w:rsid w:val="00E07BAF"/>
    <w:rsid w:val="00E157A3"/>
    <w:rsid w:val="00E201C9"/>
    <w:rsid w:val="00E2070A"/>
    <w:rsid w:val="00E22ECF"/>
    <w:rsid w:val="00E2300C"/>
    <w:rsid w:val="00E25A07"/>
    <w:rsid w:val="00E264FF"/>
    <w:rsid w:val="00E3020E"/>
    <w:rsid w:val="00E30596"/>
    <w:rsid w:val="00E3165C"/>
    <w:rsid w:val="00E31D44"/>
    <w:rsid w:val="00E31EF7"/>
    <w:rsid w:val="00E333DF"/>
    <w:rsid w:val="00E40574"/>
    <w:rsid w:val="00E406CD"/>
    <w:rsid w:val="00E43BF7"/>
    <w:rsid w:val="00E44E91"/>
    <w:rsid w:val="00E519A1"/>
    <w:rsid w:val="00E53DD3"/>
    <w:rsid w:val="00E57BA8"/>
    <w:rsid w:val="00E66F2D"/>
    <w:rsid w:val="00E6703A"/>
    <w:rsid w:val="00E67786"/>
    <w:rsid w:val="00E679EC"/>
    <w:rsid w:val="00E73A3C"/>
    <w:rsid w:val="00E7604A"/>
    <w:rsid w:val="00E76A7B"/>
    <w:rsid w:val="00E76F27"/>
    <w:rsid w:val="00E80F3B"/>
    <w:rsid w:val="00E8120B"/>
    <w:rsid w:val="00E820D9"/>
    <w:rsid w:val="00E83C41"/>
    <w:rsid w:val="00E84719"/>
    <w:rsid w:val="00E939B9"/>
    <w:rsid w:val="00E946AA"/>
    <w:rsid w:val="00E96574"/>
    <w:rsid w:val="00E9781D"/>
    <w:rsid w:val="00EA1FEF"/>
    <w:rsid w:val="00EA5D76"/>
    <w:rsid w:val="00EA665C"/>
    <w:rsid w:val="00EA7419"/>
    <w:rsid w:val="00EA78FD"/>
    <w:rsid w:val="00EA7EAB"/>
    <w:rsid w:val="00EC12D3"/>
    <w:rsid w:val="00EC260D"/>
    <w:rsid w:val="00EC2925"/>
    <w:rsid w:val="00EC4447"/>
    <w:rsid w:val="00EC5579"/>
    <w:rsid w:val="00EC5C40"/>
    <w:rsid w:val="00ED1CA4"/>
    <w:rsid w:val="00ED387F"/>
    <w:rsid w:val="00ED5421"/>
    <w:rsid w:val="00ED668B"/>
    <w:rsid w:val="00ED763E"/>
    <w:rsid w:val="00ED774B"/>
    <w:rsid w:val="00EE0118"/>
    <w:rsid w:val="00EE0B14"/>
    <w:rsid w:val="00EE0BC6"/>
    <w:rsid w:val="00EE49CE"/>
    <w:rsid w:val="00EE5CC3"/>
    <w:rsid w:val="00EE7C8D"/>
    <w:rsid w:val="00EF24B1"/>
    <w:rsid w:val="00EF3918"/>
    <w:rsid w:val="00EF69C6"/>
    <w:rsid w:val="00EF6A52"/>
    <w:rsid w:val="00F00382"/>
    <w:rsid w:val="00F01FFC"/>
    <w:rsid w:val="00F02431"/>
    <w:rsid w:val="00F05288"/>
    <w:rsid w:val="00F06BFB"/>
    <w:rsid w:val="00F10E45"/>
    <w:rsid w:val="00F1140F"/>
    <w:rsid w:val="00F1189A"/>
    <w:rsid w:val="00F1570A"/>
    <w:rsid w:val="00F15ED2"/>
    <w:rsid w:val="00F16496"/>
    <w:rsid w:val="00F17166"/>
    <w:rsid w:val="00F219EC"/>
    <w:rsid w:val="00F21AF4"/>
    <w:rsid w:val="00F23C8F"/>
    <w:rsid w:val="00F24AAB"/>
    <w:rsid w:val="00F25175"/>
    <w:rsid w:val="00F253C6"/>
    <w:rsid w:val="00F27E0F"/>
    <w:rsid w:val="00F32EF9"/>
    <w:rsid w:val="00F330C3"/>
    <w:rsid w:val="00F336AD"/>
    <w:rsid w:val="00F40745"/>
    <w:rsid w:val="00F50721"/>
    <w:rsid w:val="00F50A8C"/>
    <w:rsid w:val="00F52670"/>
    <w:rsid w:val="00F6037A"/>
    <w:rsid w:val="00F607F5"/>
    <w:rsid w:val="00F61DCF"/>
    <w:rsid w:val="00F62A47"/>
    <w:rsid w:val="00F65DC1"/>
    <w:rsid w:val="00F65E93"/>
    <w:rsid w:val="00F661C5"/>
    <w:rsid w:val="00F73F97"/>
    <w:rsid w:val="00F74DC9"/>
    <w:rsid w:val="00F75CC2"/>
    <w:rsid w:val="00F75F33"/>
    <w:rsid w:val="00F774E4"/>
    <w:rsid w:val="00F84236"/>
    <w:rsid w:val="00F85A45"/>
    <w:rsid w:val="00F91A6B"/>
    <w:rsid w:val="00F92499"/>
    <w:rsid w:val="00F9536E"/>
    <w:rsid w:val="00FA0094"/>
    <w:rsid w:val="00FA2B9A"/>
    <w:rsid w:val="00FB26F3"/>
    <w:rsid w:val="00FB333D"/>
    <w:rsid w:val="00FB5A99"/>
    <w:rsid w:val="00FB5E94"/>
    <w:rsid w:val="00FB7889"/>
    <w:rsid w:val="00FC2C49"/>
    <w:rsid w:val="00FC2CE4"/>
    <w:rsid w:val="00FC319E"/>
    <w:rsid w:val="00FC33D8"/>
    <w:rsid w:val="00FC379E"/>
    <w:rsid w:val="00FD1A58"/>
    <w:rsid w:val="00FD1E9D"/>
    <w:rsid w:val="00FD337C"/>
    <w:rsid w:val="00FD3BAE"/>
    <w:rsid w:val="00FD5236"/>
    <w:rsid w:val="00FD5D93"/>
    <w:rsid w:val="00FD7D5B"/>
    <w:rsid w:val="00FD7D82"/>
    <w:rsid w:val="00FE0F23"/>
    <w:rsid w:val="00FE242B"/>
    <w:rsid w:val="00FE2E9E"/>
    <w:rsid w:val="00FE3136"/>
    <w:rsid w:val="00FF250D"/>
    <w:rsid w:val="04F4C40C"/>
    <w:rsid w:val="0F0DAE90"/>
    <w:rsid w:val="1A0A315F"/>
    <w:rsid w:val="1CB0855C"/>
    <w:rsid w:val="254598EC"/>
    <w:rsid w:val="2F3E430D"/>
    <w:rsid w:val="36FD8164"/>
    <w:rsid w:val="3A973C86"/>
    <w:rsid w:val="47C9649F"/>
    <w:rsid w:val="4FEA0517"/>
    <w:rsid w:val="62419C0E"/>
    <w:rsid w:val="7E04E2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2AE0E"/>
  <w15:docId w15:val="{BF215D14-0F12-4AD1-B272-1D3E796A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F16496"/>
    <w:pPr>
      <w:widowControl w:val="0"/>
      <w:spacing w:before="360" w:after="240"/>
      <w:contextualSpacing/>
      <w:outlineLvl w:val="0"/>
    </w:pPr>
    <w:rPr>
      <w:rFonts w:ascii="Calibri" w:eastAsiaTheme="minorHAnsi" w:hAnsi="Calibri" w:cstheme="minorBidi"/>
      <w:b/>
      <w:bCs/>
      <w:color w:val="197C7D" w:themeColor="text2"/>
      <w:spacing w:val="5"/>
      <w:kern w:val="28"/>
      <w:sz w:val="48"/>
      <w:szCs w:val="48"/>
      <w:lang w:eastAsia="en-US"/>
    </w:rPr>
  </w:style>
  <w:style w:type="paragraph" w:styleId="Heading2">
    <w:name w:val="heading 2"/>
    <w:basedOn w:val="Normal"/>
    <w:next w:val="Normal"/>
    <w:link w:val="Heading2Char"/>
    <w:uiPriority w:val="3"/>
    <w:rsid w:val="00F16496"/>
    <w:pPr>
      <w:keepNext/>
      <w:spacing w:before="120" w:line="240" w:lineRule="auto"/>
      <w:ind w:left="720" w:hanging="720"/>
      <w:outlineLvl w:val="1"/>
    </w:pPr>
    <w:rPr>
      <w:rFonts w:ascii="Calibri" w:eastAsiaTheme="minorEastAsia" w:hAnsi="Calibri"/>
      <w:b/>
      <w:bCs/>
      <w:color w:val="083A42" w:themeColor="text1"/>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16496"/>
    <w:rPr>
      <w:rFonts w:ascii="Calibri" w:eastAsiaTheme="minorHAnsi" w:hAnsi="Calibri" w:cstheme="minorBidi"/>
      <w:b/>
      <w:bCs/>
      <w:color w:val="197C7D" w:themeColor="text2"/>
      <w:spacing w:val="5"/>
      <w:kern w:val="28"/>
      <w:sz w:val="48"/>
      <w:szCs w:val="48"/>
      <w:lang w:eastAsia="en-US"/>
    </w:rPr>
  </w:style>
  <w:style w:type="character" w:customStyle="1" w:styleId="Heading2Char">
    <w:name w:val="Heading 2 Char"/>
    <w:basedOn w:val="DefaultParagraphFont"/>
    <w:link w:val="Heading2"/>
    <w:uiPriority w:val="3"/>
    <w:rsid w:val="00F16496"/>
    <w:rPr>
      <w:rFonts w:ascii="Calibri" w:eastAsiaTheme="minorEastAsia" w:hAnsi="Calibri" w:cstheme="minorBidi"/>
      <w:b/>
      <w:bCs/>
      <w:color w:val="083A42" w:themeColor="text1"/>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ind w:left="425" w:hanging="425"/>
    </w:pPr>
  </w:style>
  <w:style w:type="paragraph" w:styleId="ListBullet2">
    <w:name w:val="List Bullet 2"/>
    <w:basedOn w:val="Normal"/>
    <w:uiPriority w:val="8"/>
    <w:qFormat/>
    <w:pPr>
      <w:spacing w:before="120"/>
      <w:ind w:left="851" w:hanging="426"/>
      <w:contextualSpacing/>
    </w:pPr>
  </w:style>
  <w:style w:type="paragraph" w:styleId="ListNumber">
    <w:name w:val="List Number"/>
    <w:basedOn w:val="Normal"/>
    <w:uiPriority w:val="9"/>
    <w:qFormat/>
    <w:pPr>
      <w:tabs>
        <w:tab w:val="left" w:pos="142"/>
      </w:tabs>
      <w:spacing w:before="120"/>
      <w:ind w:left="425" w:hanging="425"/>
    </w:pPr>
  </w:style>
  <w:style w:type="paragraph" w:styleId="ListNumber2">
    <w:name w:val="List Number 2"/>
    <w:uiPriority w:val="10"/>
    <w:qFormat/>
    <w:rsid w:val="00241BFB"/>
    <w:pPr>
      <w:tabs>
        <w:tab w:val="left" w:pos="567"/>
      </w:tabs>
      <w:spacing w:before="120" w:after="120" w:line="264" w:lineRule="auto"/>
      <w:ind w:left="851" w:hanging="426"/>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5"/>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7"/>
      </w:numPr>
      <w:tabs>
        <w:tab w:val="num" w:pos="284"/>
      </w:tabs>
      <w:ind w:left="568" w:hanging="284"/>
    </w:pPr>
  </w:style>
  <w:style w:type="numbering" w:customStyle="1" w:styleId="TableBulletlist">
    <w:name w:val="Table Bullet list"/>
    <w:uiPriority w:val="99"/>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spacing w:before="120" w:after="120" w:line="264" w:lineRule="auto"/>
      <w:ind w:left="1191" w:hanging="340"/>
    </w:pPr>
    <w:rPr>
      <w:rFonts w:asciiTheme="minorHAnsi" w:eastAsia="Times New Roman" w:hAnsiTheme="minorHAnsi"/>
      <w:sz w:val="22"/>
      <w:szCs w:val="24"/>
      <w:lang w:eastAsia="en-US"/>
    </w:rPr>
  </w:style>
  <w:style w:type="paragraph" w:styleId="ListParagraph">
    <w:name w:val="List Paragraph"/>
    <w:basedOn w:val="Normal"/>
    <w:uiPriority w:val="99"/>
    <w:qFormat/>
    <w:rsid w:val="00A27A3D"/>
    <w:pPr>
      <w:ind w:left="720"/>
      <w:contextualSpacing/>
    </w:pPr>
  </w:style>
  <w:style w:type="paragraph" w:styleId="BodyText">
    <w:name w:val="Body Text"/>
    <w:link w:val="BodyTextChar"/>
    <w:rsid w:val="003C095D"/>
    <w:pPr>
      <w:spacing w:after="120"/>
    </w:pPr>
    <w:rPr>
      <w:rFonts w:ascii="CG Times (W1)" w:eastAsiaTheme="minorHAnsi" w:hAnsi="CG Times (W1)" w:cstheme="minorBidi"/>
      <w:color w:val="083A42" w:themeColor="text1"/>
      <w:szCs w:val="22"/>
      <w:lang w:eastAsia="en-US"/>
    </w:rPr>
  </w:style>
  <w:style w:type="character" w:customStyle="1" w:styleId="BodyTextChar">
    <w:name w:val="Body Text Char"/>
    <w:basedOn w:val="DefaultParagraphFont"/>
    <w:link w:val="BodyText"/>
    <w:rsid w:val="003C095D"/>
    <w:rPr>
      <w:rFonts w:ascii="CG Times (W1)" w:eastAsiaTheme="minorHAnsi" w:hAnsi="CG Times (W1)" w:cstheme="minorBidi"/>
      <w:color w:val="083A42" w:themeColor="text1"/>
      <w:szCs w:val="22"/>
      <w:lang w:eastAsia="en-US"/>
    </w:rPr>
  </w:style>
  <w:style w:type="character" w:customStyle="1" w:styleId="normaltextrun">
    <w:name w:val="normaltextrun"/>
    <w:basedOn w:val="DefaultParagraphFont"/>
    <w:rsid w:val="00FC33D8"/>
  </w:style>
  <w:style w:type="table" w:styleId="PlainTable1">
    <w:name w:val="Plain Table 1"/>
    <w:basedOn w:val="TableNormal"/>
    <w:uiPriority w:val="41"/>
    <w:rsid w:val="00A01F61"/>
    <w:rPr>
      <w:rFonts w:asciiTheme="minorHAnsi" w:eastAsiaTheme="minorHAnsi" w:hAnsiTheme="minorHAnsi" w:cstheme="minorBidi"/>
      <w:sz w:val="22"/>
      <w:szCs w:val="22"/>
      <w:lang w:eastAsia="en-US"/>
    </w:rPr>
    <w:tblPr>
      <w:tblStyleRowBandSize w:val="1"/>
      <w:tblStyleColBandSize w:val="1"/>
      <w:tblBorders>
        <w:top w:val="single" w:sz="4" w:space="0" w:color="77FF77" w:themeColor="background1" w:themeShade="BF"/>
        <w:left w:val="single" w:sz="4" w:space="0" w:color="77FF77" w:themeColor="background1" w:themeShade="BF"/>
        <w:bottom w:val="single" w:sz="4" w:space="0" w:color="77FF77" w:themeColor="background1" w:themeShade="BF"/>
        <w:right w:val="single" w:sz="4" w:space="0" w:color="77FF77" w:themeColor="background1" w:themeShade="BF"/>
        <w:insideH w:val="single" w:sz="4" w:space="0" w:color="77FF77" w:themeColor="background1" w:themeShade="BF"/>
        <w:insideV w:val="single" w:sz="4" w:space="0" w:color="77FF77" w:themeColor="background1" w:themeShade="BF"/>
      </w:tblBorders>
    </w:tblPr>
    <w:tblStylePr w:type="firstRow">
      <w:rPr>
        <w:b/>
        <w:bCs/>
      </w:rPr>
    </w:tblStylePr>
    <w:tblStylePr w:type="lastRow">
      <w:rPr>
        <w:b/>
        <w:bCs/>
      </w:rPr>
      <w:tblPr/>
      <w:tcPr>
        <w:tcBorders>
          <w:top w:val="double" w:sz="4" w:space="0" w:color="77FF77" w:themeColor="background1" w:themeShade="BF"/>
        </w:tcBorders>
      </w:tcPr>
    </w:tblStylePr>
    <w:tblStylePr w:type="firstCol">
      <w:rPr>
        <w:b/>
        <w:bCs/>
      </w:rPr>
    </w:tblStylePr>
    <w:tblStylePr w:type="lastCol">
      <w:rPr>
        <w:b/>
        <w:bCs/>
      </w:rPr>
    </w:tblStylePr>
    <w:tblStylePr w:type="band1Vert">
      <w:tblPr/>
      <w:tcPr>
        <w:shd w:val="clear" w:color="auto" w:fill="DBFFDB" w:themeFill="background1" w:themeFillShade="F2"/>
      </w:tcPr>
    </w:tblStylePr>
    <w:tblStylePr w:type="band1Horz">
      <w:tblPr/>
      <w:tcPr>
        <w:shd w:val="clear" w:color="auto" w:fill="DBFFDB"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2549374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443094">
      <w:bodyDiv w:val="1"/>
      <w:marLeft w:val="0"/>
      <w:marRight w:val="0"/>
      <w:marTop w:val="0"/>
      <w:marBottom w:val="0"/>
      <w:divBdr>
        <w:top w:val="none" w:sz="0" w:space="0" w:color="auto"/>
        <w:left w:val="none" w:sz="0" w:space="0" w:color="auto"/>
        <w:bottom w:val="none" w:sz="0" w:space="0" w:color="auto"/>
        <w:right w:val="none" w:sz="0" w:space="0" w:color="auto"/>
      </w:divBdr>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1C00490" TargetMode="External"/><Relationship Id="rId18" Type="http://schemas.openxmlformats.org/officeDocument/2006/relationships/hyperlink" Target="http://www.cbd.gov.au/program/overview/legal-framewor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bd.gov.au" TargetMode="External"/><Relationship Id="rId17" Type="http://schemas.openxmlformats.org/officeDocument/2006/relationships/hyperlink" Target="mailto:commercial.buildings.team@dcceew.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bd.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1C0049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bd.gov.a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0074\OneDrive%20-%20Agriculture\SharePoint\Documents%20-%20Policy%20Development\CBD%20Expansion\Project%20Planning\Comms\Consultation\CBD%20Expansion%20Public%20Consultation%20Paper.dotx" TargetMode="External"/></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5C6DC1D5D994DBC42D8A7CB1B134F" ma:contentTypeVersion="26" ma:contentTypeDescription="Create a new document." ma:contentTypeScope="" ma:versionID="de0491a022f1377b828612114e35aafd">
  <xsd:schema xmlns:xsd="http://www.w3.org/2001/XMLSchema" xmlns:xs="http://www.w3.org/2001/XMLSchema" xmlns:p="http://schemas.microsoft.com/office/2006/metadata/properties" xmlns:ns2="1a1e3a6f-90f2-4bee-94aa-8b51ed367850" xmlns:ns3="81c01dc6-2c49-4730-b140-874c95cac377" xmlns:ns4="4c70a926-dbaa-45f1-afc0-26a9639aec76" targetNamespace="http://schemas.microsoft.com/office/2006/metadata/properties" ma:root="true" ma:fieldsID="23d4a0e720f51b08e621270dcbe057b2" ns2:_="" ns3:_="" ns4:_="">
    <xsd:import namespace="1a1e3a6f-90f2-4bee-94aa-8b51ed367850"/>
    <xsd:import namespace="81c01dc6-2c49-4730-b140-874c95cac377"/>
    <xsd:import namespace="4c70a926-dbaa-45f1-afc0-26a9639aec7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_Flow_SignoffStatus" minOccurs="0"/>
                <xsd:element ref="ns3:ec8963811f66454d90035b41c545792f"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e3a6f-90f2-4bee-94aa-8b51ed367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34cfa41-87e7-495b-8786-25a9ab2375f4}"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element name="ec8963811f66454d90035b41c545792f" ma:index="23" nillable="true" ma:taxonomy="true" ma:internalName="ec8963811f66454d90035b41c545792f" ma:taxonomyFieldName="Topic" ma:displayName="Topic" ma:default="" ma:fieldId="{ec896381-1f66-454d-9003-5b41c545792f}" ma:sspId="7881b4ab-c2b0-4b32-8bb7-29fb05a8de77" ma:termSetId="4d0ee169-b0f3-4659-8cb8-a3102d9d5c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a1e3a6f-90f2-4bee-94aa-8b51ed367850" xsi:nil="true"/>
    <TaxCatchAll xmlns="81c01dc6-2c49-4730-b140-874c95cac377" xsi:nil="true"/>
    <lcf76f155ced4ddcb4097134ff3c332f xmlns="1a1e3a6f-90f2-4bee-94aa-8b51ed367850">
      <Terms xmlns="http://schemas.microsoft.com/office/infopath/2007/PartnerControls"/>
    </lcf76f155ced4ddcb4097134ff3c332f>
    <ec8963811f66454d90035b41c545792f xmlns="81c01dc6-2c49-4730-b140-874c95cac377">
      <Terms xmlns="http://schemas.microsoft.com/office/infopath/2007/PartnerControls"/>
    </ec8963811f66454d90035b41c545792f>
    <SharedWithUsers xmlns="4c70a926-dbaa-45f1-afc0-26a9639aec76">
      <UserInfo>
        <DisplayName>Putnis, Mara</DisplayName>
        <AccountId>2574</AccountId>
        <AccountType/>
      </UserInfo>
      <UserInfo>
        <DisplayName>Kavanagh, Tanya</DisplayName>
        <AccountId>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2BDD58B-A6BE-4EC6-9579-6151459C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e3a6f-90f2-4bee-94aa-8b51ed367850"/>
    <ds:schemaRef ds:uri="81c01dc6-2c49-4730-b140-874c95cac377"/>
    <ds:schemaRef ds:uri="4c70a926-dbaa-45f1-afc0-26a9639ae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1a1e3a6f-90f2-4bee-94aa-8b51ed367850"/>
    <ds:schemaRef ds:uri="81c01dc6-2c49-4730-b140-874c95cac377"/>
    <ds:schemaRef ds:uri="4c70a926-dbaa-45f1-afc0-26a9639aec76"/>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 Expansion Public Consultation Paper</Template>
  <TotalTime>1110</TotalTime>
  <Pages>6</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DCCEEW A4 Factsheet</vt:lpstr>
    </vt:vector>
  </TitlesOfParts>
  <Company/>
  <LinksUpToDate>false</LinksUpToDate>
  <CharactersWithSpaces>13223</CharactersWithSpaces>
  <SharedDoc>false</SharedDoc>
  <HLinks>
    <vt:vector size="42" baseType="variant">
      <vt:variant>
        <vt:i4>5373952</vt:i4>
      </vt:variant>
      <vt:variant>
        <vt:i4>18</vt:i4>
      </vt:variant>
      <vt:variant>
        <vt:i4>0</vt:i4>
      </vt:variant>
      <vt:variant>
        <vt:i4>5</vt:i4>
      </vt:variant>
      <vt:variant>
        <vt:lpwstr>https://creativecommons.org/licenses/by/4.0/legalcode</vt:lpwstr>
      </vt:variant>
      <vt:variant>
        <vt:lpwstr/>
      </vt:variant>
      <vt:variant>
        <vt:i4>3342381</vt:i4>
      </vt:variant>
      <vt:variant>
        <vt:i4>15</vt:i4>
      </vt:variant>
      <vt:variant>
        <vt:i4>0</vt:i4>
      </vt:variant>
      <vt:variant>
        <vt:i4>5</vt:i4>
      </vt:variant>
      <vt:variant>
        <vt:lpwstr>http://www.cbd.gov.au/program/overview/legal-framework</vt:lpwstr>
      </vt:variant>
      <vt:variant>
        <vt:lpwstr/>
      </vt:variant>
      <vt:variant>
        <vt:i4>7077913</vt:i4>
      </vt:variant>
      <vt:variant>
        <vt:i4>12</vt:i4>
      </vt:variant>
      <vt:variant>
        <vt:i4>0</vt:i4>
      </vt:variant>
      <vt:variant>
        <vt:i4>5</vt:i4>
      </vt:variant>
      <vt:variant>
        <vt:lpwstr>mailto:commercial.buildings.team@dcceew.gov.au</vt:lpwstr>
      </vt:variant>
      <vt:variant>
        <vt:lpwstr/>
      </vt:variant>
      <vt:variant>
        <vt:i4>7536680</vt:i4>
      </vt:variant>
      <vt:variant>
        <vt:i4>9</vt:i4>
      </vt:variant>
      <vt:variant>
        <vt:i4>0</vt:i4>
      </vt:variant>
      <vt:variant>
        <vt:i4>5</vt:i4>
      </vt:variant>
      <vt:variant>
        <vt:lpwstr>http://www.cbd.gov.au/</vt:lpwstr>
      </vt:variant>
      <vt:variant>
        <vt:lpwstr/>
      </vt:variant>
      <vt:variant>
        <vt:i4>7667756</vt:i4>
      </vt:variant>
      <vt:variant>
        <vt:i4>6</vt:i4>
      </vt:variant>
      <vt:variant>
        <vt:i4>0</vt:i4>
      </vt:variant>
      <vt:variant>
        <vt:i4>5</vt:i4>
      </vt:variant>
      <vt:variant>
        <vt:lpwstr>https://www.legislation.gov.au/Details/C2021C00490</vt:lpwstr>
      </vt:variant>
      <vt:variant>
        <vt:lpwstr/>
      </vt:variant>
      <vt:variant>
        <vt:i4>7536680</vt:i4>
      </vt:variant>
      <vt:variant>
        <vt:i4>3</vt:i4>
      </vt:variant>
      <vt:variant>
        <vt:i4>0</vt:i4>
      </vt:variant>
      <vt:variant>
        <vt:i4>5</vt:i4>
      </vt:variant>
      <vt:variant>
        <vt:lpwstr>http://www.cbd.gov.au/</vt:lpwstr>
      </vt:variant>
      <vt:variant>
        <vt:lpwstr/>
      </vt:variant>
      <vt:variant>
        <vt:i4>7667756</vt:i4>
      </vt:variant>
      <vt:variant>
        <vt:i4>0</vt:i4>
      </vt:variant>
      <vt:variant>
        <vt:i4>0</vt:i4>
      </vt:variant>
      <vt:variant>
        <vt:i4>5</vt:i4>
      </vt:variant>
      <vt:variant>
        <vt:lpwstr>https://www.legislation.gov.au/Details/C2021C00490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DCCEEW A4 Factsheet</dc:title>
  <dc:subject/>
  <dc:creator>Trinca, Alex</dc:creator>
  <cp:keywords/>
  <cp:lastModifiedBy>Trinca, Alex</cp:lastModifiedBy>
  <cp:revision>299</cp:revision>
  <cp:lastPrinted>2024-05-04T16:40:00Z</cp:lastPrinted>
  <dcterms:created xsi:type="dcterms:W3CDTF">2024-04-02T22:43:00Z</dcterms:created>
  <dcterms:modified xsi:type="dcterms:W3CDTF">2024-06-24T05:18:00Z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0x010100AE35C6DC1D5D994DBC42D8A7CB1B134F</vt:lpwstr>
  </property>
  <property fmtid="{D5CDD505-2E9C-101B-9397-08002B2CF9AE}" pid="3" name="Order">
    <vt:r8>160900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opic">
    <vt:lpwstr/>
  </property>
  <property fmtid="{D5CDD505-2E9C-101B-9397-08002B2CF9AE}" pid="11" name="MediaServiceImageTags">
    <vt:lpwstr/>
  </property>
</Properties>
</file>